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9EC" w:rsidRPr="00EA343C" w:rsidRDefault="003009EC" w:rsidP="003009EC">
      <w:pPr>
        <w:jc w:val="both"/>
        <w:rPr>
          <w:b/>
          <w:lang w:val="en-US"/>
        </w:rPr>
      </w:pPr>
      <w:r w:rsidRPr="00EA343C">
        <w:rPr>
          <w:b/>
          <w:lang w:val="en-US"/>
        </w:rPr>
        <w:t xml:space="preserve">ANEXES. </w:t>
      </w:r>
    </w:p>
    <w:p w:rsidR="00675999" w:rsidRDefault="00675999" w:rsidP="003009EC">
      <w:pPr>
        <w:jc w:val="both"/>
        <w:rPr>
          <w:lang w:val="en-US"/>
        </w:rPr>
      </w:pPr>
    </w:p>
    <w:p w:rsidR="00675999" w:rsidRDefault="00675999" w:rsidP="003009EC">
      <w:pPr>
        <w:jc w:val="both"/>
        <w:rPr>
          <w:lang w:val="en-US"/>
        </w:rPr>
      </w:pPr>
      <w:r>
        <w:rPr>
          <w:lang w:val="en-US"/>
        </w:rPr>
        <w:t xml:space="preserve">Figure Annex 1. </w:t>
      </w:r>
      <w:r w:rsidRPr="00675999">
        <w:rPr>
          <w:lang w:val="en-US"/>
        </w:rPr>
        <w:t>Sc</w:t>
      </w:r>
      <w:r>
        <w:rPr>
          <w:lang w:val="en-US"/>
        </w:rPr>
        <w:t xml:space="preserve">hematic representation of </w:t>
      </w:r>
      <w:r w:rsidRPr="00675999">
        <w:rPr>
          <w:lang w:val="en-US"/>
        </w:rPr>
        <w:t>the</w:t>
      </w:r>
      <w:r w:rsidR="00972DEE">
        <w:rPr>
          <w:lang w:val="en-US"/>
        </w:rPr>
        <w:t xml:space="preserve"> 1000 m</w:t>
      </w:r>
      <w:r w:rsidR="00972DEE">
        <w:rPr>
          <w:vertAlign w:val="superscript"/>
          <w:lang w:val="en-US"/>
        </w:rPr>
        <w:t>2</w:t>
      </w:r>
      <w:r>
        <w:rPr>
          <w:lang w:val="en-US"/>
        </w:rPr>
        <w:t xml:space="preserve"> </w:t>
      </w:r>
      <w:r w:rsidR="00972DEE">
        <w:rPr>
          <w:lang w:val="en-US"/>
        </w:rPr>
        <w:t>(</w:t>
      </w:r>
      <w:r>
        <w:rPr>
          <w:lang w:val="en-US"/>
        </w:rPr>
        <w:t>20x50 m</w:t>
      </w:r>
      <w:r w:rsidR="00972DEE">
        <w:rPr>
          <w:lang w:val="en-US"/>
        </w:rPr>
        <w:t>)</w:t>
      </w:r>
      <w:r>
        <w:rPr>
          <w:lang w:val="en-US"/>
        </w:rPr>
        <w:t xml:space="preserve"> study area defined in each in each site along the </w:t>
      </w:r>
      <w:proofErr w:type="spellStart"/>
      <w:r>
        <w:rPr>
          <w:lang w:val="en-US"/>
        </w:rPr>
        <w:t>chronosequence</w:t>
      </w:r>
      <w:proofErr w:type="spellEnd"/>
      <w:r>
        <w:rPr>
          <w:lang w:val="en-US"/>
        </w:rPr>
        <w:t>, showing the plots, subplots, soil sampling points and thermomete</w:t>
      </w:r>
      <w:r w:rsidR="00972DEE">
        <w:rPr>
          <w:lang w:val="en-US"/>
        </w:rPr>
        <w:t xml:space="preserve">r distribution. Vascular plant </w:t>
      </w:r>
      <w:r>
        <w:rPr>
          <w:lang w:val="en-US"/>
        </w:rPr>
        <w:t>cover was estimated</w:t>
      </w:r>
      <w:r w:rsidRPr="00675999">
        <w:rPr>
          <w:lang w:val="en-US"/>
        </w:rPr>
        <w:t xml:space="preserve"> inside 5x5 m plots, distributed haphaza</w:t>
      </w:r>
      <w:r w:rsidR="00972DEE">
        <w:rPr>
          <w:lang w:val="en-US"/>
        </w:rPr>
        <w:t>rdly inside the</w:t>
      </w:r>
      <w:r>
        <w:rPr>
          <w:lang w:val="en-US"/>
        </w:rPr>
        <w:t xml:space="preserve"> study area</w:t>
      </w:r>
      <w:r w:rsidRPr="00675999">
        <w:rPr>
          <w:lang w:val="en-US"/>
        </w:rPr>
        <w:t xml:space="preserve">. </w:t>
      </w:r>
      <w:r>
        <w:rPr>
          <w:lang w:val="en-US"/>
        </w:rPr>
        <w:t xml:space="preserve">Nested </w:t>
      </w:r>
      <w:r w:rsidRPr="00675999">
        <w:rPr>
          <w:lang w:val="en-US"/>
        </w:rPr>
        <w:t xml:space="preserve">50x50 cm subplots for lichens and </w:t>
      </w:r>
      <w:proofErr w:type="spellStart"/>
      <w:r w:rsidRPr="00675999">
        <w:rPr>
          <w:lang w:val="en-US"/>
        </w:rPr>
        <w:t>briophytes</w:t>
      </w:r>
      <w:proofErr w:type="spellEnd"/>
      <w:r w:rsidRPr="00675999">
        <w:rPr>
          <w:lang w:val="en-US"/>
        </w:rPr>
        <w:t xml:space="preserve"> surveys were placed diagonally inside each plot. Soil samples were collected in pairs, inside and outside 6 </w:t>
      </w:r>
      <w:r>
        <w:rPr>
          <w:lang w:val="en-US"/>
        </w:rPr>
        <w:t xml:space="preserve">randomly selected </w:t>
      </w:r>
      <w:proofErr w:type="spellStart"/>
      <w:r w:rsidRPr="00675999">
        <w:rPr>
          <w:lang w:val="en-US"/>
        </w:rPr>
        <w:t>biocrusts</w:t>
      </w:r>
      <w:proofErr w:type="spellEnd"/>
      <w:r>
        <w:rPr>
          <w:lang w:val="en-US"/>
        </w:rPr>
        <w:t>. Two thermometer data-loggers, placed 2 cm below the surface</w:t>
      </w:r>
      <w:r w:rsidRPr="00675999">
        <w:rPr>
          <w:lang w:val="en-US"/>
        </w:rPr>
        <w:t xml:space="preserve"> inside and outside one of the </w:t>
      </w:r>
      <w:proofErr w:type="spellStart"/>
      <w:r w:rsidRPr="00675999">
        <w:rPr>
          <w:lang w:val="en-US"/>
        </w:rPr>
        <w:t>biocrusts</w:t>
      </w:r>
      <w:proofErr w:type="spellEnd"/>
      <w:r w:rsidRPr="00675999">
        <w:rPr>
          <w:lang w:val="en-US"/>
        </w:rPr>
        <w:t>, were set for</w:t>
      </w:r>
      <w:r>
        <w:rPr>
          <w:lang w:val="en-US"/>
        </w:rPr>
        <w:t xml:space="preserve"> hourly data recording during 6 months</w:t>
      </w:r>
      <w:r w:rsidRPr="00675999">
        <w:rPr>
          <w:lang w:val="en-US"/>
        </w:rPr>
        <w:t>.</w:t>
      </w:r>
    </w:p>
    <w:p w:rsidR="003009EC" w:rsidRPr="00C600F6" w:rsidRDefault="003009EC" w:rsidP="003009EC">
      <w:pPr>
        <w:jc w:val="both"/>
        <w:rPr>
          <w:lang w:val="en-US"/>
        </w:rPr>
      </w:pPr>
      <w:r w:rsidRPr="00EA343C">
        <w:rPr>
          <w:lang w:val="en-US"/>
        </w:rPr>
        <w:t>Figure Ann</w:t>
      </w:r>
      <w:r w:rsidR="00675999">
        <w:rPr>
          <w:lang w:val="en-US"/>
        </w:rPr>
        <w:t>ex 2</w:t>
      </w:r>
      <w:r w:rsidRPr="008247CD">
        <w:rPr>
          <w:lang w:val="en-US"/>
        </w:rPr>
        <w:t xml:space="preserve">. </w:t>
      </w:r>
      <w:r>
        <w:rPr>
          <w:lang w:val="en-US"/>
        </w:rPr>
        <w:t xml:space="preserve">Presence-absence diagrams for the species of lichens, bryophytes and vascular-plants </w:t>
      </w:r>
      <w:r w:rsidRPr="0082526B">
        <w:rPr>
          <w:lang w:val="en-US"/>
        </w:rPr>
        <w:t xml:space="preserve">in four study sites (S1-S4) along a post-glacial </w:t>
      </w:r>
      <w:proofErr w:type="spellStart"/>
      <w:r w:rsidRPr="0082526B">
        <w:rPr>
          <w:lang w:val="en-US"/>
        </w:rPr>
        <w:t>chronosequence</w:t>
      </w:r>
      <w:proofErr w:type="spellEnd"/>
      <w:r w:rsidRPr="0082526B">
        <w:rPr>
          <w:lang w:val="en-US"/>
        </w:rPr>
        <w:t xml:space="preserve"> (10 to 109 years of succession) at Humboldt Peak, Venezuela.</w:t>
      </w:r>
      <w:r>
        <w:rPr>
          <w:lang w:val="en-US"/>
        </w:rPr>
        <w:t xml:space="preserve"> Species are organized to illustrate changes in progressive species accumulation (</w:t>
      </w:r>
      <w:proofErr w:type="spellStart"/>
      <w:r>
        <w:rPr>
          <w:lang w:val="en-US"/>
        </w:rPr>
        <w:t>nestedness</w:t>
      </w:r>
      <w:proofErr w:type="spellEnd"/>
      <w:r>
        <w:rPr>
          <w:lang w:val="en-US"/>
        </w:rPr>
        <w:t xml:space="preserve">) along succession. </w:t>
      </w:r>
    </w:p>
    <w:p w:rsidR="003009EC" w:rsidRPr="00EA343C" w:rsidRDefault="00675999" w:rsidP="003009EC">
      <w:pPr>
        <w:jc w:val="both"/>
        <w:rPr>
          <w:lang w:val="en-US"/>
        </w:rPr>
      </w:pPr>
      <w:r>
        <w:rPr>
          <w:lang w:val="en-US"/>
        </w:rPr>
        <w:t>Figure Annex 3</w:t>
      </w:r>
      <w:r w:rsidR="003009EC" w:rsidRPr="00EA343C">
        <w:rPr>
          <w:lang w:val="en-US"/>
        </w:rPr>
        <w:t xml:space="preserve">. </w:t>
      </w:r>
      <w:r w:rsidR="003009EC" w:rsidRPr="00E72F44">
        <w:rPr>
          <w:lang w:val="en-US"/>
        </w:rPr>
        <w:t>Mean relative interaction index (RII) and 95% confidence interval for the cover of</w:t>
      </w:r>
      <w:r w:rsidR="003009EC">
        <w:rPr>
          <w:lang w:val="en-US"/>
        </w:rPr>
        <w:t xml:space="preserve"> each species of </w:t>
      </w:r>
      <w:proofErr w:type="spellStart"/>
      <w:r w:rsidR="003009EC">
        <w:rPr>
          <w:lang w:val="en-US"/>
        </w:rPr>
        <w:t>lichenized</w:t>
      </w:r>
      <w:proofErr w:type="spellEnd"/>
      <w:r w:rsidR="003009EC">
        <w:rPr>
          <w:lang w:val="en-US"/>
        </w:rPr>
        <w:t xml:space="preserve"> </w:t>
      </w:r>
      <w:proofErr w:type="spellStart"/>
      <w:r w:rsidR="003009EC">
        <w:rPr>
          <w:lang w:val="en-US"/>
        </w:rPr>
        <w:t>fungy</w:t>
      </w:r>
      <w:proofErr w:type="spellEnd"/>
      <w:r w:rsidR="003009EC">
        <w:rPr>
          <w:lang w:val="en-US"/>
        </w:rPr>
        <w:t xml:space="preserve"> (black circles) and bryophyte</w:t>
      </w:r>
      <w:r w:rsidR="003009EC" w:rsidRPr="00E72F44">
        <w:rPr>
          <w:lang w:val="en-US"/>
        </w:rPr>
        <w:t xml:space="preserve"> (white circles) in paired sampled in rings (n = 40) centered on mature individuals of the pioneer grass </w:t>
      </w:r>
      <w:proofErr w:type="spellStart"/>
      <w:r w:rsidR="003009EC" w:rsidRPr="00E72F44">
        <w:rPr>
          <w:lang w:val="en-US"/>
        </w:rPr>
        <w:t>Poa</w:t>
      </w:r>
      <w:proofErr w:type="spellEnd"/>
      <w:r w:rsidR="003009EC" w:rsidRPr="00E72F44">
        <w:rPr>
          <w:lang w:val="en-US"/>
        </w:rPr>
        <w:t xml:space="preserve"> </w:t>
      </w:r>
      <w:proofErr w:type="spellStart"/>
      <w:r w:rsidR="003009EC" w:rsidRPr="00E72F44">
        <w:rPr>
          <w:lang w:val="en-US"/>
        </w:rPr>
        <w:t>petrosa</w:t>
      </w:r>
      <w:proofErr w:type="spellEnd"/>
      <w:r w:rsidR="003009EC" w:rsidRPr="00E72F44">
        <w:rPr>
          <w:lang w:val="en-US"/>
        </w:rPr>
        <w:t xml:space="preserve"> vs. random sites outside, in two study sites (S2-S3) along a post-glacial </w:t>
      </w:r>
      <w:proofErr w:type="spellStart"/>
      <w:r w:rsidR="003009EC" w:rsidRPr="00E72F44">
        <w:rPr>
          <w:lang w:val="en-US"/>
        </w:rPr>
        <w:t>chronosequence</w:t>
      </w:r>
      <w:proofErr w:type="spellEnd"/>
      <w:r w:rsidR="003009EC" w:rsidRPr="00E72F44">
        <w:rPr>
          <w:lang w:val="en-US"/>
        </w:rPr>
        <w:t xml:space="preserve"> (21 and 67 years) at Humboldt Peak, Venezuela.    </w:t>
      </w:r>
    </w:p>
    <w:p w:rsidR="003009EC" w:rsidRDefault="003009EC" w:rsidP="003009EC">
      <w:pPr>
        <w:jc w:val="both"/>
        <w:rPr>
          <w:lang w:val="en-US"/>
        </w:rPr>
      </w:pPr>
    </w:p>
    <w:p w:rsidR="003009EC" w:rsidRDefault="003009EC" w:rsidP="003009EC">
      <w:pPr>
        <w:jc w:val="both"/>
        <w:rPr>
          <w:lang w:val="en-US"/>
        </w:rPr>
      </w:pPr>
    </w:p>
    <w:p w:rsidR="003009EC" w:rsidRPr="00424D25" w:rsidRDefault="003009EC" w:rsidP="003009EC">
      <w:pPr>
        <w:jc w:val="both"/>
        <w:rPr>
          <w:lang w:val="en-US"/>
        </w:rPr>
      </w:pPr>
      <w:r w:rsidRPr="00424D25">
        <w:rPr>
          <w:lang w:val="en-US"/>
        </w:rPr>
        <w:t>Annex Table 1. Mean, maximum and minimum temperatures (</w:t>
      </w:r>
      <w:proofErr w:type="spellStart"/>
      <w:r w:rsidRPr="00424D25">
        <w:rPr>
          <w:lang w:val="en-US"/>
        </w:rPr>
        <w:t>Tmean</w:t>
      </w:r>
      <w:proofErr w:type="spellEnd"/>
      <w:r w:rsidRPr="00424D25">
        <w:rPr>
          <w:lang w:val="en-US"/>
        </w:rPr>
        <w:t xml:space="preserve">, </w:t>
      </w:r>
      <w:proofErr w:type="spellStart"/>
      <w:r w:rsidRPr="00424D25">
        <w:rPr>
          <w:lang w:val="en-US"/>
        </w:rPr>
        <w:t>Tmax</w:t>
      </w:r>
      <w:proofErr w:type="spellEnd"/>
      <w:r w:rsidRPr="00424D25">
        <w:rPr>
          <w:lang w:val="en-US"/>
        </w:rPr>
        <w:t xml:space="preserve">, </w:t>
      </w:r>
      <w:proofErr w:type="spellStart"/>
      <w:r w:rsidRPr="00424D25">
        <w:rPr>
          <w:lang w:val="en-US"/>
        </w:rPr>
        <w:t>Tmin</w:t>
      </w:r>
      <w:proofErr w:type="spellEnd"/>
      <w:r w:rsidRPr="00424D25">
        <w:rPr>
          <w:lang w:val="en-US"/>
        </w:rPr>
        <w:t>)</w:t>
      </w:r>
      <w:r>
        <w:rPr>
          <w:lang w:val="en-US"/>
        </w:rPr>
        <w:t xml:space="preserve">, average daily temperature amplitudes (Tamp) and percent of days with below zero temperatures (No. days freezing) in superficial soils (at 2 cm depth) below </w:t>
      </w:r>
      <w:proofErr w:type="spellStart"/>
      <w:r>
        <w:rPr>
          <w:lang w:val="en-US"/>
        </w:rPr>
        <w:t>biocrusts</w:t>
      </w:r>
      <w:proofErr w:type="spellEnd"/>
      <w:r>
        <w:rPr>
          <w:lang w:val="en-US"/>
        </w:rPr>
        <w:t xml:space="preserve"> (Bio) and in paired areas outside (Out)</w:t>
      </w:r>
      <w:r w:rsidRPr="00424D25">
        <w:rPr>
          <w:lang w:val="en-US"/>
        </w:rPr>
        <w:t xml:space="preserve"> in four sites</w:t>
      </w:r>
      <w:r>
        <w:rPr>
          <w:lang w:val="en-US"/>
        </w:rPr>
        <w:t xml:space="preserve"> (S1 to S4)</w:t>
      </w:r>
      <w:r w:rsidRPr="00424D25">
        <w:rPr>
          <w:lang w:val="en-US"/>
        </w:rPr>
        <w:t xml:space="preserve"> along a glacier </w:t>
      </w:r>
      <w:proofErr w:type="spellStart"/>
      <w:r w:rsidRPr="00424D25">
        <w:rPr>
          <w:lang w:val="en-US"/>
        </w:rPr>
        <w:t>chronosequence</w:t>
      </w:r>
      <w:proofErr w:type="spellEnd"/>
      <w:r w:rsidRPr="00424D25">
        <w:rPr>
          <w:lang w:val="en-US"/>
        </w:rPr>
        <w:t xml:space="preserve"> (years since glacier retreat) in the forefront of the Humboldt glacier, Venezuela</w:t>
      </w:r>
      <w:r>
        <w:rPr>
          <w:lang w:val="en-US"/>
        </w:rPr>
        <w:t>. Temperatures recorded every hour from the 1</w:t>
      </w:r>
      <w:r w:rsidRPr="00424D25">
        <w:rPr>
          <w:vertAlign w:val="superscript"/>
          <w:lang w:val="en-US"/>
        </w:rPr>
        <w:t>st</w:t>
      </w:r>
      <w:r>
        <w:rPr>
          <w:lang w:val="en-US"/>
        </w:rPr>
        <w:t xml:space="preserve"> of July to 10</w:t>
      </w:r>
      <w:r w:rsidRPr="00566009">
        <w:rPr>
          <w:vertAlign w:val="superscript"/>
          <w:lang w:val="en-US"/>
        </w:rPr>
        <w:t>th</w:t>
      </w:r>
      <w:r>
        <w:rPr>
          <w:lang w:val="en-US"/>
        </w:rPr>
        <w:t xml:space="preserve"> of December 2019. </w:t>
      </w:r>
    </w:p>
    <w:tbl>
      <w:tblPr>
        <w:tblStyle w:val="Tablaconcuadrcula"/>
        <w:tblW w:w="8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3009EC" w:rsidRPr="00A93769" w:rsidTr="00AC6B06">
        <w:tc>
          <w:tcPr>
            <w:tcW w:w="1271" w:type="dxa"/>
            <w:vMerge w:val="restart"/>
            <w:vAlign w:val="center"/>
          </w:tcPr>
          <w:p w:rsidR="003009EC" w:rsidRDefault="003009EC" w:rsidP="00AC6B06">
            <w:pPr>
              <w:jc w:val="center"/>
              <w:rPr>
                <w:lang w:val="en-US"/>
              </w:rPr>
            </w:pPr>
          </w:p>
          <w:p w:rsidR="003009EC" w:rsidRDefault="003009EC" w:rsidP="00AC6B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Variable</w:t>
            </w:r>
          </w:p>
        </w:tc>
        <w:tc>
          <w:tcPr>
            <w:tcW w:w="1701" w:type="dxa"/>
            <w:gridSpan w:val="2"/>
            <w:vAlign w:val="center"/>
          </w:tcPr>
          <w:p w:rsidR="003009EC" w:rsidRDefault="003009EC" w:rsidP="00AC6B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S1. 10 years</w:t>
            </w:r>
          </w:p>
          <w:p w:rsidR="003009EC" w:rsidRDefault="003009EC" w:rsidP="00AC6B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(4670 m)</w:t>
            </w:r>
          </w:p>
        </w:tc>
        <w:tc>
          <w:tcPr>
            <w:tcW w:w="1701" w:type="dxa"/>
            <w:gridSpan w:val="2"/>
            <w:vAlign w:val="center"/>
          </w:tcPr>
          <w:p w:rsidR="003009EC" w:rsidRDefault="003009EC" w:rsidP="00AC6B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S2. 21 years</w:t>
            </w:r>
          </w:p>
          <w:p w:rsidR="003009EC" w:rsidRDefault="003009EC" w:rsidP="00AC6B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(4632 m)</w:t>
            </w:r>
          </w:p>
        </w:tc>
        <w:tc>
          <w:tcPr>
            <w:tcW w:w="1701" w:type="dxa"/>
            <w:gridSpan w:val="2"/>
            <w:vAlign w:val="center"/>
          </w:tcPr>
          <w:p w:rsidR="003009EC" w:rsidRDefault="003009EC" w:rsidP="00AC6B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S3. 67 years</w:t>
            </w:r>
          </w:p>
          <w:p w:rsidR="003009EC" w:rsidRDefault="003009EC" w:rsidP="00AC6B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(4537 m)</w:t>
            </w:r>
          </w:p>
        </w:tc>
        <w:tc>
          <w:tcPr>
            <w:tcW w:w="1701" w:type="dxa"/>
            <w:gridSpan w:val="2"/>
            <w:vAlign w:val="center"/>
          </w:tcPr>
          <w:p w:rsidR="003009EC" w:rsidRDefault="003009EC" w:rsidP="00AC6B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S4. 109 years</w:t>
            </w:r>
          </w:p>
          <w:p w:rsidR="003009EC" w:rsidRDefault="003009EC" w:rsidP="00AC6B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(4365 m)</w:t>
            </w:r>
          </w:p>
        </w:tc>
      </w:tr>
      <w:tr w:rsidR="003009EC" w:rsidRPr="00A93769" w:rsidTr="00AC6B06"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3009EC" w:rsidRDefault="003009EC" w:rsidP="00AC6B06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009EC" w:rsidRDefault="003009EC" w:rsidP="00AC6B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009EC" w:rsidRDefault="003009EC" w:rsidP="00AC6B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Out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009EC" w:rsidRDefault="003009EC" w:rsidP="00AC6B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009EC" w:rsidRDefault="003009EC" w:rsidP="00AC6B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Out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009EC" w:rsidRDefault="003009EC" w:rsidP="00AC6B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009EC" w:rsidRDefault="003009EC" w:rsidP="00AC6B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Out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009EC" w:rsidRDefault="003009EC" w:rsidP="00AC6B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009EC" w:rsidRDefault="003009EC" w:rsidP="00AC6B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Out</w:t>
            </w:r>
          </w:p>
        </w:tc>
      </w:tr>
      <w:tr w:rsidR="003009EC" w:rsidRPr="0026149D" w:rsidTr="00AC6B06">
        <w:trPr>
          <w:trHeight w:val="373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3009EC" w:rsidRDefault="003009EC" w:rsidP="00AC6B06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Tmean</w:t>
            </w:r>
            <w:proofErr w:type="spellEnd"/>
            <w:r>
              <w:rPr>
                <w:lang w:val="en-US"/>
              </w:rPr>
              <w:t xml:space="preserve"> (°C)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3.18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3.23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2.18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3.04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4.03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4.55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5.17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5.83</w:t>
            </w:r>
          </w:p>
        </w:tc>
      </w:tr>
      <w:tr w:rsidR="003009EC" w:rsidRPr="0026149D" w:rsidTr="00AC6B06">
        <w:tc>
          <w:tcPr>
            <w:tcW w:w="1271" w:type="dxa"/>
            <w:vAlign w:val="center"/>
          </w:tcPr>
          <w:p w:rsidR="003009EC" w:rsidRDefault="003009EC" w:rsidP="00AC6B06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Tmax</w:t>
            </w:r>
            <w:proofErr w:type="spellEnd"/>
            <w:r>
              <w:rPr>
                <w:lang w:val="en-US"/>
              </w:rPr>
              <w:t xml:space="preserve"> (°C)</w:t>
            </w:r>
          </w:p>
        </w:tc>
        <w:tc>
          <w:tcPr>
            <w:tcW w:w="851" w:type="dxa"/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23.59</w:t>
            </w:r>
          </w:p>
        </w:tc>
        <w:tc>
          <w:tcPr>
            <w:tcW w:w="850" w:type="dxa"/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26.04</w:t>
            </w:r>
          </w:p>
        </w:tc>
        <w:tc>
          <w:tcPr>
            <w:tcW w:w="851" w:type="dxa"/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27.48</w:t>
            </w:r>
          </w:p>
        </w:tc>
        <w:tc>
          <w:tcPr>
            <w:tcW w:w="850" w:type="dxa"/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31.26</w:t>
            </w:r>
          </w:p>
        </w:tc>
        <w:tc>
          <w:tcPr>
            <w:tcW w:w="851" w:type="dxa"/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18.30</w:t>
            </w:r>
          </w:p>
        </w:tc>
        <w:tc>
          <w:tcPr>
            <w:tcW w:w="850" w:type="dxa"/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24.97</w:t>
            </w:r>
          </w:p>
        </w:tc>
        <w:tc>
          <w:tcPr>
            <w:tcW w:w="851" w:type="dxa"/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20.15</w:t>
            </w:r>
          </w:p>
        </w:tc>
        <w:tc>
          <w:tcPr>
            <w:tcW w:w="850" w:type="dxa"/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23.50</w:t>
            </w:r>
          </w:p>
        </w:tc>
      </w:tr>
      <w:tr w:rsidR="003009EC" w:rsidRPr="0026149D" w:rsidTr="00AC6B06">
        <w:tc>
          <w:tcPr>
            <w:tcW w:w="1271" w:type="dxa"/>
            <w:vAlign w:val="center"/>
          </w:tcPr>
          <w:p w:rsidR="003009EC" w:rsidRDefault="003009EC" w:rsidP="00AC6B06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Tmin</w:t>
            </w:r>
            <w:proofErr w:type="spellEnd"/>
            <w:r>
              <w:rPr>
                <w:lang w:val="en-US"/>
              </w:rPr>
              <w:t xml:space="preserve"> (°C)</w:t>
            </w:r>
          </w:p>
        </w:tc>
        <w:tc>
          <w:tcPr>
            <w:tcW w:w="851" w:type="dxa"/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-1.53</w:t>
            </w:r>
          </w:p>
        </w:tc>
        <w:tc>
          <w:tcPr>
            <w:tcW w:w="850" w:type="dxa"/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-1.70</w:t>
            </w:r>
          </w:p>
        </w:tc>
        <w:tc>
          <w:tcPr>
            <w:tcW w:w="851" w:type="dxa"/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-3.93</w:t>
            </w:r>
          </w:p>
        </w:tc>
        <w:tc>
          <w:tcPr>
            <w:tcW w:w="850" w:type="dxa"/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-2.98</w:t>
            </w:r>
          </w:p>
        </w:tc>
        <w:tc>
          <w:tcPr>
            <w:tcW w:w="851" w:type="dxa"/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-0.40</w:t>
            </w:r>
          </w:p>
        </w:tc>
        <w:tc>
          <w:tcPr>
            <w:tcW w:w="850" w:type="dxa"/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-1.36</w:t>
            </w:r>
          </w:p>
        </w:tc>
        <w:tc>
          <w:tcPr>
            <w:tcW w:w="851" w:type="dxa"/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-0.20</w:t>
            </w:r>
          </w:p>
        </w:tc>
        <w:tc>
          <w:tcPr>
            <w:tcW w:w="850" w:type="dxa"/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-0.26</w:t>
            </w:r>
          </w:p>
        </w:tc>
      </w:tr>
      <w:tr w:rsidR="003009EC" w:rsidRPr="0026149D" w:rsidTr="00AC6B06">
        <w:tc>
          <w:tcPr>
            <w:tcW w:w="1271" w:type="dxa"/>
            <w:vAlign w:val="center"/>
          </w:tcPr>
          <w:p w:rsidR="003009EC" w:rsidRPr="00145C82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Tamp(°C)</w:t>
            </w:r>
          </w:p>
        </w:tc>
        <w:tc>
          <w:tcPr>
            <w:tcW w:w="851" w:type="dxa"/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10.06</w:t>
            </w:r>
          </w:p>
        </w:tc>
        <w:tc>
          <w:tcPr>
            <w:tcW w:w="850" w:type="dxa"/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10.06</w:t>
            </w:r>
          </w:p>
        </w:tc>
        <w:tc>
          <w:tcPr>
            <w:tcW w:w="851" w:type="dxa"/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9.53</w:t>
            </w:r>
          </w:p>
        </w:tc>
        <w:tc>
          <w:tcPr>
            <w:tcW w:w="850" w:type="dxa"/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11.84</w:t>
            </w:r>
          </w:p>
        </w:tc>
        <w:tc>
          <w:tcPr>
            <w:tcW w:w="851" w:type="dxa"/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10.89</w:t>
            </w:r>
          </w:p>
        </w:tc>
        <w:tc>
          <w:tcPr>
            <w:tcW w:w="850" w:type="dxa"/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</w:t>
            </w:r>
          </w:p>
        </w:tc>
        <w:tc>
          <w:tcPr>
            <w:tcW w:w="851" w:type="dxa"/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11.08</w:t>
            </w:r>
          </w:p>
        </w:tc>
        <w:tc>
          <w:tcPr>
            <w:tcW w:w="850" w:type="dxa"/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11.93</w:t>
            </w:r>
          </w:p>
        </w:tc>
      </w:tr>
      <w:tr w:rsidR="003009EC" w:rsidRPr="0026149D" w:rsidTr="00AC6B06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3009EC" w:rsidRPr="00145C82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No. days freezing (%)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009EC" w:rsidRPr="00C54DD6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009EC" w:rsidRPr="00DD14E2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009EC" w:rsidRPr="00DD14E2" w:rsidRDefault="003009EC" w:rsidP="00AC6B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 w:rsidR="003009EC" w:rsidRDefault="003009EC" w:rsidP="003009EC">
      <w:pPr>
        <w:jc w:val="both"/>
        <w:rPr>
          <w:lang w:val="en-US"/>
        </w:rPr>
      </w:pPr>
    </w:p>
    <w:p w:rsidR="003009EC" w:rsidRDefault="003009EC" w:rsidP="003009EC">
      <w:pPr>
        <w:rPr>
          <w:lang w:val="en-US"/>
        </w:rPr>
      </w:pPr>
    </w:p>
    <w:p w:rsidR="003009EC" w:rsidRDefault="003009EC" w:rsidP="003009EC">
      <w:pPr>
        <w:rPr>
          <w:lang w:val="en-US"/>
        </w:rPr>
      </w:pPr>
    </w:p>
    <w:p w:rsidR="004815AC" w:rsidRPr="00B12D30" w:rsidRDefault="003009EC" w:rsidP="003009EC">
      <w:pPr>
        <w:rPr>
          <w:b/>
          <w:lang w:val="en-US"/>
        </w:rPr>
      </w:pPr>
      <w:r w:rsidRPr="002210AF">
        <w:rPr>
          <w:b/>
          <w:lang w:val="en-US"/>
        </w:rPr>
        <w:t xml:space="preserve">Annex Table 2. See additional file included. </w:t>
      </w:r>
      <w:bookmarkStart w:id="0" w:name="_GoBack"/>
      <w:bookmarkEnd w:id="0"/>
    </w:p>
    <w:sectPr w:rsidR="004815AC" w:rsidRPr="00B12D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EC"/>
    <w:rsid w:val="003009EC"/>
    <w:rsid w:val="004815AC"/>
    <w:rsid w:val="00675999"/>
    <w:rsid w:val="00972DEE"/>
    <w:rsid w:val="00B1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7E3E1-E92D-4898-9769-5BCE6773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9EC"/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09EC"/>
    <w:pPr>
      <w:spacing w:after="0" w:line="240" w:lineRule="auto"/>
    </w:pPr>
    <w:rPr>
      <w:lang w:val="es-V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Daniel Llambi Carataya</dc:creator>
  <cp:keywords/>
  <dc:description/>
  <cp:lastModifiedBy>Luis Daniel Llambi Carataya</cp:lastModifiedBy>
  <cp:revision>4</cp:revision>
  <dcterms:created xsi:type="dcterms:W3CDTF">2021-04-06T11:59:00Z</dcterms:created>
  <dcterms:modified xsi:type="dcterms:W3CDTF">2021-09-22T15:58:00Z</dcterms:modified>
</cp:coreProperties>
</file>