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AEEC0" w14:textId="77777777" w:rsidR="0002674A" w:rsidRPr="00196402" w:rsidRDefault="0002674A" w:rsidP="0002674A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  <w:r w:rsidRPr="00AD657D">
        <w:rPr>
          <w:rFonts w:ascii="Times New Roman" w:hAnsi="Times New Roman"/>
          <w:b/>
          <w:bCs/>
        </w:rPr>
        <w:t>Supplementary</w:t>
      </w:r>
      <w:r w:rsidRPr="00196402">
        <w:rPr>
          <w:rFonts w:ascii="Times New Roman" w:hAnsi="Times New Roman"/>
          <w:b/>
          <w:bCs/>
        </w:rPr>
        <w:t xml:space="preserve"> Table 2. Examples of Expression profiles of intracellular vesicle trafficking regulators in moso bamboo. 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0631"/>
      </w:tblGrid>
      <w:tr w:rsidR="0002674A" w:rsidRPr="00F1773B" w14:paraId="55EFCA12" w14:textId="77777777" w:rsidTr="00025691">
        <w:trPr>
          <w:cantSplit/>
        </w:trPr>
        <w:tc>
          <w:tcPr>
            <w:tcW w:w="1271" w:type="dxa"/>
          </w:tcPr>
          <w:p w14:paraId="7BC4C712" w14:textId="77777777" w:rsidR="0002674A" w:rsidRPr="00707181" w:rsidRDefault="0002674A" w:rsidP="00552B6A">
            <w:pPr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bookmarkStart w:id="0" w:name="_GoBack"/>
            <w:bookmarkEnd w:id="0"/>
            <w:r w:rsidRPr="00707181"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Arabidopsis thaliana</w:t>
            </w:r>
          </w:p>
        </w:tc>
        <w:tc>
          <w:tcPr>
            <w:tcW w:w="1418" w:type="dxa"/>
          </w:tcPr>
          <w:p w14:paraId="4715EC82" w14:textId="77777777" w:rsidR="0002674A" w:rsidRPr="00707181" w:rsidRDefault="0002674A" w:rsidP="00552B6A">
            <w:pPr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 w:rsidRPr="00707181"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Phyllostachys edulis</w:t>
            </w:r>
          </w:p>
        </w:tc>
        <w:tc>
          <w:tcPr>
            <w:tcW w:w="10631" w:type="dxa"/>
          </w:tcPr>
          <w:p w14:paraId="2F1F1184" w14:textId="77777777" w:rsidR="0002674A" w:rsidRPr="00707181" w:rsidRDefault="0002674A" w:rsidP="00552B6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07181">
              <w:rPr>
                <w:rFonts w:ascii="Times New Roman" w:hAnsi="Times New Roman" w:cs="Times New Roman"/>
                <w:b/>
                <w:bCs/>
                <w:szCs w:val="21"/>
              </w:rPr>
              <w:t>Expression profile</w:t>
            </w:r>
            <w:r w:rsidRPr="00B46747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02674A" w:rsidRPr="00F1773B" w14:paraId="2C9AB77D" w14:textId="77777777" w:rsidTr="00025691">
        <w:trPr>
          <w:cantSplit/>
        </w:trPr>
        <w:tc>
          <w:tcPr>
            <w:tcW w:w="1271" w:type="dxa"/>
          </w:tcPr>
          <w:p w14:paraId="6B27FB90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AT5G09810</w:t>
            </w:r>
          </w:p>
          <w:p w14:paraId="77EABA25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F1773B">
              <w:rPr>
                <w:rFonts w:ascii="Times New Roman" w:hAnsi="Times New Roman" w:cs="Times New Roman"/>
                <w:szCs w:val="21"/>
              </w:rPr>
              <w:t>ctin7)</w:t>
            </w:r>
          </w:p>
        </w:tc>
        <w:tc>
          <w:tcPr>
            <w:tcW w:w="1418" w:type="dxa"/>
          </w:tcPr>
          <w:p w14:paraId="02F420F2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PH02Gene38192.t1</w:t>
            </w:r>
          </w:p>
        </w:tc>
        <w:tc>
          <w:tcPr>
            <w:tcW w:w="10631" w:type="dxa"/>
          </w:tcPr>
          <w:p w14:paraId="6AA08EFF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10247D4" wp14:editId="2F8A7E29">
                  <wp:extent cx="5890260" cy="407765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936" cy="433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14F47577" w14:textId="77777777" w:rsidTr="00025691">
        <w:trPr>
          <w:cantSplit/>
        </w:trPr>
        <w:tc>
          <w:tcPr>
            <w:tcW w:w="1271" w:type="dxa"/>
          </w:tcPr>
          <w:p w14:paraId="467E01A3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2EB6">
              <w:rPr>
                <w:rFonts w:ascii="Times New Roman" w:hAnsi="Times New Roman" w:cs="Times New Roman"/>
                <w:szCs w:val="21"/>
              </w:rPr>
              <w:lastRenderedPageBreak/>
              <w:t>AT4G05320</w:t>
            </w:r>
            <w:r>
              <w:rPr>
                <w:rFonts w:ascii="Times New Roman" w:hAnsi="Times New Roman" w:cs="Times New Roman"/>
                <w:szCs w:val="21"/>
              </w:rPr>
              <w:t xml:space="preserve">(UBQ10; </w:t>
            </w:r>
            <w:r w:rsidRPr="00F12EB6">
              <w:rPr>
                <w:rFonts w:ascii="Times New Roman" w:hAnsi="Times New Roman" w:cs="Times New Roman"/>
                <w:szCs w:val="21"/>
              </w:rPr>
              <w:t>ubiquitin family protein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</w:tcPr>
          <w:p w14:paraId="6B11B223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2EB6">
              <w:rPr>
                <w:rFonts w:ascii="Times New Roman" w:hAnsi="Times New Roman" w:cs="Times New Roman"/>
                <w:szCs w:val="21"/>
              </w:rPr>
              <w:t>PH02Gene03180.t1</w:t>
            </w:r>
          </w:p>
        </w:tc>
        <w:tc>
          <w:tcPr>
            <w:tcW w:w="10631" w:type="dxa"/>
          </w:tcPr>
          <w:p w14:paraId="20EBE672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F16C52E" wp14:editId="57977131">
                  <wp:extent cx="5905500" cy="4035347"/>
                  <wp:effectExtent l="0" t="0" r="0" b="3810"/>
                  <wp:docPr id="1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535" cy="404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499C44DA" w14:textId="77777777" w:rsidTr="00025691">
        <w:trPr>
          <w:cantSplit/>
        </w:trPr>
        <w:tc>
          <w:tcPr>
            <w:tcW w:w="1271" w:type="dxa"/>
          </w:tcPr>
          <w:p w14:paraId="014B05BD" w14:textId="77777777" w:rsidR="0002674A" w:rsidRPr="00F12EB6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2EB6">
              <w:rPr>
                <w:rFonts w:ascii="Times New Roman" w:hAnsi="Times New Roman" w:cs="Times New Roman"/>
                <w:szCs w:val="21"/>
              </w:rPr>
              <w:lastRenderedPageBreak/>
              <w:t>AT5G60390</w:t>
            </w:r>
            <w:r>
              <w:rPr>
                <w:rFonts w:ascii="Times New Roman" w:hAnsi="Times New Roman" w:cs="Times New Roman"/>
                <w:szCs w:val="21"/>
              </w:rPr>
              <w:t xml:space="preserve">(EF-1a4, </w:t>
            </w:r>
            <w:r w:rsidRPr="00F12EB6">
              <w:rPr>
                <w:rFonts w:ascii="Times New Roman" w:hAnsi="Times New Roman" w:cs="Times New Roman"/>
                <w:szCs w:val="21"/>
              </w:rPr>
              <w:t xml:space="preserve">GTP 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 w:rsidRPr="00F12EB6">
              <w:rPr>
                <w:rFonts w:ascii="Times New Roman" w:hAnsi="Times New Roman" w:cs="Times New Roman"/>
                <w:szCs w:val="21"/>
              </w:rPr>
              <w:t>inding Elongation factor Tu family protein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  <w:r w:rsidRPr="00F12EB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18" w:type="dxa"/>
          </w:tcPr>
          <w:p w14:paraId="3627DD48" w14:textId="77777777" w:rsidR="0002674A" w:rsidRPr="00F12EB6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2EB6">
              <w:rPr>
                <w:rFonts w:ascii="Times New Roman" w:hAnsi="Times New Roman" w:cs="Times New Roman"/>
                <w:szCs w:val="21"/>
              </w:rPr>
              <w:t>PH02Gene00084.t1</w:t>
            </w:r>
          </w:p>
        </w:tc>
        <w:tc>
          <w:tcPr>
            <w:tcW w:w="10631" w:type="dxa"/>
          </w:tcPr>
          <w:p w14:paraId="3260E0C9" w14:textId="77777777" w:rsidR="0002674A" w:rsidRDefault="0002674A" w:rsidP="00552B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DE4BD3" wp14:editId="560FD47D">
                  <wp:extent cx="5880100" cy="4038974"/>
                  <wp:effectExtent l="0" t="0" r="6350" b="0"/>
                  <wp:docPr id="20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157" cy="404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7FF20C7C" w14:textId="77777777" w:rsidTr="00025691">
        <w:trPr>
          <w:cantSplit/>
        </w:trPr>
        <w:tc>
          <w:tcPr>
            <w:tcW w:w="1271" w:type="dxa"/>
          </w:tcPr>
          <w:p w14:paraId="0B0A4421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At1g29330</w:t>
            </w:r>
          </w:p>
          <w:p w14:paraId="23E44CCE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(ERD2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086331C3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ER lumen protein retaining receptor family protein)</w:t>
            </w:r>
          </w:p>
        </w:tc>
        <w:tc>
          <w:tcPr>
            <w:tcW w:w="1418" w:type="dxa"/>
          </w:tcPr>
          <w:p w14:paraId="6078BEC9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PH02Gene24865.t1</w:t>
            </w:r>
          </w:p>
        </w:tc>
        <w:tc>
          <w:tcPr>
            <w:tcW w:w="10631" w:type="dxa"/>
          </w:tcPr>
          <w:p w14:paraId="133C00A9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38579C66" wp14:editId="1417B87E">
                  <wp:extent cx="5842000" cy="3965369"/>
                  <wp:effectExtent l="0" t="0" r="6350" b="0"/>
                  <wp:docPr id="2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162" cy="405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08752653" w14:textId="77777777" w:rsidTr="00025691">
        <w:trPr>
          <w:cantSplit/>
        </w:trPr>
        <w:tc>
          <w:tcPr>
            <w:tcW w:w="1271" w:type="dxa"/>
          </w:tcPr>
          <w:p w14:paraId="03D600FD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p24δ3 (At1g09580</w:t>
            </w:r>
            <w:r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43F09AD7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PH02Gene02587.t1</w:t>
            </w:r>
          </w:p>
        </w:tc>
        <w:tc>
          <w:tcPr>
            <w:tcW w:w="10631" w:type="dxa"/>
          </w:tcPr>
          <w:p w14:paraId="0070F50A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D0D7F87" wp14:editId="39E2625E">
                  <wp:extent cx="5829300" cy="4006320"/>
                  <wp:effectExtent l="0" t="0" r="0" b="0"/>
                  <wp:docPr id="2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616" cy="404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7BEBC360" w14:textId="77777777" w:rsidTr="00025691">
        <w:trPr>
          <w:cantSplit/>
        </w:trPr>
        <w:tc>
          <w:tcPr>
            <w:tcW w:w="1271" w:type="dxa"/>
          </w:tcPr>
          <w:p w14:paraId="114BFFA5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 xml:space="preserve">p24δ4 </w:t>
            </w:r>
          </w:p>
          <w:p w14:paraId="2B9B127B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(At1g57620</w:t>
            </w:r>
            <w:r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7720B6FC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1" w:type="dxa"/>
          </w:tcPr>
          <w:p w14:paraId="3D18CFE1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02674A" w:rsidRPr="00F1773B" w14:paraId="6BCA13EC" w14:textId="77777777" w:rsidTr="00025691">
        <w:trPr>
          <w:cantSplit/>
        </w:trPr>
        <w:tc>
          <w:tcPr>
            <w:tcW w:w="1271" w:type="dxa"/>
          </w:tcPr>
          <w:p w14:paraId="1EB33582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 xml:space="preserve">p24δ5 </w:t>
            </w:r>
          </w:p>
          <w:p w14:paraId="5C188AFA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(At1g21900</w:t>
            </w:r>
            <w:r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34986EFD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1" w:type="dxa"/>
          </w:tcPr>
          <w:p w14:paraId="56E6B567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02674A" w:rsidRPr="00F1773B" w14:paraId="409FF351" w14:textId="77777777" w:rsidTr="00025691">
        <w:trPr>
          <w:cantSplit/>
        </w:trPr>
        <w:tc>
          <w:tcPr>
            <w:tcW w:w="1271" w:type="dxa"/>
          </w:tcPr>
          <w:p w14:paraId="426B26F7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 xml:space="preserve">p24δ6 </w:t>
            </w:r>
          </w:p>
          <w:p w14:paraId="23C2B0AB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(At3g10780</w:t>
            </w:r>
            <w:r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7F0048EA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1" w:type="dxa"/>
          </w:tcPr>
          <w:p w14:paraId="48FA2D12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02674A" w:rsidRPr="00F1773B" w14:paraId="41112867" w14:textId="77777777" w:rsidTr="00025691">
        <w:trPr>
          <w:cantSplit/>
        </w:trPr>
        <w:tc>
          <w:tcPr>
            <w:tcW w:w="1271" w:type="dxa"/>
          </w:tcPr>
          <w:p w14:paraId="534633DB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p24δ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 w:rsidRPr="00F1773B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474032B2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Pr="00F1773B">
              <w:rPr>
                <w:rFonts w:ascii="Times New Roman" w:hAnsi="Times New Roman" w:cs="Times New Roman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1401</w:t>
            </w:r>
            <w:r w:rsidRPr="00F1773B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04E5C437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31BE">
              <w:rPr>
                <w:rFonts w:ascii="Times New Roman" w:hAnsi="Times New Roman" w:cs="Times New Roman"/>
                <w:szCs w:val="21"/>
              </w:rPr>
              <w:t>PH02Gene18174.t1</w:t>
            </w:r>
          </w:p>
        </w:tc>
        <w:tc>
          <w:tcPr>
            <w:tcW w:w="10631" w:type="dxa"/>
          </w:tcPr>
          <w:p w14:paraId="7DA51485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CE48199" wp14:editId="254C8F12">
                  <wp:extent cx="5892800" cy="4043025"/>
                  <wp:effectExtent l="0" t="0" r="0" b="0"/>
                  <wp:docPr id="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134" cy="4054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28DA1DC4" w14:textId="77777777" w:rsidTr="00025691">
        <w:trPr>
          <w:cantSplit/>
        </w:trPr>
        <w:tc>
          <w:tcPr>
            <w:tcW w:w="1271" w:type="dxa"/>
          </w:tcPr>
          <w:p w14:paraId="4A47DB72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p24δ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 w:rsidRPr="00F1773B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41BA910F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</w:t>
            </w:r>
            <w:r>
              <w:rPr>
                <w:rFonts w:ascii="Times New Roman" w:hAnsi="Times New Roman" w:cs="Times New Roman"/>
                <w:szCs w:val="21"/>
              </w:rPr>
              <w:t xml:space="preserve">2g03290;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2D5BD4D3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1" w:type="dxa"/>
          </w:tcPr>
          <w:p w14:paraId="37007D77" w14:textId="77777777" w:rsidR="0002674A" w:rsidRPr="00F131BE" w:rsidRDefault="0002674A" w:rsidP="00552B6A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>
              <w:rPr>
                <w:rFonts w:ascii="Times New Roman" w:eastAsia="DengXian" w:hAnsi="Times New Roman" w:cs="Times New Roman"/>
                <w:szCs w:val="21"/>
              </w:rPr>
              <w:t>A</w:t>
            </w:r>
          </w:p>
        </w:tc>
      </w:tr>
      <w:tr w:rsidR="0002674A" w:rsidRPr="00F1773B" w14:paraId="4589528F" w14:textId="77777777" w:rsidTr="00025691">
        <w:trPr>
          <w:cantSplit/>
        </w:trPr>
        <w:tc>
          <w:tcPr>
            <w:tcW w:w="1271" w:type="dxa"/>
          </w:tcPr>
          <w:p w14:paraId="52B4B262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p24δ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 w:rsidRPr="00F1773B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792C2CB2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</w:t>
            </w:r>
            <w:r>
              <w:rPr>
                <w:rFonts w:ascii="Times New Roman" w:hAnsi="Times New Roman" w:cs="Times New Roman"/>
                <w:szCs w:val="21"/>
              </w:rPr>
              <w:t xml:space="preserve">1g26690;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2EBB935D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31BE">
              <w:rPr>
                <w:rFonts w:ascii="Times New Roman" w:hAnsi="Times New Roman" w:cs="Times New Roman"/>
                <w:szCs w:val="21"/>
              </w:rPr>
              <w:t>PH02Gene41513.t1</w:t>
            </w:r>
          </w:p>
        </w:tc>
        <w:tc>
          <w:tcPr>
            <w:tcW w:w="10631" w:type="dxa"/>
          </w:tcPr>
          <w:p w14:paraId="6D11236F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51959C5" wp14:editId="38957ED5">
                  <wp:extent cx="5791200" cy="3984033"/>
                  <wp:effectExtent l="0" t="0" r="0" b="0"/>
                  <wp:docPr id="3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179" cy="399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7C205B6C" w14:textId="77777777" w:rsidTr="00025691">
        <w:trPr>
          <w:cantSplit/>
        </w:trPr>
        <w:tc>
          <w:tcPr>
            <w:tcW w:w="1271" w:type="dxa"/>
          </w:tcPr>
          <w:p w14:paraId="40310DE4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p24δ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 w:rsidRPr="00F1773B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34EECAC8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</w:t>
            </w:r>
            <w:r>
              <w:rPr>
                <w:rFonts w:ascii="Times New Roman" w:hAnsi="Times New Roman" w:cs="Times New Roman"/>
                <w:szCs w:val="21"/>
              </w:rPr>
              <w:t xml:space="preserve">1g69460;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47E62429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1" w:type="dxa"/>
          </w:tcPr>
          <w:p w14:paraId="63061A00" w14:textId="77777777" w:rsidR="0002674A" w:rsidRPr="000C1E34" w:rsidRDefault="0002674A" w:rsidP="00552B6A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N</w:t>
            </w:r>
            <w:r>
              <w:rPr>
                <w:rFonts w:ascii="Times New Roman" w:eastAsia="DengXian" w:hAnsi="Times New Roman" w:cs="Times New Roman"/>
                <w:szCs w:val="21"/>
              </w:rPr>
              <w:t>A</w:t>
            </w:r>
          </w:p>
        </w:tc>
      </w:tr>
      <w:tr w:rsidR="0002674A" w:rsidRPr="00F1773B" w14:paraId="7DEC6937" w14:textId="77777777" w:rsidTr="00025691">
        <w:trPr>
          <w:cantSplit/>
        </w:trPr>
        <w:tc>
          <w:tcPr>
            <w:tcW w:w="1271" w:type="dxa"/>
          </w:tcPr>
          <w:p w14:paraId="00602DE2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p24δ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 w:rsidRPr="00F1773B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04CCDD18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</w:t>
            </w:r>
            <w:r>
              <w:rPr>
                <w:rFonts w:ascii="Times New Roman" w:hAnsi="Times New Roman" w:cs="Times New Roman"/>
                <w:szCs w:val="21"/>
              </w:rPr>
              <w:t xml:space="preserve">3g29070;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P24 ER-Golgi-trafficking GPI-anchor protein cargo receptor)</w:t>
            </w:r>
          </w:p>
        </w:tc>
        <w:tc>
          <w:tcPr>
            <w:tcW w:w="1418" w:type="dxa"/>
          </w:tcPr>
          <w:p w14:paraId="424A98B8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1" w:type="dxa"/>
          </w:tcPr>
          <w:p w14:paraId="42D19921" w14:textId="77777777" w:rsidR="0002674A" w:rsidRDefault="0002674A" w:rsidP="00552B6A">
            <w:pPr>
              <w:rPr>
                <w:rFonts w:ascii="Times New Roman" w:eastAsia="DengXia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szCs w:val="21"/>
              </w:rPr>
              <w:t>NA</w:t>
            </w:r>
          </w:p>
        </w:tc>
      </w:tr>
      <w:tr w:rsidR="0002674A" w:rsidRPr="00F1773B" w14:paraId="2E5ACD31" w14:textId="77777777" w:rsidTr="00025691">
        <w:trPr>
          <w:cantSplit/>
        </w:trPr>
        <w:tc>
          <w:tcPr>
            <w:tcW w:w="1271" w:type="dxa"/>
          </w:tcPr>
          <w:p w14:paraId="718D6833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AT1G10950</w:t>
            </w:r>
          </w:p>
          <w:p w14:paraId="58E36B3B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(EMP12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27959645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transmembrane 9 superfamily member)</w:t>
            </w:r>
          </w:p>
        </w:tc>
        <w:tc>
          <w:tcPr>
            <w:tcW w:w="1418" w:type="dxa"/>
          </w:tcPr>
          <w:p w14:paraId="30B294C2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PH02Gene43095.t1</w:t>
            </w:r>
          </w:p>
        </w:tc>
        <w:tc>
          <w:tcPr>
            <w:tcW w:w="10631" w:type="dxa"/>
          </w:tcPr>
          <w:p w14:paraId="4E019916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5A2F87EB" wp14:editId="6C7E3AB4">
                  <wp:extent cx="5676900" cy="3695465"/>
                  <wp:effectExtent l="0" t="0" r="0" b="635"/>
                  <wp:docPr id="3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461" cy="373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0899DD4C" w14:textId="77777777" w:rsidTr="00025691">
        <w:trPr>
          <w:cantSplit/>
        </w:trPr>
        <w:tc>
          <w:tcPr>
            <w:tcW w:w="1271" w:type="dxa"/>
          </w:tcPr>
          <w:p w14:paraId="6C7E8F5D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AT4G31490</w:t>
            </w:r>
          </w:p>
          <w:p w14:paraId="4E4ED653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(β-COP</w:t>
            </w:r>
            <w:r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F1773B">
              <w:rPr>
                <w:rFonts w:ascii="Times New Roman" w:hAnsi="Times New Roman" w:cs="Times New Roman"/>
                <w:szCs w:val="21"/>
              </w:rPr>
              <w:t>Putative EMP12 regulator)</w:t>
            </w:r>
          </w:p>
          <w:p w14:paraId="41810B97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EA666BE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PH02Gene23515.t1</w:t>
            </w:r>
          </w:p>
        </w:tc>
        <w:tc>
          <w:tcPr>
            <w:tcW w:w="10631" w:type="dxa"/>
          </w:tcPr>
          <w:p w14:paraId="20C0340F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19F00A7" wp14:editId="0BE8EADA">
                  <wp:extent cx="5626100" cy="3856175"/>
                  <wp:effectExtent l="0" t="0" r="0" b="0"/>
                  <wp:docPr id="3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920" cy="395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647E6284" w14:textId="77777777" w:rsidTr="00025691">
        <w:trPr>
          <w:cantSplit/>
        </w:trPr>
        <w:tc>
          <w:tcPr>
            <w:tcW w:w="1271" w:type="dxa"/>
          </w:tcPr>
          <w:p w14:paraId="11CB68C8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AT1G30630</w:t>
            </w:r>
          </w:p>
          <w:p w14:paraId="437F6EAA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(ε-COP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14:paraId="0AC53778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Putative EMP12 regulator)</w:t>
            </w:r>
          </w:p>
        </w:tc>
        <w:tc>
          <w:tcPr>
            <w:tcW w:w="1418" w:type="dxa"/>
          </w:tcPr>
          <w:p w14:paraId="4AEDA38D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PH02Gene01759.t1</w:t>
            </w:r>
          </w:p>
        </w:tc>
        <w:tc>
          <w:tcPr>
            <w:tcW w:w="10631" w:type="dxa"/>
          </w:tcPr>
          <w:p w14:paraId="19A83177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1865B0E" wp14:editId="1A5FE1DC">
                  <wp:extent cx="5549900" cy="3838024"/>
                  <wp:effectExtent l="0" t="0" r="0" b="0"/>
                  <wp:docPr id="3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856" cy="395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3F96EA93" w14:textId="77777777" w:rsidTr="00025691">
        <w:trPr>
          <w:cantSplit/>
        </w:trPr>
        <w:tc>
          <w:tcPr>
            <w:tcW w:w="1271" w:type="dxa"/>
          </w:tcPr>
          <w:p w14:paraId="5F965C4F" w14:textId="77777777" w:rsidR="0002674A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At5g61790</w:t>
            </w:r>
          </w:p>
          <w:p w14:paraId="2660344B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(CNX1</w:t>
            </w:r>
            <w:r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F1773B">
              <w:rPr>
                <w:rFonts w:ascii="Times New Roman" w:hAnsi="Times New Roman" w:cs="Times New Roman"/>
                <w:szCs w:val="21"/>
              </w:rPr>
              <w:t>calreticulin precursor protein)</w:t>
            </w:r>
          </w:p>
        </w:tc>
        <w:tc>
          <w:tcPr>
            <w:tcW w:w="1418" w:type="dxa"/>
          </w:tcPr>
          <w:p w14:paraId="53C2E2CF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PH02Gene29370.t1</w:t>
            </w:r>
          </w:p>
        </w:tc>
        <w:tc>
          <w:tcPr>
            <w:tcW w:w="10631" w:type="dxa"/>
          </w:tcPr>
          <w:p w14:paraId="7683F690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B686A1F" wp14:editId="1FBC0B41">
                  <wp:extent cx="5562600" cy="3797248"/>
                  <wp:effectExtent l="0" t="0" r="0" b="0"/>
                  <wp:docPr id="3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2404" cy="387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7C348C7E" w14:textId="77777777" w:rsidTr="00025691">
        <w:trPr>
          <w:cantSplit/>
        </w:trPr>
        <w:tc>
          <w:tcPr>
            <w:tcW w:w="1271" w:type="dxa"/>
          </w:tcPr>
          <w:p w14:paraId="1BB1D169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AT5G60360 (AtAleurain)</w:t>
            </w:r>
          </w:p>
          <w:p w14:paraId="0FBB71FA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25104C94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PH02Gene03034.t1</w:t>
            </w:r>
          </w:p>
        </w:tc>
        <w:tc>
          <w:tcPr>
            <w:tcW w:w="10631" w:type="dxa"/>
          </w:tcPr>
          <w:p w14:paraId="7D568B8D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C0892B6" wp14:editId="3FF0F847">
                  <wp:extent cx="5549900" cy="3811295"/>
                  <wp:effectExtent l="0" t="0" r="0" b="0"/>
                  <wp:docPr id="3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290" cy="392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4A" w:rsidRPr="00F1773B" w14:paraId="2F67B415" w14:textId="77777777" w:rsidTr="00025691">
        <w:trPr>
          <w:cantSplit/>
        </w:trPr>
        <w:tc>
          <w:tcPr>
            <w:tcW w:w="1271" w:type="dxa"/>
          </w:tcPr>
          <w:p w14:paraId="06FEA9C0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lastRenderedPageBreak/>
              <w:t>AT3G52850</w:t>
            </w:r>
          </w:p>
          <w:p w14:paraId="72C2D47B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(AtVSR1)</w:t>
            </w:r>
          </w:p>
          <w:p w14:paraId="375E798E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vacuolar-sorting receptor precursor</w:t>
            </w:r>
          </w:p>
        </w:tc>
        <w:tc>
          <w:tcPr>
            <w:tcW w:w="1418" w:type="dxa"/>
          </w:tcPr>
          <w:p w14:paraId="3E6A14A1" w14:textId="77777777" w:rsidR="0002674A" w:rsidRPr="00F1773B" w:rsidRDefault="0002674A" w:rsidP="00552B6A">
            <w:pPr>
              <w:rPr>
                <w:rFonts w:ascii="Times New Roman" w:hAnsi="Times New Roman" w:cs="Times New Roman"/>
                <w:szCs w:val="21"/>
              </w:rPr>
            </w:pPr>
            <w:r w:rsidRPr="00F1773B">
              <w:rPr>
                <w:rFonts w:ascii="Times New Roman" w:hAnsi="Times New Roman" w:cs="Times New Roman"/>
                <w:szCs w:val="21"/>
              </w:rPr>
              <w:t>PH02Gene12415.t1</w:t>
            </w:r>
          </w:p>
        </w:tc>
        <w:tc>
          <w:tcPr>
            <w:tcW w:w="10631" w:type="dxa"/>
          </w:tcPr>
          <w:p w14:paraId="06A62861" w14:textId="77777777" w:rsidR="0002674A" w:rsidRPr="00F1773B" w:rsidRDefault="0002674A" w:rsidP="00552B6A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F1773B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1A71A36C" wp14:editId="149721BB">
                  <wp:extent cx="5549900" cy="3819069"/>
                  <wp:effectExtent l="0" t="0" r="0" b="0"/>
                  <wp:docPr id="3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418" cy="387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44EDD" w14:textId="77777777" w:rsidR="0002674A" w:rsidRPr="007545E1" w:rsidRDefault="0002674A" w:rsidP="0002674A">
      <w:pPr>
        <w:pStyle w:val="NormalWeb"/>
        <w:jc w:val="both"/>
        <w:rPr>
          <w:rFonts w:ascii="Times New Roman" w:hAnsi="Times New Roman" w:cs="Times New Roman"/>
        </w:rPr>
      </w:pPr>
      <w:r w:rsidRPr="00B46747">
        <w:rPr>
          <w:rFonts w:ascii="Times New Roman" w:hAnsi="Times New Roman" w:cs="Times New Roman"/>
          <w:vertAlign w:val="superscript"/>
        </w:rPr>
        <w:t>*</w:t>
      </w:r>
      <w:r w:rsidRPr="007545E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gene </w:t>
      </w:r>
      <w:r w:rsidRPr="007545E1">
        <w:rPr>
          <w:rFonts w:ascii="Times New Roman" w:hAnsi="Times New Roman" w:cs="Times New Roman"/>
        </w:rPr>
        <w:t>expression data was achieved from the BambooNET database (</w:t>
      </w:r>
      <w:r w:rsidRPr="00670ED0">
        <w:rPr>
          <w:rFonts w:ascii="Times New Roman" w:hAnsi="Times New Roman" w:cs="Times New Roman"/>
        </w:rPr>
        <w:t>http://bioinformatics.cau.edu.cn/bamboo/index.html</w:t>
      </w:r>
      <w:r w:rsidRPr="007545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</w:t>
      </w:r>
      <w:r w:rsidRPr="00670ED0">
        <w:rPr>
          <w:rFonts w:ascii="Times New Roman" w:hAnsi="Times New Roman" w:cs="Times New Roman"/>
        </w:rPr>
        <w:t>Ma et al., 2018</w:t>
      </w:r>
      <w:r>
        <w:rPr>
          <w:rFonts w:ascii="Times New Roman" w:hAnsi="Times New Roman" w:cs="Times New Roman"/>
        </w:rPr>
        <w:t>)</w:t>
      </w:r>
      <w:r w:rsidRPr="007545E1">
        <w:rPr>
          <w:rFonts w:ascii="Times New Roman" w:hAnsi="Times New Roman" w:cs="Times New Roman"/>
        </w:rPr>
        <w:t xml:space="preserve">. </w:t>
      </w:r>
      <w:r w:rsidRPr="004F0D75">
        <w:rPr>
          <w:rFonts w:ascii="Times New Roman" w:hAnsi="Times New Roman" w:cs="Times New Roman"/>
          <w:szCs w:val="21"/>
        </w:rPr>
        <w:t xml:space="preserve">The expression level of homologues of internal control genes (actin7, UBQ10, and EF-1a4) and organelle marker genes (CNX, Aleurain, and VSR) </w:t>
      </w:r>
      <w:r>
        <w:rPr>
          <w:rFonts w:ascii="Times New Roman" w:hAnsi="Times New Roman" w:cs="Times New Roman"/>
          <w:szCs w:val="21"/>
        </w:rPr>
        <w:t xml:space="preserve">were also shown for comparison. “NA” means the expression of moso bamboo </w:t>
      </w:r>
      <w:r>
        <w:rPr>
          <w:rFonts w:ascii="Times New Roman" w:hAnsi="Times New Roman" w:cs="Times New Roman"/>
        </w:rPr>
        <w:t>homologue</w:t>
      </w:r>
      <w:r w:rsidRPr="00BD785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is not detected. </w:t>
      </w:r>
    </w:p>
    <w:p w14:paraId="1343363F" w14:textId="77777777" w:rsidR="00DC5A5A" w:rsidRPr="0002674A" w:rsidRDefault="00DC5A5A"/>
    <w:sectPr w:rsidR="00DC5A5A" w:rsidRPr="0002674A" w:rsidSect="0002674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84"/>
    <w:rsid w:val="00025691"/>
    <w:rsid w:val="0002674A"/>
    <w:rsid w:val="00844784"/>
    <w:rsid w:val="008D13A6"/>
    <w:rsid w:val="00D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790F"/>
  <w15:chartTrackingRefBased/>
  <w15:docId w15:val="{B0BDEFDD-E621-45EF-B442-7006A177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4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02674A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02674A"/>
    <w:rPr>
      <w:rFonts w:ascii="宋体" w:eastAsia="宋体" w:hAnsi="宋体" w:cs="宋体"/>
      <w:kern w:val="0"/>
      <w:szCs w:val="24"/>
      <w:lang w:eastAsia="zh-CN"/>
    </w:rPr>
  </w:style>
  <w:style w:type="table" w:styleId="TableGrid">
    <w:name w:val="Table Grid"/>
    <w:basedOn w:val="TableNormal"/>
    <w:uiPriority w:val="39"/>
    <w:rsid w:val="0002674A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2021-03-04T02:24:00Z</dcterms:created>
  <dcterms:modified xsi:type="dcterms:W3CDTF">2021-03-04T02:27:00Z</dcterms:modified>
</cp:coreProperties>
</file>