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9D76C" w14:textId="5DD422CF" w:rsidR="002A2C19" w:rsidRDefault="002A2C19" w:rsidP="00EF0629">
      <w:pPr>
        <w:spacing w:line="360" w:lineRule="auto"/>
        <w:rPr>
          <w:rFonts w:ascii="Times New Roman" w:hAnsi="Times New Roman" w:cs="Times New Roman"/>
          <w:b/>
          <w:bCs/>
          <w:iCs/>
          <w:kern w:val="28"/>
          <w:sz w:val="28"/>
          <w:szCs w:val="28"/>
          <w:lang w:val="en-US"/>
        </w:rPr>
      </w:pPr>
      <w:bookmarkStart w:id="0" w:name="_GoBack"/>
      <w:bookmarkEnd w:id="0"/>
      <w:r w:rsidRPr="00A804DA">
        <w:rPr>
          <w:rFonts w:ascii="Times New Roman" w:hAnsi="Times New Roman" w:cs="Times New Roman"/>
          <w:b/>
          <w:bCs/>
          <w:iCs/>
          <w:kern w:val="28"/>
          <w:sz w:val="28"/>
          <w:szCs w:val="28"/>
          <w:lang w:val="en-US"/>
        </w:rPr>
        <w:t xml:space="preserve">Supplementary </w:t>
      </w:r>
      <w:r w:rsidR="00741B61">
        <w:rPr>
          <w:rFonts w:ascii="Times New Roman" w:hAnsi="Times New Roman" w:cs="Times New Roman"/>
          <w:b/>
          <w:bCs/>
          <w:iCs/>
          <w:kern w:val="28"/>
          <w:sz w:val="28"/>
          <w:szCs w:val="28"/>
          <w:lang w:val="en-US"/>
        </w:rPr>
        <w:t>file</w:t>
      </w:r>
    </w:p>
    <w:p w14:paraId="4D3B3056" w14:textId="77777777" w:rsidR="00EF0629" w:rsidRPr="00A804DA" w:rsidRDefault="00EF0629" w:rsidP="00EF0629">
      <w:pPr>
        <w:spacing w:line="360" w:lineRule="auto"/>
        <w:rPr>
          <w:rFonts w:ascii="Times New Roman" w:hAnsi="Times New Roman" w:cs="Times New Roman"/>
          <w:b/>
          <w:bCs/>
          <w:iCs/>
          <w:kern w:val="28"/>
          <w:sz w:val="28"/>
          <w:szCs w:val="28"/>
          <w:lang w:val="en-US"/>
        </w:rPr>
      </w:pPr>
    </w:p>
    <w:p w14:paraId="070584C6" w14:textId="52C60299" w:rsidR="00B9069A" w:rsidRPr="00796175" w:rsidRDefault="00B9069A" w:rsidP="008F6807">
      <w:pPr>
        <w:spacing w:line="360" w:lineRule="auto"/>
        <w:jc w:val="both"/>
        <w:rPr>
          <w:rFonts w:ascii="Times New Roman" w:eastAsia="Calibri" w:hAnsi="Times New Roman" w:cs="Times New Roman"/>
          <w:b/>
          <w:color w:val="000000" w:themeColor="text1"/>
          <w:sz w:val="24"/>
          <w:szCs w:val="24"/>
          <w:u w:color="000000"/>
          <w:lang w:eastAsia="en-GB"/>
        </w:rPr>
      </w:pPr>
      <w:proofErr w:type="gramStart"/>
      <w:r w:rsidRPr="001763DB">
        <w:rPr>
          <w:rFonts w:ascii="Times New Roman" w:eastAsia="Calibri" w:hAnsi="Times New Roman" w:cs="Times New Roman"/>
          <w:b/>
          <w:color w:val="000000" w:themeColor="text1"/>
          <w:sz w:val="24"/>
          <w:szCs w:val="24"/>
          <w:u w:color="000000"/>
          <w:lang w:val="en-US" w:eastAsia="en-GB"/>
        </w:rPr>
        <w:t xml:space="preserve">Supplementary Table </w:t>
      </w:r>
      <w:r w:rsidR="00543B76">
        <w:rPr>
          <w:rFonts w:ascii="Times New Roman" w:eastAsia="Calibri" w:hAnsi="Times New Roman" w:cs="Times New Roman"/>
          <w:b/>
          <w:color w:val="000000" w:themeColor="text1"/>
          <w:sz w:val="24"/>
          <w:szCs w:val="24"/>
          <w:u w:color="000000"/>
          <w:lang w:val="en-US" w:eastAsia="en-GB"/>
        </w:rPr>
        <w:t>1</w:t>
      </w:r>
      <w:r w:rsidRPr="001763DB">
        <w:rPr>
          <w:rFonts w:ascii="Times New Roman" w:eastAsia="Calibri" w:hAnsi="Times New Roman" w:cs="Times New Roman"/>
          <w:b/>
          <w:color w:val="000000" w:themeColor="text1"/>
          <w:sz w:val="24"/>
          <w:szCs w:val="24"/>
          <w:u w:color="000000"/>
          <w:lang w:val="en-US" w:eastAsia="en-GB"/>
        </w:rPr>
        <w:t>.</w:t>
      </w:r>
      <w:proofErr w:type="gramEnd"/>
      <w:r w:rsidRPr="001763DB">
        <w:rPr>
          <w:rFonts w:ascii="Times New Roman" w:eastAsia="Calibri" w:hAnsi="Times New Roman" w:cs="Times New Roman"/>
          <w:b/>
          <w:color w:val="000000" w:themeColor="text1"/>
          <w:sz w:val="24"/>
          <w:szCs w:val="24"/>
          <w:u w:color="000000"/>
          <w:lang w:val="en-US" w:eastAsia="en-GB"/>
        </w:rPr>
        <w:t xml:space="preserve"> Sequences of primers used for </w:t>
      </w:r>
      <w:proofErr w:type="spellStart"/>
      <w:r w:rsidRPr="001763DB">
        <w:rPr>
          <w:rFonts w:ascii="Times New Roman" w:eastAsia="Calibri" w:hAnsi="Times New Roman" w:cs="Times New Roman"/>
          <w:b/>
          <w:color w:val="000000" w:themeColor="text1"/>
          <w:sz w:val="24"/>
          <w:szCs w:val="24"/>
          <w:u w:color="000000"/>
          <w:lang w:val="en-US" w:eastAsia="en-GB"/>
        </w:rPr>
        <w:t>qRT</w:t>
      </w:r>
      <w:proofErr w:type="spellEnd"/>
      <w:r w:rsidRPr="001763DB">
        <w:rPr>
          <w:rFonts w:ascii="Times New Roman" w:eastAsia="Calibri" w:hAnsi="Times New Roman" w:cs="Times New Roman"/>
          <w:b/>
          <w:color w:val="000000" w:themeColor="text1"/>
          <w:sz w:val="24"/>
          <w:szCs w:val="24"/>
          <w:u w:color="000000"/>
          <w:lang w:val="en-US" w:eastAsia="en-GB"/>
        </w:rPr>
        <w:t>-PCR</w:t>
      </w:r>
    </w:p>
    <w:p w14:paraId="6239C771" w14:textId="77777777" w:rsidR="00D0531C" w:rsidRPr="00F72160" w:rsidRDefault="00D0531C" w:rsidP="008F6807">
      <w:pPr>
        <w:pStyle w:val="NormalWeb"/>
        <w:spacing w:before="0" w:beforeAutospacing="0" w:after="0" w:afterAutospacing="0" w:line="360" w:lineRule="auto"/>
        <w:jc w:val="both"/>
        <w:rPr>
          <w:color w:val="000000"/>
        </w:rPr>
      </w:pPr>
    </w:p>
    <w:tbl>
      <w:tblPr>
        <w:tblpPr w:leftFromText="180" w:rightFromText="180" w:vertAnchor="text" w:horzAnchor="margin" w:tblpY="8"/>
        <w:tblW w:w="9759"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1562"/>
        <w:gridCol w:w="4087"/>
        <w:gridCol w:w="4110"/>
      </w:tblGrid>
      <w:tr w:rsidR="00D0531C" w:rsidRPr="00F72160" w14:paraId="2066C58B"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6F6F6"/>
            <w:tcMar>
              <w:top w:w="0" w:type="dxa"/>
              <w:left w:w="120" w:type="dxa"/>
              <w:bottom w:w="120" w:type="dxa"/>
              <w:right w:w="120" w:type="dxa"/>
            </w:tcMar>
            <w:vAlign w:val="center"/>
            <w:hideMark/>
          </w:tcPr>
          <w:p w14:paraId="5DA51649" w14:textId="77777777" w:rsidR="00D0531C" w:rsidRPr="00F72160" w:rsidRDefault="00D0531C" w:rsidP="008F6807">
            <w:pPr>
              <w:spacing w:line="240" w:lineRule="auto"/>
              <w:jc w:val="center"/>
              <w:rPr>
                <w:b/>
                <w:bCs/>
                <w:color w:val="000000"/>
                <w:lang w:eastAsia="ru-RU"/>
              </w:rPr>
            </w:pPr>
            <w:r w:rsidRPr="00F72160">
              <w:rPr>
                <w:b/>
                <w:bCs/>
                <w:iCs/>
                <w:color w:val="000000"/>
                <w:lang w:eastAsia="ru-RU"/>
              </w:rPr>
              <w:t>Gene</w:t>
            </w:r>
          </w:p>
        </w:tc>
        <w:tc>
          <w:tcPr>
            <w:tcW w:w="4087" w:type="dxa"/>
            <w:tcBorders>
              <w:top w:val="single" w:sz="4" w:space="0" w:color="auto"/>
              <w:left w:val="single" w:sz="4" w:space="0" w:color="auto"/>
              <w:bottom w:val="single" w:sz="4" w:space="0" w:color="auto"/>
              <w:right w:val="single" w:sz="4" w:space="0" w:color="auto"/>
            </w:tcBorders>
            <w:shd w:val="clear" w:color="auto" w:fill="F6F6F6"/>
            <w:tcMar>
              <w:top w:w="0" w:type="dxa"/>
              <w:left w:w="120" w:type="dxa"/>
              <w:bottom w:w="120" w:type="dxa"/>
              <w:right w:w="120" w:type="dxa"/>
            </w:tcMar>
            <w:vAlign w:val="center"/>
            <w:hideMark/>
          </w:tcPr>
          <w:p w14:paraId="2154DF5D" w14:textId="77777777" w:rsidR="00D0531C" w:rsidRPr="00F72160" w:rsidRDefault="00D0531C" w:rsidP="008F6807">
            <w:pPr>
              <w:spacing w:line="240" w:lineRule="auto"/>
              <w:jc w:val="center"/>
              <w:rPr>
                <w:b/>
                <w:bCs/>
                <w:color w:val="000000"/>
                <w:lang w:eastAsia="ru-RU"/>
              </w:rPr>
            </w:pPr>
            <w:r w:rsidRPr="00F72160">
              <w:rPr>
                <w:b/>
                <w:bCs/>
                <w:iCs/>
                <w:color w:val="000000"/>
                <w:lang w:eastAsia="ru-RU"/>
              </w:rPr>
              <w:t>Forward primer 5</w:t>
            </w:r>
            <w:r w:rsidRPr="00F72160">
              <w:rPr>
                <w:b/>
                <w:bCs/>
                <w:color w:val="000000"/>
                <w:lang w:eastAsia="ru-RU"/>
              </w:rPr>
              <w:t>′–</w:t>
            </w:r>
            <w:r w:rsidRPr="00F72160">
              <w:rPr>
                <w:b/>
                <w:bCs/>
                <w:iCs/>
                <w:color w:val="000000"/>
                <w:lang w:eastAsia="ru-RU"/>
              </w:rPr>
              <w:t>3′</w:t>
            </w:r>
          </w:p>
        </w:tc>
        <w:tc>
          <w:tcPr>
            <w:tcW w:w="4110" w:type="dxa"/>
            <w:tcBorders>
              <w:top w:val="single" w:sz="4" w:space="0" w:color="auto"/>
              <w:left w:val="single" w:sz="4" w:space="0" w:color="auto"/>
              <w:bottom w:val="single" w:sz="4" w:space="0" w:color="auto"/>
              <w:right w:val="single" w:sz="4" w:space="0" w:color="auto"/>
            </w:tcBorders>
            <w:shd w:val="clear" w:color="auto" w:fill="F6F6F6"/>
            <w:tcMar>
              <w:top w:w="0" w:type="dxa"/>
              <w:left w:w="120" w:type="dxa"/>
              <w:bottom w:w="120" w:type="dxa"/>
              <w:right w:w="120" w:type="dxa"/>
            </w:tcMar>
            <w:vAlign w:val="center"/>
            <w:hideMark/>
          </w:tcPr>
          <w:p w14:paraId="5009BB64" w14:textId="77777777" w:rsidR="00D0531C" w:rsidRPr="00F72160" w:rsidRDefault="00D0531C" w:rsidP="008F6807">
            <w:pPr>
              <w:spacing w:line="240" w:lineRule="auto"/>
              <w:jc w:val="center"/>
              <w:rPr>
                <w:b/>
                <w:bCs/>
                <w:color w:val="000000"/>
                <w:lang w:eastAsia="ru-RU"/>
              </w:rPr>
            </w:pPr>
            <w:r w:rsidRPr="00F72160">
              <w:rPr>
                <w:b/>
                <w:bCs/>
                <w:iCs/>
                <w:color w:val="000000"/>
                <w:lang w:eastAsia="ru-RU"/>
              </w:rPr>
              <w:t>Reverse primer 5′–3′</w:t>
            </w:r>
          </w:p>
        </w:tc>
      </w:tr>
      <w:tr w:rsidR="00D0531C" w:rsidRPr="00F72160" w14:paraId="5193C8A6"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21B533A6"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bCs/>
                <w:iCs/>
                <w:color w:val="000000"/>
                <w:lang w:eastAsia="ru-RU"/>
              </w:rPr>
              <w:t>GAPDH</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3F8B2C17"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TGCACCACCAACTGCTTAG</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59273E74"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GGATGCAGGGATGATGTTC</w:t>
            </w:r>
          </w:p>
        </w:tc>
      </w:tr>
      <w:tr w:rsidR="00D0531C" w:rsidRPr="00F72160" w14:paraId="3FCC8988"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2D856059" w14:textId="77777777" w:rsidR="00D0531C" w:rsidRPr="005A6A8A" w:rsidRDefault="00D0531C" w:rsidP="008F6807">
            <w:pPr>
              <w:spacing w:line="240" w:lineRule="auto"/>
              <w:jc w:val="center"/>
              <w:rPr>
                <w:rFonts w:ascii="Times" w:hAnsi="Times"/>
                <w:bCs/>
                <w:iCs/>
                <w:color w:val="000000"/>
                <w:lang w:eastAsia="ru-RU"/>
              </w:rPr>
            </w:pPr>
            <w:r w:rsidRPr="005A6A8A">
              <w:rPr>
                <w:rFonts w:ascii="Times" w:hAnsi="Times"/>
                <w:bCs/>
                <w:iCs/>
                <w:color w:val="000000"/>
                <w:lang w:eastAsia="ru-RU"/>
              </w:rPr>
              <w:t>GSK3</w:t>
            </w:r>
            <w:r w:rsidRPr="005A6A8A">
              <w:rPr>
                <w:rFonts w:ascii="Times" w:hAnsi="Times"/>
              </w:rPr>
              <w:t>α</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70CDFA37"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AATCTTGGCCAGTCTGAGCT</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2904FF8D"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TCAGTCCTGGTGAACTGTCC</w:t>
            </w:r>
          </w:p>
        </w:tc>
      </w:tr>
      <w:tr w:rsidR="00D0531C" w:rsidRPr="00F72160" w14:paraId="3BD346A8"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24C500EC" w14:textId="77777777" w:rsidR="00D0531C" w:rsidRPr="005A6A8A" w:rsidRDefault="00D0531C" w:rsidP="008F6807">
            <w:pPr>
              <w:spacing w:line="240" w:lineRule="auto"/>
              <w:jc w:val="center"/>
              <w:rPr>
                <w:rFonts w:ascii="Times" w:hAnsi="Times"/>
                <w:bCs/>
                <w:iCs/>
                <w:color w:val="000000"/>
                <w:lang w:eastAsia="ru-RU"/>
              </w:rPr>
            </w:pPr>
            <w:r w:rsidRPr="005A6A8A">
              <w:rPr>
                <w:rFonts w:ascii="Times" w:hAnsi="Times"/>
                <w:bCs/>
                <w:iCs/>
                <w:color w:val="000000"/>
                <w:lang w:eastAsia="ru-RU"/>
              </w:rPr>
              <w:t>GSK3</w:t>
            </w:r>
            <w:r w:rsidRPr="005A6A8A">
              <w:rPr>
                <w:rFonts w:ascii="Times" w:hAnsi="Times"/>
              </w:rPr>
              <w:t>β</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34C12165"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TCCATTCCTTTGGAATCTGC</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702AFA5A"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hAnsi="Times"/>
                <w:color w:val="000000"/>
              </w:rPr>
              <w:t>CAATTCAGCCAACACACAGC</w:t>
            </w:r>
          </w:p>
        </w:tc>
      </w:tr>
      <w:tr w:rsidR="00D0531C" w:rsidRPr="00F72160" w14:paraId="06860817"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334A6D87" w14:textId="77777777" w:rsidR="00D0531C" w:rsidRPr="005A6A8A" w:rsidRDefault="00D0531C" w:rsidP="008F6807">
            <w:pPr>
              <w:spacing w:line="240" w:lineRule="auto"/>
              <w:jc w:val="center"/>
              <w:rPr>
                <w:rFonts w:ascii="Times" w:hAnsi="Times"/>
                <w:bCs/>
                <w:iCs/>
                <w:color w:val="000000"/>
                <w:lang w:eastAsia="ru-RU"/>
              </w:rPr>
            </w:pPr>
            <w:r w:rsidRPr="005A6A8A">
              <w:rPr>
                <w:rFonts w:ascii="Times" w:hAnsi="Times"/>
                <w:bCs/>
                <w:iCs/>
                <w:color w:val="000000"/>
                <w:lang w:eastAsia="ru-RU"/>
              </w:rPr>
              <w:t>Akt</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4958AD5B" w14:textId="77777777" w:rsidR="00D0531C" w:rsidRPr="005A6A8A" w:rsidRDefault="00D0531C" w:rsidP="008F6807">
            <w:pPr>
              <w:spacing w:line="240" w:lineRule="auto"/>
              <w:jc w:val="center"/>
              <w:rPr>
                <w:rFonts w:ascii="Times" w:hAnsi="Times"/>
              </w:rPr>
            </w:pPr>
            <w:r w:rsidRPr="005A6A8A">
              <w:rPr>
                <w:rFonts w:ascii="Times" w:hAnsi="Times" w:cs="Segoe UI"/>
                <w:color w:val="333333"/>
                <w:shd w:val="clear" w:color="auto" w:fill="FCFCFC"/>
              </w:rPr>
              <w:t>GGCTGCTCAAGAAGGACCCTAC</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69FF69AD" w14:textId="77777777" w:rsidR="00D0531C" w:rsidRPr="005A6A8A" w:rsidRDefault="00D0531C" w:rsidP="008F6807">
            <w:pPr>
              <w:spacing w:line="240" w:lineRule="auto"/>
              <w:jc w:val="center"/>
              <w:rPr>
                <w:rFonts w:ascii="Times" w:hAnsi="Times"/>
              </w:rPr>
            </w:pPr>
            <w:r w:rsidRPr="005A6A8A">
              <w:rPr>
                <w:rFonts w:ascii="Times" w:hAnsi="Times" w:cs="Segoe UI"/>
                <w:color w:val="333333"/>
                <w:shd w:val="clear" w:color="auto" w:fill="FCFCFC"/>
              </w:rPr>
              <w:t>GGTGCTGCATGATCTCCTTGG</w:t>
            </w:r>
          </w:p>
        </w:tc>
      </w:tr>
      <w:tr w:rsidR="00D0531C" w:rsidRPr="00F72160" w14:paraId="739C623B" w14:textId="77777777" w:rsidTr="00694F54">
        <w:trPr>
          <w:trHeight w:val="252"/>
          <w:tblHeader/>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5EF0FF98" w14:textId="77777777" w:rsidR="00D0531C" w:rsidRPr="005A6A8A" w:rsidRDefault="00D0531C" w:rsidP="008F6807">
            <w:pPr>
              <w:spacing w:line="240" w:lineRule="auto"/>
              <w:jc w:val="center"/>
              <w:rPr>
                <w:rFonts w:ascii="Times" w:hAnsi="Times"/>
                <w:bCs/>
                <w:iCs/>
                <w:color w:val="000000"/>
                <w:lang w:eastAsia="ru-RU"/>
              </w:rPr>
            </w:pPr>
            <w:r w:rsidRPr="005A6A8A">
              <w:rPr>
                <w:rFonts w:ascii="Times" w:hAnsi="Times"/>
                <w:bCs/>
                <w:iCs/>
                <w:color w:val="000000"/>
                <w:lang w:eastAsia="ru-RU"/>
              </w:rPr>
              <w:t>IL-1</w:t>
            </w:r>
            <w:r w:rsidRPr="005A6A8A">
              <w:rPr>
                <w:rFonts w:ascii="Times" w:hAnsi="Times"/>
              </w:rPr>
              <w:t>β</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5E8A4E9F"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eastAsia="Calibri" w:hAnsi="Times"/>
                <w:color w:val="000000"/>
                <w:lang w:val="en-US"/>
              </w:rPr>
              <w:t>TGTAATGAAAGACGGCACACC</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120" w:type="dxa"/>
              <w:right w:w="120" w:type="dxa"/>
            </w:tcMar>
            <w:vAlign w:val="center"/>
          </w:tcPr>
          <w:p w14:paraId="7AF712E2" w14:textId="77777777" w:rsidR="00D0531C" w:rsidRPr="005A6A8A" w:rsidRDefault="00D0531C" w:rsidP="008F6807">
            <w:pPr>
              <w:spacing w:line="240" w:lineRule="auto"/>
              <w:jc w:val="center"/>
              <w:rPr>
                <w:rFonts w:ascii="Times" w:hAnsi="Times"/>
                <w:b/>
                <w:bCs/>
                <w:iCs/>
                <w:color w:val="000000"/>
                <w:lang w:eastAsia="ru-RU"/>
              </w:rPr>
            </w:pPr>
            <w:r w:rsidRPr="005A6A8A">
              <w:rPr>
                <w:rFonts w:ascii="Times" w:eastAsia="Calibri" w:hAnsi="Times"/>
                <w:color w:val="000000"/>
                <w:lang w:val="en-US"/>
              </w:rPr>
              <w:t>TCTTCTTTGGGTATTGCTTGG</w:t>
            </w:r>
          </w:p>
        </w:tc>
      </w:tr>
      <w:tr w:rsidR="00D0531C" w:rsidRPr="00F72160" w14:paraId="4DB7BDC9" w14:textId="77777777" w:rsidTr="00694F54">
        <w:trPr>
          <w:trHeight w:val="378"/>
        </w:trPr>
        <w:tc>
          <w:tcPr>
            <w:tcW w:w="1562"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517174A2" w14:textId="77777777" w:rsidR="00D0531C" w:rsidRPr="005A6A8A" w:rsidRDefault="00D0531C" w:rsidP="008F6807">
            <w:pPr>
              <w:spacing w:line="240" w:lineRule="auto"/>
              <w:jc w:val="center"/>
              <w:rPr>
                <w:rFonts w:ascii="Times" w:hAnsi="Times"/>
                <w:color w:val="000000"/>
                <w:lang w:eastAsia="ru-RU"/>
              </w:rPr>
            </w:pPr>
            <w:r w:rsidRPr="005A6A8A">
              <w:rPr>
                <w:rFonts w:ascii="Times" w:hAnsi="Times"/>
                <w:color w:val="000000"/>
                <w:lang w:eastAsia="ru-RU"/>
              </w:rPr>
              <w:t>IL-6</w:t>
            </w:r>
          </w:p>
        </w:tc>
        <w:tc>
          <w:tcPr>
            <w:tcW w:w="4087"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089446CB" w14:textId="77777777" w:rsidR="00D0531C" w:rsidRPr="005A6A8A" w:rsidRDefault="00D0531C" w:rsidP="008F6807">
            <w:pPr>
              <w:spacing w:line="240" w:lineRule="auto"/>
              <w:jc w:val="center"/>
              <w:rPr>
                <w:rFonts w:ascii="Times" w:hAnsi="Times"/>
                <w:color w:val="000000"/>
                <w:lang w:eastAsia="ru-RU"/>
              </w:rPr>
            </w:pPr>
            <w:r w:rsidRPr="005A6A8A">
              <w:rPr>
                <w:rFonts w:ascii="Times" w:eastAsia="Calibri" w:hAnsi="Times"/>
                <w:color w:val="000000"/>
                <w:lang w:val="en-US"/>
              </w:rPr>
              <w:t>ACTCACCTCTTCAGAACGAATTG</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3B6C885A" w14:textId="77777777" w:rsidR="00D0531C" w:rsidRPr="005A6A8A" w:rsidRDefault="00D0531C" w:rsidP="008F6807">
            <w:pPr>
              <w:spacing w:line="240" w:lineRule="auto"/>
              <w:jc w:val="center"/>
              <w:rPr>
                <w:rFonts w:ascii="Times" w:hAnsi="Times"/>
                <w:color w:val="000000"/>
                <w:lang w:eastAsia="ru-RU"/>
              </w:rPr>
            </w:pPr>
            <w:r w:rsidRPr="005A6A8A">
              <w:rPr>
                <w:rFonts w:ascii="Times" w:eastAsia="Calibri" w:hAnsi="Times"/>
                <w:color w:val="000000"/>
                <w:lang w:val="en-US"/>
              </w:rPr>
              <w:t>CCATCTTTGGAAGGTTCAGGTTG</w:t>
            </w:r>
          </w:p>
        </w:tc>
      </w:tr>
      <w:tr w:rsidR="00D0531C" w:rsidRPr="00F72160" w14:paraId="2C5791DB" w14:textId="77777777" w:rsidTr="00694F54">
        <w:trPr>
          <w:trHeight w:val="378"/>
        </w:trPr>
        <w:tc>
          <w:tcPr>
            <w:tcW w:w="1562"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1CF8A0BD" w14:textId="77777777" w:rsidR="00D0531C" w:rsidRPr="005A6A8A" w:rsidRDefault="00D0531C" w:rsidP="008F6807">
            <w:pPr>
              <w:spacing w:line="240" w:lineRule="auto"/>
              <w:jc w:val="center"/>
              <w:rPr>
                <w:rFonts w:ascii="Times" w:hAnsi="Times"/>
                <w:bCs/>
                <w:iCs/>
                <w:color w:val="000000"/>
                <w:lang w:val="fr-FR" w:eastAsia="ru-RU"/>
              </w:rPr>
            </w:pPr>
            <w:r w:rsidRPr="005A6A8A">
              <w:rPr>
                <w:rFonts w:ascii="Times" w:hAnsi="Times"/>
                <w:bCs/>
                <w:iCs/>
                <w:color w:val="000000"/>
                <w:lang w:val="fr-FR" w:eastAsia="ru-RU"/>
              </w:rPr>
              <w:t>IL-15</w:t>
            </w:r>
          </w:p>
        </w:tc>
        <w:tc>
          <w:tcPr>
            <w:tcW w:w="4087"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093B288A" w14:textId="77777777" w:rsidR="00D0531C" w:rsidRPr="005A6A8A" w:rsidRDefault="00D0531C" w:rsidP="008F6807">
            <w:pPr>
              <w:spacing w:line="240" w:lineRule="auto"/>
              <w:jc w:val="center"/>
              <w:rPr>
                <w:rFonts w:ascii="Times" w:hAnsi="Times"/>
                <w:color w:val="000000"/>
              </w:rPr>
            </w:pPr>
            <w:r w:rsidRPr="005A6A8A">
              <w:rPr>
                <w:rFonts w:ascii="Times" w:eastAsia="Calibri" w:hAnsi="Times"/>
                <w:color w:val="000000"/>
                <w:lang w:val="en-US"/>
              </w:rPr>
              <w:t>CCATCCAGTGCTACTTGTGTTTAC</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center"/>
          </w:tcPr>
          <w:p w14:paraId="3D8EDA40" w14:textId="77777777" w:rsidR="00D0531C" w:rsidRPr="005A6A8A" w:rsidRDefault="00D0531C" w:rsidP="008F6807">
            <w:pPr>
              <w:spacing w:line="240" w:lineRule="auto"/>
              <w:jc w:val="center"/>
              <w:rPr>
                <w:rFonts w:ascii="Times" w:hAnsi="Times"/>
                <w:color w:val="000000"/>
              </w:rPr>
            </w:pPr>
            <w:r w:rsidRPr="005A6A8A">
              <w:rPr>
                <w:rFonts w:ascii="Times" w:eastAsia="Calibri" w:hAnsi="Times"/>
                <w:color w:val="000000"/>
                <w:lang w:val="en-US"/>
              </w:rPr>
              <w:t>CCAGTTGGCTTCTGTTTTAGGAA</w:t>
            </w:r>
          </w:p>
        </w:tc>
      </w:tr>
    </w:tbl>
    <w:p w14:paraId="130B1EF6" w14:textId="77777777" w:rsidR="00EF0629" w:rsidRDefault="00EF0629" w:rsidP="008F6807">
      <w:pPr>
        <w:spacing w:line="360" w:lineRule="auto"/>
        <w:jc w:val="both"/>
        <w:rPr>
          <w:rFonts w:ascii="Times New Roman" w:hAnsi="Times New Roman" w:cs="Times New Roman"/>
          <w:b/>
          <w:sz w:val="24"/>
          <w:szCs w:val="24"/>
          <w:lang w:val="en-US"/>
        </w:rPr>
      </w:pPr>
    </w:p>
    <w:p w14:paraId="6B8E4E3B" w14:textId="77777777" w:rsidR="00EF0629" w:rsidRDefault="00EF0629" w:rsidP="008F6807">
      <w:pPr>
        <w:spacing w:line="360" w:lineRule="auto"/>
        <w:jc w:val="both"/>
        <w:rPr>
          <w:rFonts w:ascii="Times New Roman" w:hAnsi="Times New Roman" w:cs="Times New Roman"/>
          <w:b/>
          <w:sz w:val="24"/>
          <w:szCs w:val="24"/>
          <w:lang w:val="en-US"/>
        </w:rPr>
      </w:pPr>
    </w:p>
    <w:p w14:paraId="73FD4CA1" w14:textId="30C812B6" w:rsidR="001763DB" w:rsidRPr="001763DB" w:rsidRDefault="00543B76" w:rsidP="008F6807">
      <w:pPr>
        <w:spacing w:line="360" w:lineRule="auto"/>
        <w:jc w:val="both"/>
        <w:rPr>
          <w:rFonts w:ascii="Times New Roman" w:hAnsi="Times New Roman" w:cs="Times New Roman"/>
          <w:b/>
          <w:sz w:val="24"/>
          <w:szCs w:val="24"/>
          <w:lang w:val="en-US"/>
        </w:rPr>
      </w:pPr>
      <w:proofErr w:type="gramStart"/>
      <w:r w:rsidRPr="00543B76">
        <w:rPr>
          <w:rFonts w:ascii="Times New Roman" w:hAnsi="Times New Roman" w:cs="Times New Roman"/>
          <w:b/>
          <w:sz w:val="24"/>
          <w:szCs w:val="24"/>
          <w:lang w:val="en-US"/>
        </w:rPr>
        <w:t>Supplementary</w:t>
      </w:r>
      <w:r w:rsidRPr="00DD7E17">
        <w:rPr>
          <w:rFonts w:ascii="Times New Roman" w:hAnsi="Times New Roman" w:cs="Times New Roman"/>
          <w:color w:val="000000" w:themeColor="text1"/>
          <w:sz w:val="24"/>
          <w:szCs w:val="24"/>
          <w:lang w:val="en-US"/>
        </w:rPr>
        <w:t xml:space="preserve"> </w:t>
      </w:r>
      <w:r w:rsidR="001763DB" w:rsidRPr="001763DB">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2</w:t>
      </w:r>
      <w:r w:rsidR="001763DB" w:rsidRPr="001763DB">
        <w:rPr>
          <w:rFonts w:ascii="Times New Roman" w:hAnsi="Times New Roman" w:cs="Times New Roman"/>
          <w:b/>
          <w:sz w:val="24"/>
          <w:szCs w:val="24"/>
          <w:lang w:val="en-US"/>
        </w:rPr>
        <w:t>.</w:t>
      </w:r>
      <w:proofErr w:type="gramEnd"/>
      <w:r w:rsidR="001763DB" w:rsidRPr="001763DB">
        <w:rPr>
          <w:rFonts w:ascii="Times New Roman" w:hAnsi="Times New Roman" w:cs="Times New Roman"/>
          <w:b/>
          <w:sz w:val="24"/>
          <w:szCs w:val="24"/>
          <w:lang w:val="en-US"/>
        </w:rPr>
        <w:t xml:space="preserve"> Primary antibodies used in the Western blot assay</w:t>
      </w:r>
    </w:p>
    <w:p w14:paraId="5771A23D" w14:textId="77777777" w:rsidR="001763DB" w:rsidRPr="00A804DA" w:rsidRDefault="001763DB" w:rsidP="008F6807">
      <w:pPr>
        <w:spacing w:line="360" w:lineRule="auto"/>
        <w:jc w:val="both"/>
        <w:rPr>
          <w:rFonts w:eastAsia="Calibri"/>
          <w:b/>
          <w:lang w:val="en-US"/>
        </w:rPr>
      </w:pPr>
    </w:p>
    <w:tbl>
      <w:tblPr>
        <w:tblpPr w:leftFromText="180" w:rightFromText="180" w:vertAnchor="text" w:horzAnchor="margin" w:tblpXSpec="center" w:tblpY="8"/>
        <w:tblW w:w="8528"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6968"/>
        <w:gridCol w:w="1560"/>
      </w:tblGrid>
      <w:tr w:rsidR="001763DB" w:rsidRPr="00A804DA" w14:paraId="09056F44" w14:textId="77777777" w:rsidTr="00694F54">
        <w:trPr>
          <w:trHeight w:val="295"/>
          <w:tblHeader/>
        </w:trPr>
        <w:tc>
          <w:tcPr>
            <w:tcW w:w="6968" w:type="dxa"/>
            <w:tcBorders>
              <w:top w:val="single" w:sz="4" w:space="0" w:color="auto"/>
              <w:left w:val="single" w:sz="4" w:space="0" w:color="auto"/>
              <w:bottom w:val="single" w:sz="4" w:space="0" w:color="auto"/>
              <w:right w:val="single" w:sz="4" w:space="0" w:color="auto"/>
            </w:tcBorders>
            <w:shd w:val="clear" w:color="auto" w:fill="F6F6F6"/>
            <w:tcMar>
              <w:top w:w="0" w:type="dxa"/>
              <w:left w:w="120" w:type="dxa"/>
              <w:bottom w:w="120" w:type="dxa"/>
              <w:right w:w="120" w:type="dxa"/>
            </w:tcMar>
            <w:vAlign w:val="center"/>
          </w:tcPr>
          <w:p w14:paraId="3D69F1C6" w14:textId="77777777" w:rsidR="001763DB" w:rsidRPr="00970FFB" w:rsidRDefault="001763DB" w:rsidP="008F6807">
            <w:pPr>
              <w:spacing w:line="240" w:lineRule="auto"/>
              <w:jc w:val="center"/>
              <w:rPr>
                <w:rFonts w:ascii="Times New Roman" w:hAnsi="Times New Roman" w:cs="Times New Roman"/>
                <w:b/>
                <w:sz w:val="24"/>
                <w:szCs w:val="24"/>
                <w:lang w:val="en-US"/>
              </w:rPr>
            </w:pPr>
            <w:r w:rsidRPr="00970FFB">
              <w:rPr>
                <w:rFonts w:ascii="Times New Roman" w:hAnsi="Times New Roman" w:cs="Times New Roman"/>
                <w:b/>
                <w:sz w:val="24"/>
                <w:szCs w:val="24"/>
                <w:lang w:val="en-US"/>
              </w:rPr>
              <w:t>Antibody</w:t>
            </w:r>
          </w:p>
        </w:tc>
        <w:tc>
          <w:tcPr>
            <w:tcW w:w="1560" w:type="dxa"/>
            <w:tcBorders>
              <w:top w:val="single" w:sz="4" w:space="0" w:color="auto"/>
              <w:left w:val="single" w:sz="4" w:space="0" w:color="auto"/>
              <w:bottom w:val="single" w:sz="4" w:space="0" w:color="auto"/>
              <w:right w:val="single" w:sz="4" w:space="0" w:color="auto"/>
            </w:tcBorders>
            <w:shd w:val="clear" w:color="auto" w:fill="F6F6F6"/>
            <w:tcMar>
              <w:top w:w="0" w:type="dxa"/>
              <w:left w:w="120" w:type="dxa"/>
              <w:bottom w:w="120" w:type="dxa"/>
              <w:right w:w="120" w:type="dxa"/>
            </w:tcMar>
            <w:vAlign w:val="center"/>
          </w:tcPr>
          <w:p w14:paraId="246D1D30" w14:textId="77777777" w:rsidR="001763DB" w:rsidRPr="00970FFB" w:rsidRDefault="001763DB" w:rsidP="008F6807">
            <w:pPr>
              <w:spacing w:line="240" w:lineRule="auto"/>
              <w:jc w:val="center"/>
              <w:rPr>
                <w:rFonts w:ascii="Times New Roman" w:hAnsi="Times New Roman" w:cs="Times New Roman"/>
                <w:b/>
                <w:sz w:val="24"/>
                <w:szCs w:val="24"/>
                <w:lang w:val="en-US"/>
              </w:rPr>
            </w:pPr>
            <w:r w:rsidRPr="00970FFB">
              <w:rPr>
                <w:rFonts w:ascii="Times New Roman" w:hAnsi="Times New Roman" w:cs="Times New Roman"/>
                <w:b/>
                <w:sz w:val="24"/>
                <w:szCs w:val="24"/>
                <w:lang w:val="en-US"/>
              </w:rPr>
              <w:t>Dilution</w:t>
            </w:r>
          </w:p>
        </w:tc>
      </w:tr>
      <w:tr w:rsidR="001763DB" w:rsidRPr="00970FFB" w14:paraId="468B5561"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41C70DA2" w14:textId="7EDE74A5" w:rsidR="001763DB" w:rsidRPr="00970FFB" w:rsidRDefault="001763DB" w:rsidP="00EF0629">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Anti-β-tubulin (Abcam,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Ab8227</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0C62D4D3"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1:700</w:t>
            </w:r>
          </w:p>
        </w:tc>
      </w:tr>
      <w:tr w:rsidR="001763DB" w:rsidRPr="00970FFB" w14:paraId="72147CF2"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30B066E1" w14:textId="125BDE5B" w:rsidR="001763DB" w:rsidRPr="00970FFB" w:rsidRDefault="001763DB" w:rsidP="00EF0629">
            <w:pPr>
              <w:spacing w:line="240" w:lineRule="auto"/>
              <w:jc w:val="center"/>
              <w:rPr>
                <w:rFonts w:ascii="Times New Roman" w:hAnsi="Times New Roman" w:cs="Times New Roman"/>
                <w:sz w:val="20"/>
                <w:lang w:val="en-US"/>
              </w:rPr>
            </w:pPr>
            <w:bookmarkStart w:id="1" w:name="OLE_LINK52"/>
            <w:r w:rsidRPr="00970FFB">
              <w:rPr>
                <w:rFonts w:ascii="Times New Roman" w:hAnsi="Times New Roman" w:cs="Times New Roman"/>
                <w:sz w:val="20"/>
                <w:lang w:val="en-US"/>
              </w:rPr>
              <w:t>Anti-IL-6 (Abcam</w:t>
            </w:r>
            <w:bookmarkEnd w:id="1"/>
            <w:r w:rsidRPr="00970FFB">
              <w:rPr>
                <w:rFonts w:ascii="Times New Roman" w:hAnsi="Times New Roman" w:cs="Times New Roman"/>
                <w:sz w:val="20"/>
                <w:lang w:val="en-US"/>
              </w:rPr>
              <w:t>,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Ab208113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7A679037"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1:1000</w:t>
            </w:r>
          </w:p>
        </w:tc>
      </w:tr>
      <w:tr w:rsidR="001763DB" w:rsidRPr="00970FFB" w14:paraId="4AC2874C"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01C19FE0" w14:textId="3DB14C18" w:rsidR="001763DB" w:rsidRPr="00970FFB" w:rsidRDefault="001763DB" w:rsidP="00EF0629">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Anti-GSK-3β  (Abcam,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Ab32391</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7C1EF5A4"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1:1000</w:t>
            </w:r>
          </w:p>
        </w:tc>
      </w:tr>
      <w:tr w:rsidR="001763DB" w:rsidRPr="00970FFB" w14:paraId="7B78FDCE"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139B09E3" w14:textId="69F69A04" w:rsidR="001763DB" w:rsidRPr="00970FFB" w:rsidRDefault="001763DB" w:rsidP="00EF0629">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Anti- GSK-3a  (Abcam,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Ab40870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3DD6FB71"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1:1000</w:t>
            </w:r>
          </w:p>
        </w:tc>
      </w:tr>
      <w:tr w:rsidR="001763DB" w:rsidRPr="00970FFB" w14:paraId="623F2BC0"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05A93055" w14:textId="1A0C9580" w:rsidR="001763DB" w:rsidRPr="00970FFB" w:rsidRDefault="001763DB" w:rsidP="00EF0629">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Anti-IL-1β  (Abcam,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Ab9722</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46AFD304"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1:1000</w:t>
            </w:r>
          </w:p>
        </w:tc>
      </w:tr>
      <w:tr w:rsidR="001763DB" w:rsidRPr="00970FFB" w14:paraId="38B0F7E8"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02D4F14A" w14:textId="1E649093" w:rsidR="001763DB" w:rsidRPr="00970FFB" w:rsidRDefault="001763DB" w:rsidP="00EF0629">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Anti-IL-15  (Abcam, Cambridge, MA, USA)</w:t>
            </w:r>
            <w:r w:rsidR="00EF0629">
              <w:rPr>
                <w:rFonts w:ascii="Times New Roman" w:hAnsi="Times New Roman" w:cs="Times New Roman"/>
                <w:sz w:val="20"/>
                <w:lang w:val="en-US"/>
              </w:rPr>
              <w:t xml:space="preserve"> </w:t>
            </w:r>
            <w:r w:rsidRPr="00970FFB">
              <w:rPr>
                <w:rFonts w:ascii="Times New Roman" w:hAnsi="Times New Roman" w:cs="Times New Roman"/>
                <w:sz w:val="20"/>
                <w:lang w:val="en-US"/>
              </w:rPr>
              <w:t>Ab7213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3E39564F"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1:500</w:t>
            </w:r>
          </w:p>
        </w:tc>
      </w:tr>
      <w:tr w:rsidR="001763DB" w:rsidRPr="00970FFB" w14:paraId="5010CAAE" w14:textId="77777777" w:rsidTr="00694F54">
        <w:trPr>
          <w:trHeight w:val="295"/>
        </w:trPr>
        <w:tc>
          <w:tcPr>
            <w:tcW w:w="6968"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7FA5E5DA" w14:textId="651E0F3B" w:rsidR="001763DB" w:rsidRPr="00170F61" w:rsidRDefault="001763DB" w:rsidP="00EF0629">
            <w:pPr>
              <w:spacing w:line="240" w:lineRule="auto"/>
              <w:jc w:val="center"/>
              <w:rPr>
                <w:rFonts w:ascii="Times New Roman" w:hAnsi="Times New Roman" w:cs="Times New Roman"/>
                <w:sz w:val="20"/>
                <w:lang w:val="de-DE"/>
              </w:rPr>
            </w:pPr>
            <w:r w:rsidRPr="00170F61">
              <w:rPr>
                <w:rFonts w:ascii="Times New Roman" w:hAnsi="Times New Roman" w:cs="Times New Roman"/>
                <w:sz w:val="20"/>
                <w:lang w:val="de-DE"/>
              </w:rPr>
              <w:t>Anti-AktpSer473  (Abcam, Cambridge, MA, USA)</w:t>
            </w:r>
            <w:r w:rsidR="00EF0629">
              <w:rPr>
                <w:rFonts w:ascii="Times New Roman" w:hAnsi="Times New Roman" w:cs="Times New Roman"/>
                <w:sz w:val="20"/>
                <w:lang w:val="de-DE"/>
              </w:rPr>
              <w:t xml:space="preserve"> </w:t>
            </w:r>
            <w:r w:rsidRPr="00170F61">
              <w:rPr>
                <w:rFonts w:ascii="Times New Roman" w:hAnsi="Times New Roman" w:cs="Times New Roman"/>
                <w:sz w:val="20"/>
                <w:lang w:val="de-DE"/>
              </w:rPr>
              <w:t>Ab81283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6" w:type="dxa"/>
              <w:left w:w="120" w:type="dxa"/>
              <w:bottom w:w="36" w:type="dxa"/>
              <w:right w:w="120" w:type="dxa"/>
            </w:tcMar>
            <w:vAlign w:val="bottom"/>
          </w:tcPr>
          <w:p w14:paraId="1A6FDA27" w14:textId="77777777" w:rsidR="001763DB" w:rsidRPr="00970FFB" w:rsidRDefault="001763DB" w:rsidP="008F6807">
            <w:pPr>
              <w:spacing w:line="240" w:lineRule="auto"/>
              <w:jc w:val="center"/>
              <w:rPr>
                <w:rFonts w:ascii="Times New Roman" w:hAnsi="Times New Roman" w:cs="Times New Roman"/>
                <w:sz w:val="20"/>
                <w:lang w:val="en-US"/>
              </w:rPr>
            </w:pPr>
            <w:r w:rsidRPr="00970FFB">
              <w:rPr>
                <w:rFonts w:ascii="Times New Roman" w:hAnsi="Times New Roman" w:cs="Times New Roman"/>
                <w:sz w:val="20"/>
                <w:lang w:val="en-US"/>
              </w:rPr>
              <w:t>1:5000</w:t>
            </w:r>
          </w:p>
        </w:tc>
      </w:tr>
    </w:tbl>
    <w:p w14:paraId="2F3C5E1D" w14:textId="77777777" w:rsidR="001763DB" w:rsidRPr="00970FFB" w:rsidRDefault="001763DB" w:rsidP="008F6807">
      <w:pPr>
        <w:spacing w:line="240" w:lineRule="auto"/>
        <w:jc w:val="both"/>
        <w:rPr>
          <w:sz w:val="20"/>
          <w:lang w:val="fr-FR"/>
        </w:rPr>
      </w:pPr>
    </w:p>
    <w:p w14:paraId="72BA2E47" w14:textId="77777777" w:rsidR="00EF0629" w:rsidRDefault="00EF0629" w:rsidP="008F6807">
      <w:pPr>
        <w:spacing w:line="360" w:lineRule="auto"/>
        <w:jc w:val="both"/>
        <w:rPr>
          <w:rFonts w:ascii="Times New Roman" w:hAnsi="Times New Roman" w:cs="Times New Roman"/>
          <w:b/>
          <w:sz w:val="24"/>
          <w:szCs w:val="24"/>
          <w:u w:color="000000"/>
          <w:lang w:val="en-US"/>
        </w:rPr>
      </w:pPr>
    </w:p>
    <w:p w14:paraId="6E145947" w14:textId="4EFF08E5" w:rsidR="00543B76" w:rsidRDefault="00543B76" w:rsidP="008F6807">
      <w:pPr>
        <w:spacing w:line="360" w:lineRule="auto"/>
        <w:jc w:val="both"/>
        <w:rPr>
          <w:rFonts w:ascii="Times New Roman" w:hAnsi="Times New Roman" w:cs="Times New Roman"/>
          <w:b/>
          <w:sz w:val="24"/>
          <w:szCs w:val="24"/>
          <w:u w:color="000000"/>
          <w:lang w:val="en-US"/>
        </w:rPr>
      </w:pPr>
      <w:r w:rsidRPr="00543B76">
        <w:rPr>
          <w:rFonts w:ascii="Times New Roman" w:hAnsi="Times New Roman" w:cs="Times New Roman"/>
          <w:b/>
          <w:sz w:val="24"/>
          <w:szCs w:val="24"/>
          <w:u w:color="000000"/>
          <w:lang w:val="en-US"/>
        </w:rPr>
        <w:lastRenderedPageBreak/>
        <w:t xml:space="preserve">Gas chromatography mass-spectrometry analysis </w:t>
      </w:r>
      <w:r w:rsidR="00B609C6">
        <w:rPr>
          <w:rFonts w:ascii="Times New Roman" w:hAnsi="Times New Roman" w:cs="Times New Roman"/>
          <w:b/>
          <w:sz w:val="24"/>
          <w:szCs w:val="24"/>
          <w:u w:color="000000"/>
          <w:lang w:val="en-US"/>
        </w:rPr>
        <w:t>of SHC</w:t>
      </w:r>
    </w:p>
    <w:p w14:paraId="6507E214" w14:textId="5E1282E8" w:rsidR="00305C3D" w:rsidRPr="00305C3D" w:rsidRDefault="00305C3D" w:rsidP="008F6807">
      <w:pPr>
        <w:spacing w:after="120" w:line="360" w:lineRule="auto"/>
        <w:rPr>
          <w:rFonts w:ascii="Times New Roman" w:hAnsi="Times New Roman" w:cs="Times New Roman"/>
          <w:bCs/>
          <w:iCs/>
          <w:kern w:val="28"/>
          <w:sz w:val="24"/>
          <w:szCs w:val="24"/>
          <w:lang w:val="en-US"/>
        </w:rPr>
      </w:pPr>
      <w:r>
        <w:rPr>
          <w:rFonts w:ascii="Times New Roman" w:hAnsi="Times New Roman" w:cs="Times New Roman"/>
          <w:bCs/>
          <w:iCs/>
          <w:kern w:val="28"/>
          <w:sz w:val="24"/>
          <w:szCs w:val="24"/>
          <w:lang w:val="en-US"/>
        </w:rPr>
        <w:t>U</w:t>
      </w:r>
      <w:r w:rsidRPr="00305C3D">
        <w:rPr>
          <w:rFonts w:ascii="Times New Roman" w:hAnsi="Times New Roman" w:cs="Times New Roman"/>
          <w:bCs/>
          <w:iCs/>
          <w:kern w:val="28"/>
          <w:sz w:val="24"/>
          <w:szCs w:val="24"/>
          <w:lang w:val="en-US"/>
        </w:rPr>
        <w:t xml:space="preserve">sing </w:t>
      </w:r>
      <w:r>
        <w:rPr>
          <w:rFonts w:ascii="Times New Roman" w:hAnsi="Times New Roman" w:cs="Times New Roman"/>
          <w:bCs/>
          <w:iCs/>
          <w:kern w:val="28"/>
          <w:sz w:val="24"/>
          <w:szCs w:val="24"/>
          <w:lang w:val="en-US"/>
        </w:rPr>
        <w:t xml:space="preserve">extraction of </w:t>
      </w:r>
      <w:r w:rsidRPr="00305C3D">
        <w:rPr>
          <w:rFonts w:ascii="Times New Roman" w:hAnsi="Times New Roman" w:cs="Times New Roman"/>
          <w:bCs/>
          <w:iCs/>
          <w:kern w:val="28"/>
          <w:sz w:val="24"/>
          <w:szCs w:val="24"/>
          <w:lang w:val="en-US"/>
        </w:rPr>
        <w:t>derivati</w:t>
      </w:r>
      <w:r>
        <w:rPr>
          <w:rFonts w:ascii="Times New Roman" w:hAnsi="Times New Roman" w:cs="Times New Roman"/>
          <w:bCs/>
          <w:iCs/>
          <w:kern w:val="28"/>
          <w:sz w:val="24"/>
          <w:szCs w:val="24"/>
          <w:lang w:val="en-US"/>
        </w:rPr>
        <w:t>ves, g</w:t>
      </w:r>
      <w:r w:rsidRPr="00305C3D">
        <w:rPr>
          <w:rFonts w:ascii="Times New Roman" w:hAnsi="Times New Roman" w:cs="Times New Roman"/>
          <w:bCs/>
          <w:iCs/>
          <w:kern w:val="28"/>
          <w:sz w:val="24"/>
          <w:szCs w:val="24"/>
          <w:lang w:val="en-US"/>
        </w:rPr>
        <w:t xml:space="preserve">as chromatography mass-spectrometry </w:t>
      </w:r>
      <w:r w:rsidR="009B4B5A">
        <w:rPr>
          <w:rFonts w:ascii="Times New Roman" w:hAnsi="Times New Roman" w:cs="Times New Roman"/>
          <w:bCs/>
          <w:iCs/>
          <w:kern w:val="28"/>
          <w:sz w:val="24"/>
          <w:szCs w:val="24"/>
          <w:lang w:val="en-US"/>
        </w:rPr>
        <w:t>(</w:t>
      </w:r>
      <w:r w:rsidR="009B4B5A" w:rsidRPr="00305C3D">
        <w:rPr>
          <w:rFonts w:ascii="Times New Roman" w:hAnsi="Times New Roman" w:cs="Times New Roman"/>
          <w:bCs/>
          <w:iCs/>
          <w:kern w:val="28"/>
          <w:sz w:val="24"/>
          <w:szCs w:val="24"/>
          <w:lang w:val="en-US"/>
        </w:rPr>
        <w:t>GC-MS</w:t>
      </w:r>
      <w:r w:rsidR="009B4B5A">
        <w:rPr>
          <w:rFonts w:ascii="Times New Roman" w:hAnsi="Times New Roman" w:cs="Times New Roman"/>
          <w:bCs/>
          <w:iCs/>
          <w:kern w:val="28"/>
          <w:sz w:val="24"/>
          <w:szCs w:val="24"/>
          <w:lang w:val="en-US"/>
        </w:rPr>
        <w:t>)</w:t>
      </w:r>
      <w:r w:rsidR="009B4B5A" w:rsidRPr="00305C3D">
        <w:rPr>
          <w:rFonts w:ascii="Times New Roman" w:hAnsi="Times New Roman" w:cs="Times New Roman"/>
          <w:bCs/>
          <w:iCs/>
          <w:kern w:val="28"/>
          <w:sz w:val="24"/>
          <w:szCs w:val="24"/>
          <w:lang w:val="en-US"/>
        </w:rPr>
        <w:t xml:space="preserve"> </w:t>
      </w:r>
      <w:r w:rsidRPr="00305C3D">
        <w:rPr>
          <w:rFonts w:ascii="Times New Roman" w:hAnsi="Times New Roman" w:cs="Times New Roman"/>
          <w:bCs/>
          <w:iCs/>
          <w:kern w:val="28"/>
          <w:sz w:val="24"/>
          <w:szCs w:val="24"/>
          <w:lang w:val="en-US"/>
        </w:rPr>
        <w:t>analysis of SHC</w:t>
      </w:r>
      <w:r>
        <w:rPr>
          <w:rFonts w:ascii="Times New Roman" w:hAnsi="Times New Roman" w:cs="Times New Roman"/>
          <w:bCs/>
          <w:iCs/>
          <w:kern w:val="28"/>
          <w:sz w:val="24"/>
          <w:szCs w:val="24"/>
          <w:lang w:val="en-US"/>
        </w:rPr>
        <w:t xml:space="preserve"> was carried out</w:t>
      </w:r>
      <w:r w:rsidRPr="00305C3D">
        <w:rPr>
          <w:rFonts w:ascii="Times New Roman" w:hAnsi="Times New Roman" w:cs="Times New Roman"/>
          <w:bCs/>
          <w:iCs/>
          <w:kern w:val="28"/>
          <w:sz w:val="24"/>
          <w:szCs w:val="24"/>
          <w:lang w:val="en-US"/>
        </w:rPr>
        <w:t>.</w:t>
      </w:r>
    </w:p>
    <w:p w14:paraId="74CA3735" w14:textId="61EC4E20" w:rsidR="00305C3D" w:rsidRPr="00305C3D" w:rsidRDefault="00305C3D" w:rsidP="008F6807">
      <w:pPr>
        <w:spacing w:after="120" w:line="360" w:lineRule="auto"/>
        <w:jc w:val="both"/>
        <w:rPr>
          <w:rFonts w:ascii="Times New Roman" w:hAnsi="Times New Roman" w:cs="Times New Roman"/>
          <w:bCs/>
          <w:iCs/>
          <w:kern w:val="28"/>
          <w:sz w:val="24"/>
          <w:szCs w:val="24"/>
          <w:lang w:val="en-US"/>
        </w:rPr>
      </w:pPr>
      <w:r w:rsidRPr="00305C3D">
        <w:rPr>
          <w:rFonts w:ascii="Times New Roman" w:hAnsi="Times New Roman" w:cs="Times New Roman"/>
          <w:bCs/>
          <w:i/>
          <w:iCs/>
          <w:kern w:val="28"/>
          <w:sz w:val="24"/>
          <w:szCs w:val="24"/>
          <w:lang w:val="en-US"/>
        </w:rPr>
        <w:t>Extraction with ethyl acetate</w:t>
      </w:r>
      <w:r w:rsidRPr="00305C3D">
        <w:rPr>
          <w:rFonts w:ascii="Times New Roman" w:hAnsi="Times New Roman" w:cs="Times New Roman"/>
          <w:bCs/>
          <w:iCs/>
          <w:kern w:val="28"/>
          <w:sz w:val="24"/>
          <w:szCs w:val="24"/>
          <w:lang w:val="en-US"/>
        </w:rPr>
        <w:t xml:space="preserve">. 100 </w:t>
      </w:r>
      <w:proofErr w:type="spellStart"/>
      <w:r w:rsidRPr="00305C3D">
        <w:rPr>
          <w:rFonts w:ascii="Times New Roman" w:hAnsi="Times New Roman" w:cs="Times New Roman"/>
          <w:bCs/>
          <w:iCs/>
          <w:kern w:val="28"/>
          <w:sz w:val="24"/>
          <w:szCs w:val="24"/>
          <w:lang w:val="en-US"/>
        </w:rPr>
        <w:t>μl</w:t>
      </w:r>
      <w:proofErr w:type="spellEnd"/>
      <w:r w:rsidRPr="00305C3D">
        <w:rPr>
          <w:rFonts w:ascii="Times New Roman" w:hAnsi="Times New Roman" w:cs="Times New Roman"/>
          <w:bCs/>
          <w:iCs/>
          <w:kern w:val="28"/>
          <w:sz w:val="24"/>
          <w:szCs w:val="24"/>
          <w:lang w:val="en-US"/>
        </w:rPr>
        <w:t xml:space="preserve"> of </w:t>
      </w:r>
      <w:r>
        <w:rPr>
          <w:rFonts w:ascii="Times New Roman" w:hAnsi="Times New Roman" w:cs="Times New Roman"/>
          <w:bCs/>
          <w:iCs/>
          <w:kern w:val="28"/>
          <w:sz w:val="24"/>
          <w:szCs w:val="24"/>
          <w:lang w:val="en-US"/>
        </w:rPr>
        <w:t>SHC</w:t>
      </w:r>
      <w:r w:rsidRPr="00305C3D">
        <w:rPr>
          <w:rFonts w:ascii="Times New Roman" w:hAnsi="Times New Roman" w:cs="Times New Roman"/>
          <w:bCs/>
          <w:iCs/>
          <w:kern w:val="28"/>
          <w:sz w:val="24"/>
          <w:szCs w:val="24"/>
          <w:lang w:val="en-US"/>
        </w:rPr>
        <w:t xml:space="preserve"> was placed into a glass vial with a screw cap, 1.0 ml of ethyl acetate (test material / solvent ratio = 1/10) was added, </w:t>
      </w:r>
      <w:r w:rsidR="009B4B5A">
        <w:rPr>
          <w:rFonts w:ascii="Times New Roman" w:hAnsi="Times New Roman" w:cs="Times New Roman"/>
          <w:bCs/>
          <w:iCs/>
          <w:kern w:val="28"/>
          <w:sz w:val="24"/>
          <w:szCs w:val="24"/>
          <w:lang w:val="en-US"/>
        </w:rPr>
        <w:t>the</w:t>
      </w:r>
      <w:r w:rsidRPr="00305C3D">
        <w:rPr>
          <w:rFonts w:ascii="Times New Roman" w:hAnsi="Times New Roman" w:cs="Times New Roman"/>
          <w:bCs/>
          <w:iCs/>
          <w:kern w:val="28"/>
          <w:sz w:val="24"/>
          <w:szCs w:val="24"/>
          <w:lang w:val="en-US"/>
        </w:rPr>
        <w:t xml:space="preserve"> mixture was thoroughly vortexed. The vial is placed on a hotplate and heated at 50° C for 24 hours. </w:t>
      </w:r>
      <w:r w:rsidR="009B4B5A">
        <w:rPr>
          <w:rFonts w:ascii="Times New Roman" w:hAnsi="Times New Roman" w:cs="Times New Roman"/>
          <w:bCs/>
          <w:iCs/>
          <w:kern w:val="28"/>
          <w:sz w:val="24"/>
          <w:szCs w:val="24"/>
          <w:lang w:val="en-US"/>
        </w:rPr>
        <w:t>Thereafter,</w:t>
      </w:r>
      <w:r w:rsidRPr="00305C3D">
        <w:rPr>
          <w:rFonts w:ascii="Times New Roman" w:hAnsi="Times New Roman" w:cs="Times New Roman"/>
          <w:bCs/>
          <w:iCs/>
          <w:kern w:val="28"/>
          <w:sz w:val="24"/>
          <w:szCs w:val="24"/>
          <w:lang w:val="en-US"/>
        </w:rPr>
        <w:t xml:space="preserve"> 200 </w:t>
      </w:r>
      <w:proofErr w:type="spellStart"/>
      <w:r w:rsidRPr="00305C3D">
        <w:rPr>
          <w:rFonts w:ascii="Times New Roman" w:hAnsi="Times New Roman" w:cs="Times New Roman"/>
          <w:bCs/>
          <w:iCs/>
          <w:kern w:val="28"/>
          <w:sz w:val="24"/>
          <w:szCs w:val="24"/>
          <w:lang w:val="en-US"/>
        </w:rPr>
        <w:t>μl</w:t>
      </w:r>
      <w:proofErr w:type="spellEnd"/>
      <w:r w:rsidRPr="00305C3D">
        <w:rPr>
          <w:rFonts w:ascii="Times New Roman" w:hAnsi="Times New Roman" w:cs="Times New Roman"/>
          <w:bCs/>
          <w:iCs/>
          <w:kern w:val="28"/>
          <w:sz w:val="24"/>
          <w:szCs w:val="24"/>
          <w:lang w:val="en-US"/>
        </w:rPr>
        <w:t xml:space="preserve"> of solution was centrifuged at 12000 rpm (4° C) for 10 min. Supernatant was used for </w:t>
      </w:r>
      <w:r w:rsidR="00D302DA">
        <w:rPr>
          <w:rFonts w:ascii="Times New Roman" w:hAnsi="Times New Roman" w:cs="Times New Roman"/>
          <w:bCs/>
          <w:iCs/>
          <w:kern w:val="28"/>
          <w:sz w:val="24"/>
          <w:szCs w:val="24"/>
          <w:lang w:val="en-US"/>
        </w:rPr>
        <w:t xml:space="preserve">further </w:t>
      </w:r>
      <w:r w:rsidRPr="00305C3D">
        <w:rPr>
          <w:rFonts w:ascii="Times New Roman" w:hAnsi="Times New Roman" w:cs="Times New Roman"/>
          <w:bCs/>
          <w:iCs/>
          <w:kern w:val="28"/>
          <w:sz w:val="24"/>
          <w:szCs w:val="24"/>
          <w:lang w:val="en-US"/>
        </w:rPr>
        <w:t xml:space="preserve">analyses. </w:t>
      </w:r>
    </w:p>
    <w:p w14:paraId="0385575B" w14:textId="0BD6B89E" w:rsidR="00D302DA" w:rsidRPr="00305C3D" w:rsidRDefault="00305C3D" w:rsidP="008F6807">
      <w:pPr>
        <w:spacing w:after="120" w:line="360" w:lineRule="auto"/>
        <w:jc w:val="both"/>
        <w:rPr>
          <w:rFonts w:ascii="Times New Roman" w:hAnsi="Times New Roman" w:cs="Times New Roman"/>
          <w:bCs/>
          <w:iCs/>
          <w:kern w:val="28"/>
          <w:sz w:val="24"/>
          <w:szCs w:val="24"/>
          <w:lang w:val="en-US"/>
        </w:rPr>
      </w:pPr>
      <w:r w:rsidRPr="00305C3D">
        <w:rPr>
          <w:rFonts w:ascii="Times New Roman" w:hAnsi="Times New Roman" w:cs="Times New Roman"/>
          <w:bCs/>
          <w:i/>
          <w:iCs/>
          <w:kern w:val="28"/>
          <w:sz w:val="24"/>
          <w:szCs w:val="24"/>
          <w:lang w:val="en-US"/>
        </w:rPr>
        <w:t>Extraction of derivatives</w:t>
      </w:r>
      <w:r w:rsidRPr="00305C3D">
        <w:rPr>
          <w:rFonts w:ascii="Times New Roman" w:hAnsi="Times New Roman" w:cs="Times New Roman"/>
          <w:bCs/>
          <w:iCs/>
          <w:kern w:val="28"/>
          <w:sz w:val="24"/>
          <w:szCs w:val="24"/>
          <w:lang w:val="en-US"/>
        </w:rPr>
        <w:t xml:space="preserve">. 20 </w:t>
      </w:r>
      <w:proofErr w:type="spellStart"/>
      <w:r w:rsidRPr="00305C3D">
        <w:rPr>
          <w:rFonts w:ascii="Times New Roman" w:hAnsi="Times New Roman" w:cs="Times New Roman"/>
          <w:bCs/>
          <w:iCs/>
          <w:kern w:val="28"/>
          <w:sz w:val="24"/>
          <w:szCs w:val="24"/>
          <w:lang w:val="en-US"/>
        </w:rPr>
        <w:t>μL</w:t>
      </w:r>
      <w:proofErr w:type="spellEnd"/>
      <w:r w:rsidRPr="00305C3D">
        <w:rPr>
          <w:rFonts w:ascii="Times New Roman" w:hAnsi="Times New Roman" w:cs="Times New Roman"/>
          <w:bCs/>
          <w:iCs/>
          <w:kern w:val="28"/>
          <w:sz w:val="24"/>
          <w:szCs w:val="24"/>
          <w:lang w:val="en-US"/>
        </w:rPr>
        <w:t xml:space="preserve"> of a </w:t>
      </w:r>
      <w:r w:rsidR="00D302DA">
        <w:rPr>
          <w:rFonts w:ascii="Times New Roman" w:hAnsi="Times New Roman" w:cs="Times New Roman"/>
          <w:bCs/>
          <w:iCs/>
          <w:kern w:val="28"/>
          <w:sz w:val="24"/>
          <w:szCs w:val="24"/>
          <w:lang w:val="en-US"/>
        </w:rPr>
        <w:t xml:space="preserve">mixture of </w:t>
      </w:r>
      <w:r w:rsidRPr="00305C3D">
        <w:rPr>
          <w:rFonts w:ascii="Times New Roman" w:hAnsi="Times New Roman" w:cs="Times New Roman"/>
          <w:bCs/>
          <w:iCs/>
          <w:kern w:val="28"/>
          <w:sz w:val="24"/>
          <w:szCs w:val="24"/>
          <w:lang w:val="en-US"/>
        </w:rPr>
        <w:t>N</w:t>
      </w:r>
      <w:proofErr w:type="gramStart"/>
      <w:r w:rsidRPr="00305C3D">
        <w:rPr>
          <w:rFonts w:ascii="Times New Roman" w:hAnsi="Times New Roman" w:cs="Times New Roman"/>
          <w:bCs/>
          <w:iCs/>
          <w:kern w:val="28"/>
          <w:sz w:val="24"/>
          <w:szCs w:val="24"/>
          <w:lang w:val="en-US"/>
        </w:rPr>
        <w:t>,O</w:t>
      </w:r>
      <w:proofErr w:type="gramEnd"/>
      <w:r w:rsidRPr="00305C3D">
        <w:rPr>
          <w:rFonts w:ascii="Times New Roman" w:hAnsi="Times New Roman" w:cs="Times New Roman"/>
          <w:bCs/>
          <w:iCs/>
          <w:kern w:val="28"/>
          <w:sz w:val="24"/>
          <w:szCs w:val="24"/>
          <w:lang w:val="en-US"/>
        </w:rPr>
        <w:t xml:space="preserve">-bis (trimethylsilyl) trifluoroacetamide (BSTFA) and trimethylchlorosilane (TMSC) </w:t>
      </w:r>
      <w:r w:rsidR="009B4B5A">
        <w:rPr>
          <w:rFonts w:ascii="Times New Roman" w:hAnsi="Times New Roman" w:cs="Times New Roman"/>
          <w:bCs/>
          <w:iCs/>
          <w:kern w:val="28"/>
          <w:sz w:val="24"/>
          <w:szCs w:val="24"/>
          <w:lang w:val="en-US"/>
        </w:rPr>
        <w:t xml:space="preserve"> (BSTFA to TMSC ratio was</w:t>
      </w:r>
      <w:r w:rsidRPr="00305C3D">
        <w:rPr>
          <w:rFonts w:ascii="Times New Roman" w:hAnsi="Times New Roman" w:cs="Times New Roman"/>
          <w:bCs/>
          <w:iCs/>
          <w:kern w:val="28"/>
          <w:sz w:val="24"/>
          <w:szCs w:val="24"/>
          <w:lang w:val="en-US"/>
        </w:rPr>
        <w:t xml:space="preserve"> 99:1</w:t>
      </w:r>
      <w:r w:rsidR="009B4B5A">
        <w:rPr>
          <w:rFonts w:ascii="Times New Roman" w:hAnsi="Times New Roman" w:cs="Times New Roman"/>
          <w:bCs/>
          <w:iCs/>
          <w:kern w:val="28"/>
          <w:sz w:val="24"/>
          <w:szCs w:val="24"/>
          <w:lang w:val="en-US"/>
        </w:rPr>
        <w:t>)</w:t>
      </w:r>
      <w:r w:rsidRPr="00305C3D">
        <w:rPr>
          <w:rFonts w:ascii="Times New Roman" w:hAnsi="Times New Roman" w:cs="Times New Roman"/>
          <w:bCs/>
          <w:iCs/>
          <w:kern w:val="28"/>
          <w:sz w:val="24"/>
          <w:szCs w:val="24"/>
          <w:lang w:val="en-US"/>
        </w:rPr>
        <w:t xml:space="preserve"> was </w:t>
      </w:r>
      <w:r w:rsidR="009B4B5A">
        <w:rPr>
          <w:rFonts w:ascii="Times New Roman" w:hAnsi="Times New Roman" w:cs="Times New Roman"/>
          <w:bCs/>
          <w:iCs/>
          <w:kern w:val="28"/>
          <w:sz w:val="24"/>
          <w:szCs w:val="24"/>
          <w:lang w:val="en-US"/>
        </w:rPr>
        <w:t xml:space="preserve">added to </w:t>
      </w:r>
      <w:r w:rsidRPr="00305C3D">
        <w:rPr>
          <w:rFonts w:ascii="Times New Roman" w:hAnsi="Times New Roman" w:cs="Times New Roman"/>
          <w:bCs/>
          <w:iCs/>
          <w:kern w:val="28"/>
          <w:sz w:val="24"/>
          <w:szCs w:val="24"/>
          <w:lang w:val="en-US"/>
        </w:rPr>
        <w:t xml:space="preserve"> 20 </w:t>
      </w:r>
      <w:proofErr w:type="spellStart"/>
      <w:r w:rsidRPr="00305C3D">
        <w:rPr>
          <w:rFonts w:ascii="Times New Roman" w:hAnsi="Times New Roman" w:cs="Times New Roman"/>
          <w:bCs/>
          <w:iCs/>
          <w:kern w:val="28"/>
          <w:sz w:val="24"/>
          <w:szCs w:val="24"/>
          <w:lang w:val="en-US"/>
        </w:rPr>
        <w:t>μL</w:t>
      </w:r>
      <w:proofErr w:type="spellEnd"/>
      <w:r w:rsidRPr="00305C3D">
        <w:rPr>
          <w:rFonts w:ascii="Times New Roman" w:hAnsi="Times New Roman" w:cs="Times New Roman"/>
          <w:bCs/>
          <w:iCs/>
          <w:kern w:val="28"/>
          <w:sz w:val="24"/>
          <w:szCs w:val="24"/>
          <w:lang w:val="en-US"/>
        </w:rPr>
        <w:t xml:space="preserve"> of the supernatant</w:t>
      </w:r>
      <w:r w:rsidR="009B4B5A">
        <w:rPr>
          <w:rFonts w:ascii="Times New Roman" w:hAnsi="Times New Roman" w:cs="Times New Roman"/>
          <w:bCs/>
          <w:iCs/>
          <w:kern w:val="28"/>
          <w:sz w:val="24"/>
          <w:szCs w:val="24"/>
          <w:lang w:val="en-US"/>
        </w:rPr>
        <w:t xml:space="preserve">. This </w:t>
      </w:r>
      <w:r w:rsidRPr="00305C3D">
        <w:rPr>
          <w:rFonts w:ascii="Times New Roman" w:hAnsi="Times New Roman" w:cs="Times New Roman"/>
          <w:bCs/>
          <w:iCs/>
          <w:kern w:val="28"/>
          <w:sz w:val="24"/>
          <w:szCs w:val="24"/>
          <w:lang w:val="en-US"/>
        </w:rPr>
        <w:t xml:space="preserve">mixture was placed on the hotplate at 75° C for 60 minutes. 70 </w:t>
      </w:r>
      <w:proofErr w:type="spellStart"/>
      <w:r w:rsidRPr="00305C3D">
        <w:rPr>
          <w:rFonts w:ascii="Times New Roman" w:hAnsi="Times New Roman" w:cs="Times New Roman"/>
          <w:bCs/>
          <w:iCs/>
          <w:kern w:val="28"/>
          <w:sz w:val="24"/>
          <w:szCs w:val="24"/>
          <w:lang w:val="en-US"/>
        </w:rPr>
        <w:t>μl</w:t>
      </w:r>
      <w:proofErr w:type="spellEnd"/>
      <w:r w:rsidRPr="00305C3D">
        <w:rPr>
          <w:rFonts w:ascii="Times New Roman" w:hAnsi="Times New Roman" w:cs="Times New Roman"/>
          <w:bCs/>
          <w:iCs/>
          <w:kern w:val="28"/>
          <w:sz w:val="24"/>
          <w:szCs w:val="24"/>
          <w:lang w:val="en-US"/>
        </w:rPr>
        <w:t xml:space="preserve"> of ethyl acetate was added, stirred and </w:t>
      </w:r>
      <w:r w:rsidR="00D302DA" w:rsidRPr="00305C3D">
        <w:rPr>
          <w:rFonts w:ascii="Times New Roman" w:hAnsi="Times New Roman" w:cs="Times New Roman"/>
          <w:bCs/>
          <w:iCs/>
          <w:kern w:val="28"/>
          <w:sz w:val="24"/>
          <w:szCs w:val="24"/>
          <w:lang w:val="en-US"/>
        </w:rPr>
        <w:t xml:space="preserve">used for </w:t>
      </w:r>
      <w:r w:rsidR="00D302DA">
        <w:rPr>
          <w:rFonts w:ascii="Times New Roman" w:hAnsi="Times New Roman" w:cs="Times New Roman"/>
          <w:bCs/>
          <w:iCs/>
          <w:kern w:val="28"/>
          <w:sz w:val="24"/>
          <w:szCs w:val="24"/>
          <w:lang w:val="en-US"/>
        </w:rPr>
        <w:t xml:space="preserve">further </w:t>
      </w:r>
      <w:r w:rsidR="00D302DA" w:rsidRPr="00305C3D">
        <w:rPr>
          <w:rFonts w:ascii="Times New Roman" w:hAnsi="Times New Roman" w:cs="Times New Roman"/>
          <w:bCs/>
          <w:iCs/>
          <w:kern w:val="28"/>
          <w:sz w:val="24"/>
          <w:szCs w:val="24"/>
          <w:lang w:val="en-US"/>
        </w:rPr>
        <w:t xml:space="preserve">analyses. </w:t>
      </w:r>
    </w:p>
    <w:p w14:paraId="61989326" w14:textId="0F041FBC" w:rsidR="00305C3D" w:rsidRPr="00305C3D" w:rsidRDefault="00305C3D" w:rsidP="008F6807">
      <w:pPr>
        <w:pStyle w:val="NormalWeb"/>
        <w:spacing w:line="360" w:lineRule="auto"/>
        <w:jc w:val="both"/>
        <w:rPr>
          <w:bCs/>
          <w:iCs/>
          <w:kern w:val="28"/>
        </w:rPr>
      </w:pPr>
      <w:r w:rsidRPr="00305C3D">
        <w:rPr>
          <w:bCs/>
          <w:iCs/>
          <w:kern w:val="28"/>
        </w:rPr>
        <w:t xml:space="preserve">The </w:t>
      </w:r>
      <w:r w:rsidR="009B4B5A" w:rsidRPr="00305C3D">
        <w:rPr>
          <w:bCs/>
          <w:iCs/>
          <w:kern w:val="28"/>
        </w:rPr>
        <w:t xml:space="preserve">GC-MS </w:t>
      </w:r>
      <w:r w:rsidRPr="00305C3D">
        <w:rPr>
          <w:bCs/>
          <w:iCs/>
          <w:kern w:val="28"/>
        </w:rPr>
        <w:t xml:space="preserve">analysis was performed on a </w:t>
      </w:r>
      <w:proofErr w:type="spellStart"/>
      <w:r w:rsidRPr="00305C3D">
        <w:rPr>
          <w:bCs/>
          <w:iCs/>
          <w:kern w:val="28"/>
        </w:rPr>
        <w:t>Chromatek</w:t>
      </w:r>
      <w:proofErr w:type="spellEnd"/>
      <w:r w:rsidRPr="00305C3D">
        <w:rPr>
          <w:bCs/>
          <w:iCs/>
          <w:kern w:val="28"/>
        </w:rPr>
        <w:t xml:space="preserve"> GC-MS analyzer, consist</w:t>
      </w:r>
      <w:r w:rsidR="009B4B5A">
        <w:rPr>
          <w:bCs/>
          <w:iCs/>
          <w:kern w:val="28"/>
        </w:rPr>
        <w:t xml:space="preserve">ed </w:t>
      </w:r>
      <w:r w:rsidRPr="00305C3D">
        <w:rPr>
          <w:bCs/>
          <w:iCs/>
          <w:kern w:val="28"/>
        </w:rPr>
        <w:t xml:space="preserve">of a </w:t>
      </w:r>
      <w:proofErr w:type="spellStart"/>
      <w:r w:rsidRPr="00305C3D">
        <w:rPr>
          <w:bCs/>
          <w:iCs/>
          <w:kern w:val="28"/>
        </w:rPr>
        <w:t>Chromatek-Kristall</w:t>
      </w:r>
      <w:proofErr w:type="spellEnd"/>
      <w:r w:rsidRPr="00305C3D">
        <w:rPr>
          <w:bCs/>
          <w:iCs/>
          <w:kern w:val="28"/>
        </w:rPr>
        <w:t xml:space="preserve"> 5000 gas chromatograph and a DAZH-2M (3D) dispenser</w:t>
      </w:r>
      <w:r w:rsidR="00D302DA">
        <w:rPr>
          <w:bCs/>
          <w:iCs/>
          <w:kern w:val="28"/>
        </w:rPr>
        <w:t xml:space="preserve"> (</w:t>
      </w:r>
      <w:proofErr w:type="spellStart"/>
      <w:r w:rsidR="00D302DA" w:rsidRPr="00305C3D">
        <w:rPr>
          <w:bCs/>
          <w:iCs/>
          <w:kern w:val="28"/>
        </w:rPr>
        <w:t>C</w:t>
      </w:r>
      <w:r w:rsidR="006E627A" w:rsidRPr="00305C3D">
        <w:rPr>
          <w:bCs/>
          <w:iCs/>
          <w:kern w:val="28"/>
        </w:rPr>
        <w:t>hromatek</w:t>
      </w:r>
      <w:proofErr w:type="spellEnd"/>
      <w:r w:rsidR="00D302DA">
        <w:rPr>
          <w:bCs/>
          <w:iCs/>
          <w:kern w:val="28"/>
        </w:rPr>
        <w:t xml:space="preserve"> ltd.,</w:t>
      </w:r>
      <w:r w:rsidR="00D302DA" w:rsidRPr="00D302DA">
        <w:rPr>
          <w:bCs/>
          <w:iCs/>
          <w:kern w:val="28"/>
        </w:rPr>
        <w:t xml:space="preserve"> Yoshkar-Ola, Russia)</w:t>
      </w:r>
      <w:r w:rsidRPr="00305C3D">
        <w:rPr>
          <w:bCs/>
          <w:iCs/>
          <w:kern w:val="28"/>
        </w:rPr>
        <w:t xml:space="preserve">. Capillary column Phenomenex ZB-DRUG-1 </w:t>
      </w:r>
      <w:r w:rsidR="006E627A">
        <w:rPr>
          <w:bCs/>
          <w:iCs/>
          <w:kern w:val="28"/>
        </w:rPr>
        <w:t>(</w:t>
      </w:r>
      <w:r w:rsidR="006E627A" w:rsidRPr="00305C3D">
        <w:rPr>
          <w:bCs/>
          <w:iCs/>
          <w:kern w:val="28"/>
        </w:rPr>
        <w:t>Phenomenex</w:t>
      </w:r>
      <w:r w:rsidR="006E627A">
        <w:rPr>
          <w:bCs/>
          <w:iCs/>
          <w:kern w:val="28"/>
        </w:rPr>
        <w:t xml:space="preserve"> ltd.</w:t>
      </w:r>
      <w:r w:rsidR="006E627A">
        <w:t xml:space="preserve">, Aschaffenburg, Germany) </w:t>
      </w:r>
      <w:r w:rsidR="006E627A">
        <w:rPr>
          <w:bCs/>
          <w:iCs/>
          <w:kern w:val="28"/>
        </w:rPr>
        <w:t xml:space="preserve">with parameters: </w:t>
      </w:r>
      <w:r w:rsidRPr="00305C3D">
        <w:rPr>
          <w:bCs/>
          <w:iCs/>
          <w:kern w:val="28"/>
        </w:rPr>
        <w:t xml:space="preserve">30 m </w:t>
      </w:r>
      <w:r w:rsidR="006E627A">
        <w:rPr>
          <w:bCs/>
          <w:iCs/>
          <w:kern w:val="28"/>
        </w:rPr>
        <w:t>x</w:t>
      </w:r>
      <w:r w:rsidRPr="00305C3D">
        <w:rPr>
          <w:bCs/>
          <w:iCs/>
          <w:kern w:val="28"/>
        </w:rPr>
        <w:t xml:space="preserve"> 0.25 mm </w:t>
      </w:r>
      <w:r w:rsidR="006E627A">
        <w:rPr>
          <w:bCs/>
          <w:iCs/>
          <w:kern w:val="28"/>
        </w:rPr>
        <w:t>x</w:t>
      </w:r>
      <w:r w:rsidRPr="00305C3D">
        <w:rPr>
          <w:bCs/>
          <w:iCs/>
          <w:kern w:val="28"/>
        </w:rPr>
        <w:t xml:space="preserve"> 0.25 </w:t>
      </w:r>
      <w:proofErr w:type="spellStart"/>
      <w:r w:rsidRPr="00305C3D">
        <w:rPr>
          <w:bCs/>
          <w:iCs/>
          <w:kern w:val="28"/>
        </w:rPr>
        <w:t>μm</w:t>
      </w:r>
      <w:proofErr w:type="spellEnd"/>
      <w:r w:rsidR="006E627A">
        <w:rPr>
          <w:bCs/>
          <w:iCs/>
          <w:kern w:val="28"/>
        </w:rPr>
        <w:t xml:space="preserve"> was used</w:t>
      </w:r>
      <w:r w:rsidRPr="00305C3D">
        <w:rPr>
          <w:bCs/>
          <w:iCs/>
          <w:kern w:val="28"/>
        </w:rPr>
        <w:t xml:space="preserve">. </w:t>
      </w:r>
      <w:r w:rsidR="006E627A" w:rsidRPr="006E627A">
        <w:rPr>
          <w:bCs/>
          <w:iCs/>
          <w:kern w:val="28"/>
        </w:rPr>
        <w:t>Mass-spectrometry</w:t>
      </w:r>
      <w:r w:rsidRPr="00305C3D">
        <w:rPr>
          <w:bCs/>
          <w:iCs/>
          <w:kern w:val="28"/>
        </w:rPr>
        <w:t xml:space="preserve"> detector conditions</w:t>
      </w:r>
      <w:r w:rsidR="006E627A">
        <w:rPr>
          <w:bCs/>
          <w:iCs/>
          <w:kern w:val="28"/>
        </w:rPr>
        <w:t xml:space="preserve"> were</w:t>
      </w:r>
      <w:r w:rsidRPr="00305C3D">
        <w:rPr>
          <w:bCs/>
          <w:iCs/>
          <w:kern w:val="28"/>
        </w:rPr>
        <w:t xml:space="preserve">: stream division 5.0; ion source temperature 200°C; transition line temperature 290°С; scanning range = 50-550 atomic mass unit; sample volume 1 </w:t>
      </w:r>
      <w:proofErr w:type="spellStart"/>
      <w:r w:rsidRPr="00305C3D">
        <w:rPr>
          <w:bCs/>
          <w:iCs/>
          <w:kern w:val="28"/>
        </w:rPr>
        <w:t>μl</w:t>
      </w:r>
      <w:proofErr w:type="spellEnd"/>
      <w:r w:rsidRPr="00305C3D">
        <w:rPr>
          <w:bCs/>
          <w:iCs/>
          <w:kern w:val="28"/>
        </w:rPr>
        <w:t xml:space="preserve">. For </w:t>
      </w:r>
      <w:r w:rsidR="009B4B5A">
        <w:rPr>
          <w:bCs/>
          <w:iCs/>
          <w:kern w:val="28"/>
        </w:rPr>
        <w:t xml:space="preserve">the </w:t>
      </w:r>
      <w:r w:rsidRPr="00305C3D">
        <w:rPr>
          <w:bCs/>
          <w:iCs/>
          <w:kern w:val="28"/>
        </w:rPr>
        <w:t xml:space="preserve">identification of derivatives, an automatic database gas chromatography-mass spectrometry NIST14 MS Library </w:t>
      </w:r>
      <w:r w:rsidR="006E627A">
        <w:rPr>
          <w:bCs/>
          <w:iCs/>
          <w:kern w:val="28"/>
        </w:rPr>
        <w:t>(</w:t>
      </w:r>
      <w:proofErr w:type="spellStart"/>
      <w:r w:rsidR="006E627A" w:rsidRPr="006E627A">
        <w:rPr>
          <w:rFonts w:eastAsiaTheme="minorHAnsi"/>
          <w:bCs/>
          <w:iCs/>
          <w:kern w:val="28"/>
        </w:rPr>
        <w:t>Adaptas</w:t>
      </w:r>
      <w:proofErr w:type="spellEnd"/>
      <w:r w:rsidR="006E627A" w:rsidRPr="006E627A">
        <w:rPr>
          <w:rFonts w:eastAsiaTheme="minorHAnsi"/>
          <w:bCs/>
          <w:iCs/>
          <w:kern w:val="28"/>
        </w:rPr>
        <w:t xml:space="preserve"> SIS Ltd., Palmer, MA 01069. USA</w:t>
      </w:r>
      <w:r w:rsidR="006E627A" w:rsidRPr="006E627A">
        <w:rPr>
          <w:bCs/>
          <w:iCs/>
          <w:kern w:val="28"/>
        </w:rPr>
        <w:t xml:space="preserve">) </w:t>
      </w:r>
      <w:r w:rsidRPr="00305C3D">
        <w:rPr>
          <w:bCs/>
          <w:iCs/>
          <w:kern w:val="28"/>
        </w:rPr>
        <w:t>was used.</w:t>
      </w:r>
      <w:r w:rsidR="006E627A">
        <w:rPr>
          <w:bCs/>
          <w:iCs/>
          <w:kern w:val="28"/>
        </w:rPr>
        <w:t xml:space="preserve"> The main r</w:t>
      </w:r>
      <w:r w:rsidRPr="00305C3D">
        <w:rPr>
          <w:bCs/>
          <w:iCs/>
          <w:kern w:val="28"/>
        </w:rPr>
        <w:t xml:space="preserve">esults </w:t>
      </w:r>
      <w:r w:rsidR="006E627A">
        <w:rPr>
          <w:bCs/>
          <w:iCs/>
          <w:kern w:val="28"/>
        </w:rPr>
        <w:t xml:space="preserve">of </w:t>
      </w:r>
      <w:r w:rsidR="009C387F">
        <w:rPr>
          <w:bCs/>
          <w:iCs/>
          <w:kern w:val="28"/>
        </w:rPr>
        <w:t>g</w:t>
      </w:r>
      <w:r w:rsidR="006E627A" w:rsidRPr="006E627A">
        <w:rPr>
          <w:bCs/>
          <w:iCs/>
          <w:kern w:val="28"/>
        </w:rPr>
        <w:t xml:space="preserve">as chromatography mass-spectrometry analysis </w:t>
      </w:r>
      <w:r w:rsidRPr="00305C3D">
        <w:rPr>
          <w:bCs/>
          <w:iCs/>
          <w:kern w:val="28"/>
        </w:rPr>
        <w:t xml:space="preserve">are presented in </w:t>
      </w:r>
      <w:r w:rsidR="006E627A">
        <w:rPr>
          <w:bCs/>
          <w:iCs/>
          <w:kern w:val="28"/>
        </w:rPr>
        <w:t xml:space="preserve">a </w:t>
      </w:r>
      <w:r w:rsidRPr="00DF76C2">
        <w:rPr>
          <w:bCs/>
          <w:iCs/>
          <w:kern w:val="28"/>
        </w:rPr>
        <w:t xml:space="preserve">Table </w:t>
      </w:r>
      <w:r w:rsidR="006E627A" w:rsidRPr="00DF76C2">
        <w:rPr>
          <w:bCs/>
          <w:iCs/>
          <w:kern w:val="28"/>
        </w:rPr>
        <w:t>4</w:t>
      </w:r>
      <w:r w:rsidR="00DF76C2">
        <w:rPr>
          <w:bCs/>
          <w:iCs/>
          <w:kern w:val="28"/>
        </w:rPr>
        <w:t xml:space="preserve"> of the main text.</w:t>
      </w:r>
    </w:p>
    <w:p w14:paraId="15F35922" w14:textId="7E6938AD" w:rsidR="00AA35C5" w:rsidRDefault="0096186E" w:rsidP="008F6807">
      <w:pPr>
        <w:pStyle w:val="Heading1"/>
        <w:spacing w:line="360" w:lineRule="auto"/>
        <w:jc w:val="both"/>
        <w:rPr>
          <w:rFonts w:eastAsiaTheme="minorHAnsi"/>
          <w:iCs/>
          <w:kern w:val="28"/>
          <w:sz w:val="24"/>
          <w:szCs w:val="24"/>
          <w:lang w:val="en-US" w:eastAsia="en-US"/>
        </w:rPr>
      </w:pPr>
      <w:r>
        <w:rPr>
          <w:rFonts w:eastAsiaTheme="minorHAnsi"/>
          <w:iCs/>
          <w:kern w:val="28"/>
          <w:sz w:val="24"/>
          <w:szCs w:val="24"/>
          <w:lang w:val="en-US" w:eastAsia="en-US"/>
        </w:rPr>
        <w:t xml:space="preserve">Summary of reported </w:t>
      </w:r>
      <w:r w:rsidR="009B621F">
        <w:rPr>
          <w:rFonts w:eastAsiaTheme="minorHAnsi"/>
          <w:iCs/>
          <w:kern w:val="28"/>
          <w:sz w:val="24"/>
          <w:szCs w:val="24"/>
          <w:lang w:val="en-US" w:eastAsia="en-US"/>
        </w:rPr>
        <w:t>physiological</w:t>
      </w:r>
      <w:r>
        <w:rPr>
          <w:rFonts w:eastAsiaTheme="minorHAnsi"/>
          <w:iCs/>
          <w:kern w:val="28"/>
          <w:sz w:val="24"/>
          <w:szCs w:val="24"/>
          <w:lang w:val="en-US" w:eastAsia="en-US"/>
        </w:rPr>
        <w:t xml:space="preserve"> effects of </w:t>
      </w:r>
      <w:r w:rsidRPr="00686960">
        <w:rPr>
          <w:bCs w:val="0"/>
          <w:iCs/>
          <w:kern w:val="28"/>
          <w:sz w:val="24"/>
          <w:szCs w:val="24"/>
          <w:lang w:val="en-US"/>
        </w:rPr>
        <w:t>SHC</w:t>
      </w:r>
      <w:r>
        <w:rPr>
          <w:rFonts w:eastAsiaTheme="minorHAnsi"/>
          <w:iCs/>
          <w:kern w:val="28"/>
          <w:sz w:val="24"/>
          <w:szCs w:val="24"/>
          <w:lang w:val="en-US" w:eastAsia="en-US"/>
        </w:rPr>
        <w:t xml:space="preserve"> main </w:t>
      </w:r>
      <w:r w:rsidRPr="0096186E">
        <w:rPr>
          <w:rFonts w:eastAsiaTheme="minorHAnsi"/>
          <w:iCs/>
          <w:kern w:val="28"/>
          <w:sz w:val="24"/>
          <w:szCs w:val="24"/>
          <w:lang w:val="en-US" w:eastAsia="en-US"/>
        </w:rPr>
        <w:t>chemical components</w:t>
      </w:r>
      <w:r>
        <w:rPr>
          <w:rFonts w:eastAsiaTheme="minorHAnsi"/>
          <w:bCs w:val="0"/>
          <w:iCs/>
          <w:kern w:val="28"/>
          <w:sz w:val="24"/>
          <w:szCs w:val="24"/>
          <w:lang w:val="en-US" w:eastAsia="en-US"/>
        </w:rPr>
        <w:t xml:space="preserve"> </w:t>
      </w:r>
    </w:p>
    <w:p w14:paraId="7F606BB1" w14:textId="714C4641" w:rsidR="00AA35C5" w:rsidRPr="00AA35C5" w:rsidRDefault="00AA35C5" w:rsidP="00FF6AE7">
      <w:pPr>
        <w:spacing w:line="360" w:lineRule="auto"/>
        <w:jc w:val="both"/>
        <w:rPr>
          <w:rFonts w:ascii="Times New Roman" w:hAnsi="Times New Roman" w:cs="Times New Roman"/>
          <w:bCs/>
          <w:iCs/>
          <w:kern w:val="28"/>
          <w:sz w:val="24"/>
          <w:szCs w:val="24"/>
          <w:lang w:val="en-US"/>
        </w:rPr>
      </w:pPr>
      <w:r w:rsidRPr="00AA35C5">
        <w:rPr>
          <w:rFonts w:ascii="Times New Roman" w:hAnsi="Times New Roman" w:cs="Times New Roman"/>
          <w:bCs/>
          <w:iCs/>
          <w:kern w:val="28"/>
          <w:sz w:val="24"/>
          <w:szCs w:val="24"/>
          <w:lang w:val="en-US"/>
        </w:rPr>
        <w:t>Chemical analysis of the sample via GC–</w:t>
      </w:r>
      <w:r w:rsidR="00694F54">
        <w:rPr>
          <w:rFonts w:ascii="Times New Roman" w:hAnsi="Times New Roman" w:cs="Times New Roman"/>
          <w:bCs/>
          <w:iCs/>
          <w:kern w:val="28"/>
          <w:sz w:val="24"/>
          <w:szCs w:val="24"/>
          <w:lang w:val="en-US"/>
        </w:rPr>
        <w:t>MS</w:t>
      </w:r>
      <w:r w:rsidRPr="00AA35C5">
        <w:rPr>
          <w:rFonts w:ascii="Times New Roman" w:hAnsi="Times New Roman" w:cs="Times New Roman"/>
          <w:bCs/>
          <w:iCs/>
          <w:kern w:val="28"/>
          <w:sz w:val="24"/>
          <w:szCs w:val="24"/>
          <w:lang w:val="en-US"/>
        </w:rPr>
        <w:t xml:space="preserve"> revealed prevalence of three </w:t>
      </w:r>
      <w:r w:rsidR="00694F54" w:rsidRPr="00AA35C5">
        <w:rPr>
          <w:rFonts w:ascii="Times New Roman" w:hAnsi="Times New Roman" w:cs="Times New Roman"/>
          <w:bCs/>
          <w:iCs/>
          <w:kern w:val="28"/>
          <w:sz w:val="24"/>
          <w:szCs w:val="24"/>
          <w:lang w:val="en-US"/>
        </w:rPr>
        <w:t>monosaccharides</w:t>
      </w:r>
      <w:r w:rsidRPr="00AA35C5">
        <w:rPr>
          <w:rFonts w:ascii="Times New Roman" w:hAnsi="Times New Roman" w:cs="Times New Roman"/>
          <w:bCs/>
          <w:iCs/>
          <w:kern w:val="28"/>
          <w:sz w:val="24"/>
          <w:szCs w:val="24"/>
          <w:lang w:val="en-US"/>
        </w:rPr>
        <w:t xml:space="preserve">: alpha-methylglucoside (39.4%), methyl beta-galactoside (9.5%), and fructofuranose (5.5%) – all of which </w:t>
      </w:r>
      <w:r w:rsidR="00694F54">
        <w:rPr>
          <w:rFonts w:ascii="Times New Roman" w:hAnsi="Times New Roman" w:cs="Times New Roman"/>
          <w:bCs/>
          <w:iCs/>
          <w:kern w:val="28"/>
          <w:sz w:val="24"/>
          <w:szCs w:val="24"/>
          <w:lang w:val="en-US"/>
        </w:rPr>
        <w:t xml:space="preserve">are </w:t>
      </w:r>
      <w:r w:rsidRPr="00AA35C5">
        <w:rPr>
          <w:rFonts w:ascii="Times New Roman" w:hAnsi="Times New Roman" w:cs="Times New Roman"/>
          <w:bCs/>
          <w:iCs/>
          <w:kern w:val="28"/>
          <w:sz w:val="24"/>
          <w:szCs w:val="24"/>
          <w:lang w:val="en-US"/>
        </w:rPr>
        <w:t>commercially</w:t>
      </w:r>
      <w:r w:rsidR="00694F54">
        <w:rPr>
          <w:rFonts w:ascii="Times New Roman" w:hAnsi="Times New Roman" w:cs="Times New Roman"/>
          <w:bCs/>
          <w:iCs/>
          <w:kern w:val="28"/>
          <w:sz w:val="24"/>
          <w:szCs w:val="24"/>
          <w:lang w:val="en-US"/>
        </w:rPr>
        <w:t xml:space="preserve"> exploited in food industry</w:t>
      </w:r>
      <w:r w:rsidRPr="00AA35C5">
        <w:rPr>
          <w:rFonts w:ascii="Times New Roman" w:hAnsi="Times New Roman" w:cs="Times New Roman"/>
          <w:bCs/>
          <w:iCs/>
          <w:kern w:val="28"/>
          <w:sz w:val="24"/>
          <w:szCs w:val="24"/>
          <w:lang w:val="en-US"/>
        </w:rPr>
        <w:t xml:space="preserve">, </w:t>
      </w:r>
      <w:r w:rsidR="00694F54">
        <w:rPr>
          <w:rFonts w:ascii="Times New Roman" w:hAnsi="Times New Roman" w:cs="Times New Roman"/>
          <w:bCs/>
          <w:iCs/>
          <w:kern w:val="28"/>
          <w:sz w:val="24"/>
          <w:szCs w:val="24"/>
          <w:lang w:val="en-US"/>
        </w:rPr>
        <w:t xml:space="preserve">and in low amounts are overly </w:t>
      </w:r>
      <w:r w:rsidRPr="00AA35C5">
        <w:rPr>
          <w:rFonts w:ascii="Times New Roman" w:hAnsi="Times New Roman" w:cs="Times New Roman"/>
          <w:bCs/>
          <w:iCs/>
          <w:kern w:val="28"/>
          <w:sz w:val="24"/>
          <w:szCs w:val="24"/>
          <w:lang w:val="en-US"/>
        </w:rPr>
        <w:t>biological</w:t>
      </w:r>
      <w:r w:rsidR="00694F54">
        <w:rPr>
          <w:rFonts w:ascii="Times New Roman" w:hAnsi="Times New Roman" w:cs="Times New Roman"/>
          <w:bCs/>
          <w:iCs/>
          <w:kern w:val="28"/>
          <w:sz w:val="24"/>
          <w:szCs w:val="24"/>
          <w:lang w:val="en-US"/>
        </w:rPr>
        <w:t>ly inactive</w:t>
      </w:r>
      <w:r w:rsidRPr="00AA35C5">
        <w:rPr>
          <w:rFonts w:ascii="Times New Roman" w:hAnsi="Times New Roman" w:cs="Times New Roman"/>
          <w:bCs/>
          <w:iCs/>
          <w:kern w:val="28"/>
          <w:sz w:val="24"/>
          <w:szCs w:val="24"/>
          <w:lang w:val="en-US"/>
        </w:rPr>
        <w:t>.</w:t>
      </w:r>
      <w:r w:rsidR="00694F54">
        <w:rPr>
          <w:rFonts w:ascii="Times New Roman" w:hAnsi="Times New Roman" w:cs="Times New Roman"/>
          <w:bCs/>
          <w:iCs/>
          <w:kern w:val="28"/>
          <w:sz w:val="24"/>
          <w:szCs w:val="24"/>
          <w:lang w:val="en-US"/>
        </w:rPr>
        <w:t xml:space="preserve"> These monosaccharides are broadly used for gustatory properties or / and </w:t>
      </w:r>
      <w:r w:rsidR="00694F54" w:rsidRPr="00AA35C5">
        <w:rPr>
          <w:rFonts w:ascii="Times New Roman" w:hAnsi="Times New Roman" w:cs="Times New Roman"/>
          <w:bCs/>
          <w:iCs/>
          <w:kern w:val="28"/>
          <w:sz w:val="24"/>
          <w:szCs w:val="24"/>
          <w:lang w:val="en-US"/>
        </w:rPr>
        <w:t xml:space="preserve">crystallizing </w:t>
      </w:r>
      <w:r w:rsidR="00694F54">
        <w:rPr>
          <w:rFonts w:ascii="Times New Roman" w:hAnsi="Times New Roman" w:cs="Times New Roman"/>
          <w:bCs/>
          <w:iCs/>
          <w:kern w:val="28"/>
          <w:sz w:val="24"/>
          <w:szCs w:val="24"/>
          <w:lang w:val="en-US"/>
        </w:rPr>
        <w:t xml:space="preserve">and </w:t>
      </w:r>
      <w:r w:rsidR="00694F54" w:rsidRPr="00AA35C5">
        <w:rPr>
          <w:rFonts w:ascii="Times New Roman" w:hAnsi="Times New Roman" w:cs="Times New Roman"/>
          <w:bCs/>
          <w:iCs/>
          <w:kern w:val="28"/>
          <w:sz w:val="24"/>
          <w:szCs w:val="24"/>
          <w:lang w:val="en-US"/>
        </w:rPr>
        <w:t>surfactant agent</w:t>
      </w:r>
      <w:r w:rsidR="00694F54">
        <w:rPr>
          <w:rFonts w:ascii="Times New Roman" w:hAnsi="Times New Roman" w:cs="Times New Roman"/>
          <w:bCs/>
          <w:iCs/>
          <w:kern w:val="28"/>
          <w:sz w:val="24"/>
          <w:szCs w:val="24"/>
          <w:lang w:val="en-US"/>
        </w:rPr>
        <w:t xml:space="preserve">s </w:t>
      </w:r>
      <w:r w:rsidR="0002530F">
        <w:rPr>
          <w:rFonts w:ascii="Times New Roman" w:hAnsi="Times New Roman" w:cs="Times New Roman"/>
          <w:bCs/>
          <w:iCs/>
          <w:kern w:val="28"/>
          <w:sz w:val="24"/>
          <w:szCs w:val="24"/>
          <w:lang w:val="en-US"/>
        </w:rPr>
        <w:t xml:space="preserve">in food industry that is </w:t>
      </w:r>
      <w:r w:rsidR="00694F54">
        <w:rPr>
          <w:rFonts w:ascii="Times New Roman" w:hAnsi="Times New Roman" w:cs="Times New Roman"/>
          <w:bCs/>
          <w:iCs/>
          <w:kern w:val="28"/>
          <w:sz w:val="24"/>
          <w:szCs w:val="24"/>
          <w:lang w:val="en-US"/>
        </w:rPr>
        <w:t xml:space="preserve">approved by </w:t>
      </w:r>
      <w:r w:rsidR="00694F54" w:rsidRPr="00AA35C5">
        <w:rPr>
          <w:rFonts w:ascii="Times New Roman" w:hAnsi="Times New Roman" w:cs="Times New Roman"/>
          <w:bCs/>
          <w:iCs/>
          <w:kern w:val="28"/>
          <w:sz w:val="24"/>
          <w:szCs w:val="24"/>
          <w:lang w:val="en-US"/>
        </w:rPr>
        <w:t>the FDA</w:t>
      </w:r>
      <w:r w:rsidR="00694F54">
        <w:rPr>
          <w:rFonts w:ascii="Times New Roman" w:hAnsi="Times New Roman" w:cs="Times New Roman"/>
          <w:bCs/>
          <w:iCs/>
          <w:kern w:val="28"/>
          <w:sz w:val="24"/>
          <w:szCs w:val="24"/>
          <w:lang w:val="en-US"/>
        </w:rPr>
        <w:t xml:space="preserve"> </w:t>
      </w:r>
      <w:r w:rsidR="00694F54" w:rsidRPr="00AA35C5">
        <w:rPr>
          <w:rFonts w:ascii="Times New Roman" w:hAnsi="Times New Roman" w:cs="Times New Roman"/>
          <w:bCs/>
          <w:iCs/>
          <w:kern w:val="28"/>
          <w:sz w:val="24"/>
          <w:szCs w:val="24"/>
          <w:lang w:val="en-US"/>
        </w:rPr>
        <w:t>(Food and Drug Administration</w:t>
      </w:r>
      <w:r w:rsidR="00694F54">
        <w:rPr>
          <w:rFonts w:ascii="Times New Roman" w:hAnsi="Times New Roman" w:cs="Times New Roman"/>
          <w:bCs/>
          <w:iCs/>
          <w:kern w:val="28"/>
          <w:sz w:val="24"/>
          <w:szCs w:val="24"/>
          <w:lang w:val="en-US"/>
        </w:rPr>
        <w:t xml:space="preserve"> of the USA</w:t>
      </w:r>
      <w:r w:rsidR="00694F54" w:rsidRPr="00AA35C5">
        <w:rPr>
          <w:rFonts w:ascii="Times New Roman" w:hAnsi="Times New Roman" w:cs="Times New Roman"/>
          <w:bCs/>
          <w:iCs/>
          <w:kern w:val="28"/>
          <w:sz w:val="24"/>
          <w:szCs w:val="24"/>
          <w:lang w:val="en-US"/>
        </w:rPr>
        <w:t>)</w:t>
      </w:r>
      <w:r w:rsidR="00694F54">
        <w:rPr>
          <w:rFonts w:ascii="Times New Roman" w:hAnsi="Times New Roman" w:cs="Times New Roman"/>
          <w:bCs/>
          <w:iCs/>
          <w:kern w:val="28"/>
          <w:sz w:val="24"/>
          <w:szCs w:val="24"/>
          <w:lang w:val="en-US"/>
        </w:rPr>
        <w:t xml:space="preserve">. Particularly, </w:t>
      </w:r>
      <w:r w:rsidRPr="00AA35C5">
        <w:rPr>
          <w:rFonts w:ascii="Times New Roman" w:hAnsi="Times New Roman" w:cs="Times New Roman"/>
          <w:bCs/>
          <w:iCs/>
          <w:kern w:val="28"/>
          <w:sz w:val="24"/>
          <w:szCs w:val="24"/>
          <w:lang w:val="en-US"/>
        </w:rPr>
        <w:t>alpha-</w:t>
      </w:r>
      <w:proofErr w:type="spellStart"/>
      <w:r w:rsidRPr="00AA35C5">
        <w:rPr>
          <w:rFonts w:ascii="Times New Roman" w:hAnsi="Times New Roman" w:cs="Times New Roman"/>
          <w:bCs/>
          <w:iCs/>
          <w:kern w:val="28"/>
          <w:sz w:val="24"/>
          <w:szCs w:val="24"/>
          <w:lang w:val="en-US"/>
        </w:rPr>
        <w:t>methylglucoside</w:t>
      </w:r>
      <w:proofErr w:type="spellEnd"/>
      <w:r w:rsidRPr="00AA35C5">
        <w:rPr>
          <w:rFonts w:ascii="Times New Roman" w:hAnsi="Times New Roman" w:cs="Times New Roman"/>
          <w:bCs/>
          <w:iCs/>
          <w:kern w:val="28"/>
          <w:sz w:val="24"/>
          <w:szCs w:val="24"/>
          <w:lang w:val="en-US"/>
        </w:rPr>
        <w:t xml:space="preserve"> (</w:t>
      </w:r>
      <w:proofErr w:type="spellStart"/>
      <w:r w:rsidRPr="00AA35C5">
        <w:rPr>
          <w:rFonts w:ascii="Times New Roman" w:hAnsi="Times New Roman" w:cs="Times New Roman"/>
          <w:bCs/>
          <w:iCs/>
          <w:kern w:val="28"/>
          <w:sz w:val="24"/>
          <w:szCs w:val="24"/>
          <w:lang w:val="en-US"/>
        </w:rPr>
        <w:t>aMG</w:t>
      </w:r>
      <w:proofErr w:type="spellEnd"/>
      <w:r w:rsidRPr="00AA35C5">
        <w:rPr>
          <w:rFonts w:ascii="Times New Roman" w:hAnsi="Times New Roman" w:cs="Times New Roman"/>
          <w:bCs/>
          <w:iCs/>
          <w:kern w:val="28"/>
          <w:sz w:val="24"/>
          <w:szCs w:val="24"/>
          <w:lang w:val="en-US"/>
        </w:rPr>
        <w:t xml:space="preserve">) is known to be a non-metabolizable glucose analog </w:t>
      </w:r>
      <w:r w:rsidR="00F54E6A">
        <w:rPr>
          <w:rFonts w:ascii="Times New Roman" w:hAnsi="Times New Roman" w:cs="Times New Roman"/>
          <w:bCs/>
          <w:iCs/>
          <w:kern w:val="28"/>
          <w:sz w:val="24"/>
          <w:szCs w:val="24"/>
          <w:lang w:val="en-US"/>
        </w:rPr>
        <w:fldChar w:fldCharType="begin"/>
      </w:r>
      <w:r w:rsidR="00F54E6A">
        <w:rPr>
          <w:rFonts w:ascii="Times New Roman" w:hAnsi="Times New Roman" w:cs="Times New Roman"/>
          <w:bCs/>
          <w:iCs/>
          <w:kern w:val="28"/>
          <w:sz w:val="24"/>
          <w:szCs w:val="24"/>
          <w:lang w:val="en-US"/>
        </w:rPr>
        <w:instrText xml:space="preserve"> ADDIN ZOTERO_ITEM CSL_CITATION {"citationID":"4KNGPbWb","properties":{"formattedCitation":"(L\\uc0\\u243{}pez-Yoldi et al., 2016; Veyhl-Wichmann et al., 2016)","plainCitation":"(López-Yoldi et al., 2016; Veyhl-Wichmann et al., 2016)","noteIndex":0},"citationItems":[{"id":86,"uris":["http://zotero.org/users/5866986/items/STMSEE3T"],"uri":["http://zotero.org/users/5866986/items/STMSEE3T"],"itemData":{"id":86,"type":"article-journal","abstract":"AIM: Cardiotrophin-1 (CT-1) is a member of the IL-6 family of cytokines with a key role in glucose and lipid metabolism. In the current investigation, we examined the in vivo and in vitro effects of CT-1 treatment on intestinal sugar absorption in different experimental models.\nMETHODS: rCT-1 effects on α-Methyl-D-glucoside uptake were assessed in everted intestinal rings from wild-type and CT-1(-/-) mice and in Caco-2 cells. rCT-1 actions on SGLT-1 expression in brush border membrane vesicles and the identification of the potential signalling pathways involved were determined by Western blot.\nRESULTS: In vivo administration (0.2 mg kg(-1) ) of rCT-1 caused a significant decrease on α-Methyl-D-glucoside uptake in everted intestinal rings from wild-type and CT-1(-/-) mice after short-term and long-term treatments. Similarly, in vitro treatment (1-50 ng mL(-1) ) with rCT-1 reduced α-Methyl-D-glucoside uptake in everted intestinal rings. In Caco-2 cells, rCT-1 treatment (20 ng mL(-1) , 1 and 24 h) lowered apical uptake of α-Methyl-D-glucoside in parallel with a decrease on SGLT-1 protein expression. rCT-1 promoted the phosphorylation of STAT-3 after 5 and 15 min treatment, but inhibited the activation by phosphorylation of AMPK after 30 and 60 min. Interestingly, pre-treatment with the JAK/STAT inhibitor (AG490) and with the AMPK activator (AICAR) reversed the inhibitory effects of rCT-1 on α-Methyl-D-glucoside uptake. AICAR also prevented the inhibition of SGLT-1 observed in rCT-1-treated cells.\nCONCLUSIONS: CT-1 inhibits intestinal sugar absorption by the reduction of SGLT-1 levels through the AMPK pathway, which could also contribute to explain the hypoglycaemic and anti-obesity properties of CT-1.","container-title":"Acta Physiologica (Oxford, England)","DOI":"10.1111/apha.12674","ISSN":"1748-1716","issue":"3","journalAbbreviation":"Acta Physiol (Oxf)","language":"eng","note":"PMID: 26972986","page":"217-226","source":"PubMed","title":"Cardiotrophin-1 decreases intestinal sugar uptake in mice and in Caco-2 cells","volume":"217","author":[{"family":"López-Yoldi","given":"M."},{"family":"Castilla-Madrigal","given":"R."},{"family":"Lostao","given":"M. P."},{"family":"Barber","given":"A."},{"family":"Prieto","given":"J."},{"family":"Martínez","given":"J. A."},{"family":"Bustos","given":"M."},{"family":"Moreno-Aliaga","given":"M. J."}],"issued":{"date-parts":[["2016"]]}}},{"id":88,"uris":["http://zotero.org/users/5866986/items/M5ZZ399H"],"uri":["http://zotero.org/users/5866986/items/M5ZZ399H"],"itemData":{"id":88,"type":"article-journal","abstract":"Cellular uptake adapts rapidly to physiologic demands by changing transporter abundance in the plasma membrane. The human gene RSC1A1 codes for a 67-kDa protein named RS1 that has been shown to induce downregulation of the sodium-D-glucose cotransporter 1 (SGLT1) and of the concentrative nucleoside transporter 1 (CNT1) in the plasma membrane by blocking exocytosis at the Golgi. Injecting RS1 fragments into Xenopus laevis oocytes expressing SGLT1 or CNT1 and measuring the expressed uptake of α-methylglucoside or uridine 1 hour later, we identified a RS1 domain (RS1-Reg) containing multiple predicted phosphorylation sites that is responsible for this post-translational downregulation of SGLT1 and CNT1. Dependent on phosphorylation, RS1-Reg blocks the release of SGLT1-containing vesicles from the Golgi in a glucose-dependent manner or glucose-independent release of CNT1-containing vesicles. We showed that upregulation of SGLT1 in the small intestine after glucose ingestion is promoted by glucose-dependent disinhibition of the RS1-Reg-blocked exocytotic pathway of SGLT1 between meals. Mimicking phosphorylation of RS1-Reg, we obtained a RS1-Reg variant that downregulates SGLT1 in the brush-border membrane at high luminal glucose concentration. Because RS1 mediates short-term regulation of various transporters, we propose that the RS1-Reg-navigated transporter release from Golgi represents a basic regulatory mechanism of general importance, which implies the existence of receptor proteins that recognize different phosphorylated forms of RS1-Reg and of complex transporter-specific sorting in the trans-Golgi. RS1-Reg-derived peptides that downregulate SGLT1 at high intracellular glucose concentrations may be used for downregulation of glucose absorption in small intestine, which has been proposed as strategy for treatment of type 2 diabetes.","container-title":"Molecular Pharmacology","DOI":"10.1124/mol.115.101162","ISSN":"1521-0111","issue":"1","journalAbbreviation":"Mol Pharmacol","language":"eng","note":"PMID: 26464324","page":"118-132","source":"PubMed","title":"Phosphorylation of RS1 (RSC1A1) Steers Inhibition of Different Exocytotic Pathways for Glucose Transporter SGLT1 and Nucleoside Transporter CNT1, and an RS1-Derived Peptide Inhibits Glucose Absorption","volume":"89","author":[{"family":"Veyhl-Wichmann","given":"Maike"},{"family":"Friedrich","given":"Alexandra"},{"family":"Vernaleken","given":"Alexandra"},{"family":"Singh","given":"Smriti"},{"family":"Kipp","given":"Helmut"},{"family":"Gorboulev","given":"Valentin"},{"family":"Keller","given":"Thorsten"},{"family":"Chintalapati","given":"Chakravarthi"},{"family":"Pipkorn","given":"Rüdiger"},{"family":"Pastor-Anglada","given":"Marçal"},{"family":"Groll","given":"Jürgen"},{"family":"Koepsell","given":"Hermann"}],"issued":{"date-parts":[["2016",1]]}}}],"schema":"https://github.com/citation-style-language/schema/raw/master/csl-citation.json"} </w:instrText>
      </w:r>
      <w:r w:rsidR="00F54E6A">
        <w:rPr>
          <w:rFonts w:ascii="Times New Roman" w:hAnsi="Times New Roman" w:cs="Times New Roman"/>
          <w:bCs/>
          <w:iCs/>
          <w:kern w:val="28"/>
          <w:sz w:val="24"/>
          <w:szCs w:val="24"/>
          <w:lang w:val="en-US"/>
        </w:rPr>
        <w:fldChar w:fldCharType="separate"/>
      </w:r>
      <w:r w:rsidR="00F54E6A" w:rsidRPr="001307AD">
        <w:rPr>
          <w:rFonts w:ascii="Times New Roman" w:hAnsi="Times New Roman" w:cs="Times New Roman"/>
          <w:sz w:val="24"/>
          <w:szCs w:val="24"/>
          <w:lang w:val="en-US"/>
        </w:rPr>
        <w:t>(López-Yoldi et al., 2016; Veyhl-Wichmann et al., 2016)</w:t>
      </w:r>
      <w:r w:rsidR="00F54E6A">
        <w:rPr>
          <w:rFonts w:ascii="Times New Roman" w:hAnsi="Times New Roman" w:cs="Times New Roman"/>
          <w:bCs/>
          <w:iCs/>
          <w:kern w:val="28"/>
          <w:sz w:val="24"/>
          <w:szCs w:val="24"/>
          <w:lang w:val="en-US"/>
        </w:rPr>
        <w:fldChar w:fldCharType="end"/>
      </w:r>
      <w:r w:rsidR="0002530F">
        <w:rPr>
          <w:rFonts w:ascii="Times New Roman" w:hAnsi="Times New Roman" w:cs="Times New Roman"/>
          <w:bCs/>
          <w:iCs/>
          <w:kern w:val="28"/>
          <w:sz w:val="24"/>
          <w:szCs w:val="24"/>
          <w:lang w:val="en-US"/>
        </w:rPr>
        <w:t>,</w:t>
      </w:r>
      <w:r w:rsidRPr="00AA35C5">
        <w:rPr>
          <w:rFonts w:ascii="Times New Roman" w:hAnsi="Times New Roman" w:cs="Times New Roman"/>
          <w:bCs/>
          <w:iCs/>
          <w:kern w:val="28"/>
          <w:sz w:val="24"/>
          <w:szCs w:val="24"/>
          <w:lang w:val="en-US"/>
        </w:rPr>
        <w:t xml:space="preserve"> acting as a reward for flavor preference in mice </w:t>
      </w:r>
      <w:r w:rsidR="001307AD">
        <w:rPr>
          <w:rFonts w:ascii="Times New Roman" w:hAnsi="Times New Roman" w:cs="Times New Roman"/>
          <w:bCs/>
          <w:iCs/>
          <w:kern w:val="28"/>
          <w:sz w:val="24"/>
          <w:szCs w:val="24"/>
          <w:lang w:val="en-US"/>
        </w:rPr>
        <w:fldChar w:fldCharType="begin"/>
      </w:r>
      <w:r w:rsidR="001307AD">
        <w:rPr>
          <w:rFonts w:ascii="Times New Roman" w:hAnsi="Times New Roman" w:cs="Times New Roman"/>
          <w:bCs/>
          <w:iCs/>
          <w:kern w:val="28"/>
          <w:sz w:val="24"/>
          <w:szCs w:val="24"/>
          <w:lang w:val="en-US"/>
        </w:rPr>
        <w:instrText xml:space="preserve"> ADDIN ZOTERO_ITEM CSL_CITATION {"citationID":"8z3b3zke","properties":{"formattedCitation":"(Zukerman et al., 2013)","plainCitation":"(Zukerman et al., 2013)","noteIndex":0},"citationItems":[{"id":67,"uris":["http://zotero.org/users/5866986/items/HU2E8RAJ"],"uri":["http://zotero.org/users/5866986/items/HU2E8RAJ"],"itemData":{"id":67,"type":"article-journal","abstract":"Post-oral sugar actions enhance the intake of and preference for sugar-rich foods, a process referred to as appetition. Here, we investigated the role of intestinal sodium glucose cotransporters (SGLTs) in sugar appetition in C57BL/6J mice using sugars and nonmetabolizable sugar analogs that differ in their affinity for SGLT1 and SGLT3. In experiments 1 and 2, food-restricted mice were trained (1 h/day) to consume a flavored saccharin solution [conditioned stimulus (CS-)] paired with intragastric (IG) self-infusions of water and a different flavored solution (CS+) paired with infusions of 8 or 12% sugars (glucose, fructose, and galactose) or sugar analogs (α-methyl-D-glucopyranoside, MDG; 3-O-methyl-D-glucopyranoside, OMG). Subsequent two-bottle CS+ vs. CS- choice tests were conducted without coinfusions. Infusions of the SGLT1 ligands glucose, galactose, MDG, and OMG stimulated CS+ licking above CS- levels. However, only glucose, MDG, and galactose conditioned significant CS+ preferences, with the SGLT3 ligands (glucose, MDG) producing the strongest preferences. Fructose, which is not a ligand for SGLTs, failed to stimulate CS+ intake or preference. Experiment 3 revealed that IG infusion of MDG+phloridzin (an SGLT1/3 antagonist) blocked MDG appetition, whereas phloridzin had minimal effects on glucose-induced appetition. However, adding phloretin (a GLUT2 antagonist) to the glucose+phloridzin infusion blocked glucose appetition. Taken together, these findings suggest that humoral signals generated by intestinal SGLT1 and SGLT3, and to a lesser degree, GLUT2, mediate post-oral sugar appetition in mice. The MDG results indicate that sugar metabolism is not essential for the post-oral intake-stimulating and preference-conditioning actions of sugars in mice.","container-title":"American Journal of Physiology. Regulatory, Integrative and Comparative Physiology","DOI":"10.1152/ajpregu.00297.2013","ISSN":"1522-1490","issue":"7","journalAbbreviation":"Am J Physiol Regul Integr Comp Physiol","language":"eng","note":"PMID: 23926132\nPMCID: PMC3798804","page":"R840-853","source":"PubMed","title":"Post-oral appetite stimulation by sugars and nonmetabolizable sugar analogs","volume":"305","author":[{"family":"Zukerman","given":"Steven"},{"family":"Ackroff","given":"Karen"},{"family":"Sclafani","given":"Anthony"}],"issued":{"date-parts":[["2013",10,1]]}}}],"schema":"https://github.com/citation-style-language/schema/raw/master/csl-citation.json"} </w:instrText>
      </w:r>
      <w:r w:rsidR="001307AD">
        <w:rPr>
          <w:rFonts w:ascii="Times New Roman" w:hAnsi="Times New Roman" w:cs="Times New Roman"/>
          <w:bCs/>
          <w:iCs/>
          <w:kern w:val="28"/>
          <w:sz w:val="24"/>
          <w:szCs w:val="24"/>
          <w:lang w:val="en-US"/>
        </w:rPr>
        <w:fldChar w:fldCharType="separate"/>
      </w:r>
      <w:r w:rsidR="001307AD" w:rsidRPr="008E3B45">
        <w:rPr>
          <w:rFonts w:ascii="Times New Roman" w:hAnsi="Times New Roman" w:cs="Times New Roman"/>
          <w:sz w:val="24"/>
          <w:lang w:val="en-US"/>
        </w:rPr>
        <w:t>(Zukerman et al., 2013)</w:t>
      </w:r>
      <w:r w:rsidR="001307AD">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w:t>
      </w:r>
      <w:r w:rsidR="00A7345D">
        <w:rPr>
          <w:rFonts w:ascii="Times New Roman" w:hAnsi="Times New Roman" w:cs="Times New Roman"/>
          <w:bCs/>
          <w:iCs/>
          <w:kern w:val="28"/>
          <w:sz w:val="24"/>
          <w:szCs w:val="24"/>
          <w:lang w:val="en-US"/>
        </w:rPr>
        <w:t>As for m</w:t>
      </w:r>
      <w:r w:rsidRPr="00AA35C5">
        <w:rPr>
          <w:rFonts w:ascii="Times New Roman" w:hAnsi="Times New Roman" w:cs="Times New Roman"/>
          <w:bCs/>
          <w:iCs/>
          <w:kern w:val="28"/>
          <w:sz w:val="24"/>
          <w:szCs w:val="24"/>
          <w:lang w:val="en-US"/>
        </w:rPr>
        <w:t>ethyl beta-</w:t>
      </w:r>
      <w:proofErr w:type="spellStart"/>
      <w:r w:rsidRPr="00AA35C5">
        <w:rPr>
          <w:rFonts w:ascii="Times New Roman" w:hAnsi="Times New Roman" w:cs="Times New Roman"/>
          <w:bCs/>
          <w:iCs/>
          <w:kern w:val="28"/>
          <w:sz w:val="24"/>
          <w:szCs w:val="24"/>
          <w:lang w:val="en-US"/>
        </w:rPr>
        <w:t>galactoside</w:t>
      </w:r>
      <w:proofErr w:type="spellEnd"/>
      <w:r w:rsidRPr="00AA35C5">
        <w:rPr>
          <w:rFonts w:ascii="Times New Roman" w:hAnsi="Times New Roman" w:cs="Times New Roman"/>
          <w:bCs/>
          <w:iCs/>
          <w:kern w:val="28"/>
          <w:sz w:val="24"/>
          <w:szCs w:val="24"/>
          <w:lang w:val="en-US"/>
        </w:rPr>
        <w:t xml:space="preserve"> (</w:t>
      </w:r>
      <w:proofErr w:type="spellStart"/>
      <w:r w:rsidRPr="00AA35C5">
        <w:rPr>
          <w:rFonts w:ascii="Times New Roman" w:hAnsi="Times New Roman" w:cs="Times New Roman"/>
          <w:bCs/>
          <w:iCs/>
          <w:kern w:val="28"/>
          <w:sz w:val="24"/>
          <w:szCs w:val="24"/>
          <w:lang w:val="en-US"/>
        </w:rPr>
        <w:t>MbG</w:t>
      </w:r>
      <w:proofErr w:type="spellEnd"/>
      <w:r w:rsidRPr="00AA35C5">
        <w:rPr>
          <w:rFonts w:ascii="Times New Roman" w:hAnsi="Times New Roman" w:cs="Times New Roman"/>
          <w:bCs/>
          <w:iCs/>
          <w:kern w:val="28"/>
          <w:sz w:val="24"/>
          <w:szCs w:val="24"/>
          <w:lang w:val="en-US"/>
        </w:rPr>
        <w:t>)</w:t>
      </w:r>
      <w:r w:rsidR="00A7345D">
        <w:rPr>
          <w:rFonts w:ascii="Times New Roman" w:hAnsi="Times New Roman" w:cs="Times New Roman"/>
          <w:bCs/>
          <w:iCs/>
          <w:kern w:val="28"/>
          <w:sz w:val="24"/>
          <w:szCs w:val="24"/>
          <w:lang w:val="en-US"/>
        </w:rPr>
        <w:t xml:space="preserve">, its </w:t>
      </w:r>
      <w:r w:rsidR="00A7345D" w:rsidRPr="00AA35C5">
        <w:rPr>
          <w:rFonts w:ascii="Times New Roman" w:hAnsi="Times New Roman" w:cs="Times New Roman"/>
          <w:bCs/>
          <w:iCs/>
          <w:kern w:val="28"/>
          <w:sz w:val="24"/>
          <w:szCs w:val="24"/>
          <w:lang w:val="en-US"/>
        </w:rPr>
        <w:t xml:space="preserve">physiological </w:t>
      </w:r>
      <w:r w:rsidR="00A7345D">
        <w:rPr>
          <w:rFonts w:ascii="Times New Roman" w:hAnsi="Times New Roman" w:cs="Times New Roman"/>
          <w:bCs/>
          <w:iCs/>
          <w:kern w:val="28"/>
          <w:sz w:val="24"/>
          <w:szCs w:val="24"/>
          <w:lang w:val="en-US"/>
        </w:rPr>
        <w:t xml:space="preserve">role in humans is not proven, while indirect effects </w:t>
      </w:r>
      <w:proofErr w:type="spellStart"/>
      <w:r w:rsidR="00A7345D" w:rsidRPr="00AA35C5">
        <w:rPr>
          <w:rFonts w:ascii="Times New Roman" w:hAnsi="Times New Roman" w:cs="Times New Roman"/>
          <w:bCs/>
          <w:iCs/>
          <w:kern w:val="28"/>
          <w:sz w:val="24"/>
          <w:szCs w:val="24"/>
          <w:lang w:val="en-US"/>
        </w:rPr>
        <w:t>MbG</w:t>
      </w:r>
      <w:proofErr w:type="spellEnd"/>
      <w:r w:rsidR="00A7345D" w:rsidRPr="00AA35C5">
        <w:rPr>
          <w:rFonts w:ascii="Times New Roman" w:hAnsi="Times New Roman" w:cs="Times New Roman"/>
          <w:bCs/>
          <w:iCs/>
          <w:kern w:val="28"/>
          <w:sz w:val="24"/>
          <w:szCs w:val="24"/>
          <w:lang w:val="en-US"/>
        </w:rPr>
        <w:t xml:space="preserve"> </w:t>
      </w:r>
      <w:r w:rsidR="00A7345D">
        <w:rPr>
          <w:rFonts w:ascii="Times New Roman" w:hAnsi="Times New Roman" w:cs="Times New Roman"/>
          <w:bCs/>
          <w:iCs/>
          <w:kern w:val="28"/>
          <w:sz w:val="24"/>
          <w:szCs w:val="24"/>
          <w:lang w:val="en-US"/>
        </w:rPr>
        <w:t xml:space="preserve">via gut </w:t>
      </w:r>
      <w:r w:rsidR="00A7345D">
        <w:rPr>
          <w:rFonts w:ascii="Times New Roman" w:hAnsi="Times New Roman" w:cs="Times New Roman"/>
          <w:bCs/>
          <w:iCs/>
          <w:kern w:val="28"/>
          <w:sz w:val="24"/>
          <w:szCs w:val="24"/>
          <w:lang w:val="en-US"/>
        </w:rPr>
        <w:lastRenderedPageBreak/>
        <w:t xml:space="preserve">microbiome can be suggested by the data showing its metabolic role in </w:t>
      </w:r>
      <w:r w:rsidR="00A7345D" w:rsidRPr="00AA35C5">
        <w:rPr>
          <w:rFonts w:ascii="Times New Roman" w:hAnsi="Times New Roman" w:cs="Times New Roman"/>
          <w:bCs/>
          <w:iCs/>
          <w:kern w:val="28"/>
          <w:sz w:val="24"/>
          <w:szCs w:val="24"/>
          <w:lang w:val="en-US"/>
        </w:rPr>
        <w:t xml:space="preserve">Escherichia coli and Lactobacillus </w:t>
      </w:r>
      <w:r w:rsidR="008E3B45">
        <w:rPr>
          <w:rFonts w:ascii="Times New Roman" w:hAnsi="Times New Roman" w:cs="Times New Roman"/>
          <w:bCs/>
          <w:iCs/>
          <w:kern w:val="28"/>
          <w:sz w:val="24"/>
          <w:szCs w:val="24"/>
          <w:lang w:val="en-US"/>
        </w:rPr>
        <w:fldChar w:fldCharType="begin"/>
      </w:r>
      <w:r w:rsidR="008E3B45">
        <w:rPr>
          <w:rFonts w:ascii="Times New Roman" w:hAnsi="Times New Roman" w:cs="Times New Roman"/>
          <w:bCs/>
          <w:iCs/>
          <w:kern w:val="28"/>
          <w:sz w:val="24"/>
          <w:szCs w:val="24"/>
          <w:lang w:val="en-US"/>
        </w:rPr>
        <w:instrText xml:space="preserve"> ADDIN ZOTERO_ITEM CSL_CITATION {"citationID":"RmfbsK6r","properties":{"formattedCitation":"(Mukai et al., 1998; Sahin-T\\uc0\\u243{}th et al., 2002)","plainCitation":"(Mukai et al., 1998; Sahin-Tóth et al., 2002)","noteIndex":0},"citationItems":[{"id":102,"uris":["http://zotero.org/users/5866986/items/QNIE3UUB"],"uri":["http://zotero.org/users/5866986/items/QNIE3UUB"],"itemData":{"id":102,"type":"article-journal","abstract":"The carbohydrate-binding activity of Lactobacillus reuteri was studied by haemagglutination (HA), HA inhibition and thin layer chromatography (TLC) overlay assays. Three of the six Lact. reuteri strains examined showed HA activity. Two strains (JCM1081 and JCM1112T) agglutinated neuraminidase-treated, but not untreated, erythrocytes. Strain JCM2762 agglutinated both treated and untreated erythrocytes. The HA activity of JCM 1081 was inhibited by galactose, lactose, methyl beta-galactoside and asialoglycophorin A. Among 12 glycosphingolipids, TLC overlay assay showed that JCM1081 strongly bound to asialo-GM1. These results indicated that JCM1081 bound to the beta-galactosyl residues of the non-reducing terminal of sugar chains of glycoconjugates. The carbohydrate-binding ability of JCM1081 may be responsible for the adhesion of this strain to the mucosal surface of the intestine.","container-title":"Letters in Applied Microbiology","DOI":"10.1046/j.1472-765x.1998.00418.x","ISSN":"0266-8254","issue":"3","journalAbbreviation":"Lett Appl Microbiol","language":"eng","note":"PMID: 9750315","page":"130-134","source":"PubMed","title":"Haemagglutination and glycolipid-binding activities of Lactobacillus reuteri","volume":"27","author":[{"family":"Mukai","given":"T."},{"family":"Kaneko","given":"S."},{"family":"Ohori","given":"H."}],"issued":{"date-parts":[["1998",9]]}}},{"id":100,"uris":["http://zotero.org/users/5866986/items/RGUCSIT9"],"uri":["http://zotero.org/users/5866986/items/RGUCSIT9"],"itemData":{"id":100,"type":"article-journal","abstract":"Binding of alpha- and beta-D-galactopyranosides with different hydrophobic aglycons was compared using substrate protection against N-ethylmaleimide alkylation of single-Cys148 lactose permease. As demonstrated previously, methyl- or allyl-substituted alpha-D-galactopyranosides exhibit a 60-fold increase in binding affinity (K(D) = 0.5 mM), relative to galactose (K(D) = 30 mM), while methyl beta-D-galactopyranoside binds only 3-fold better. In the present study, galactopyranosides with cyclohexyl or phenyl substitutions, both in alpha and beta anomeric configurations, were synthesized. Surprisingly, relative to methyl alpha-D-galactopyranoside, binding of cyclohexyl alpha-D-galactopyranoside to lactose permease is essentially unchanged (K(D) = 0.4 mM), and phenyl alpha-D-galactopyranoside exhibits only a modest increase in binding affinity (K(D) = 0.15 mM). Nitro- or methyl-substituted phenyl alpha-D-galactopyranosides bind with significantly higher affinities (K(D) = 0.014-0.067 mM), and the strongest binding is observed with analogues containing para substituents. In contrast, D-galactopyranosides with a variety of large hydrophobic substituents (isopropyl, cyclohexyl, phenyl, o- or p-nitrophenyl) in beta anomeric configuration exhibit uniformly weak binding (K(D) = 1.0-2.3 mM). The results confirm and extend previous observations that hydrophobic aglycons of D-galactopyranosides increase binding affinity, with a clear predilection toward alpha-substituted sugars. In addition, the data suggest that the primary interaction between the permease and hydrophobic aglycons is directed toward the carbon atom bonded to the anomeric oxygen. The different positioning of this carbon atom in alpha- or beta-D-galactopyranosides thus may provide a rationale for the characteristic binding preference of the permease for alpha anomers.","container-title":"Biochemistry","DOI":"10.1021/bi0203076","ISSN":"0006-2960","issue":"43","journalAbbreviation":"Biochemistry","language":"eng","note":"PMID: 12390031","page":"13039-13045","source":"PubMed","title":"Binding of hydrophobic D-galactopyranosides to the lactose permease of Escherichia coli","volume":"41","author":[{"family":"Sahin-Tóth","given":"Miklós"},{"family":"Gunawan","given":"Paula"},{"family":"Lawrence","given":"Mary C."},{"family":"Toyokuni","given":"Tatsushi"},{"family":"Kaback","given":"H. Ronald"}],"issued":{"date-parts":[["2002",10,29]]}}}],"schema":"https://github.com/citation-style-language/schema/raw/master/csl-citation.json"} </w:instrText>
      </w:r>
      <w:r w:rsidR="008E3B45">
        <w:rPr>
          <w:rFonts w:ascii="Times New Roman" w:hAnsi="Times New Roman" w:cs="Times New Roman"/>
          <w:bCs/>
          <w:iCs/>
          <w:kern w:val="28"/>
          <w:sz w:val="24"/>
          <w:szCs w:val="24"/>
          <w:lang w:val="en-US"/>
        </w:rPr>
        <w:fldChar w:fldCharType="separate"/>
      </w:r>
      <w:r w:rsidR="008E3B45" w:rsidRPr="008E3B45">
        <w:rPr>
          <w:rFonts w:ascii="Times New Roman" w:hAnsi="Times New Roman" w:cs="Times New Roman"/>
          <w:sz w:val="24"/>
          <w:szCs w:val="24"/>
          <w:lang w:val="en-US"/>
        </w:rPr>
        <w:t>(Mukai et al., 1998; Sahin-Tóth et al., 2002)</w:t>
      </w:r>
      <w:r w:rsidR="008E3B45">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w:t>
      </w:r>
      <w:r w:rsidR="009B621F">
        <w:rPr>
          <w:rFonts w:ascii="Times New Roman" w:hAnsi="Times New Roman" w:cs="Times New Roman"/>
          <w:bCs/>
          <w:iCs/>
          <w:kern w:val="28"/>
          <w:sz w:val="24"/>
          <w:szCs w:val="24"/>
          <w:lang w:val="en-US"/>
        </w:rPr>
        <w:t xml:space="preserve">In humans, </w:t>
      </w:r>
      <w:r w:rsidR="0002530F" w:rsidRPr="00AA35C5">
        <w:rPr>
          <w:rFonts w:ascii="Times New Roman" w:hAnsi="Times New Roman" w:cs="Times New Roman"/>
          <w:bCs/>
          <w:iCs/>
          <w:kern w:val="28"/>
          <w:sz w:val="24"/>
          <w:szCs w:val="24"/>
          <w:lang w:val="en-US"/>
        </w:rPr>
        <w:t>D-fructofuranose</w:t>
      </w:r>
      <w:r w:rsidR="0002530F" w:rsidRPr="0002530F">
        <w:rPr>
          <w:rFonts w:ascii="Times New Roman" w:hAnsi="Times New Roman" w:cs="Times New Roman"/>
          <w:bCs/>
          <w:iCs/>
          <w:kern w:val="28"/>
          <w:sz w:val="24"/>
          <w:szCs w:val="24"/>
          <w:lang w:val="en-US"/>
        </w:rPr>
        <w:t xml:space="preserve"> </w:t>
      </w:r>
      <w:r w:rsidRPr="00AA35C5">
        <w:rPr>
          <w:rFonts w:ascii="Times New Roman" w:hAnsi="Times New Roman" w:cs="Times New Roman"/>
          <w:bCs/>
          <w:iCs/>
          <w:kern w:val="28"/>
          <w:sz w:val="24"/>
          <w:szCs w:val="24"/>
          <w:lang w:val="en-US"/>
        </w:rPr>
        <w:t xml:space="preserve">(also known as </w:t>
      </w:r>
      <w:r w:rsidR="00557153">
        <w:rPr>
          <w:rFonts w:ascii="Times New Roman" w:hAnsi="Times New Roman" w:cs="Times New Roman"/>
          <w:bCs/>
          <w:iCs/>
          <w:kern w:val="28"/>
          <w:sz w:val="24"/>
          <w:szCs w:val="24"/>
          <w:lang w:val="en-US"/>
        </w:rPr>
        <w:t>f</w:t>
      </w:r>
      <w:r w:rsidR="0002530F" w:rsidRPr="00AA35C5">
        <w:rPr>
          <w:rFonts w:ascii="Times New Roman" w:hAnsi="Times New Roman" w:cs="Times New Roman"/>
          <w:bCs/>
          <w:iCs/>
          <w:kern w:val="28"/>
          <w:sz w:val="24"/>
          <w:szCs w:val="24"/>
          <w:lang w:val="en-US"/>
        </w:rPr>
        <w:t>ructose</w:t>
      </w:r>
      <w:r w:rsidRPr="00AA35C5">
        <w:rPr>
          <w:rFonts w:ascii="Times New Roman" w:hAnsi="Times New Roman" w:cs="Times New Roman"/>
          <w:bCs/>
          <w:iCs/>
          <w:kern w:val="28"/>
          <w:sz w:val="24"/>
          <w:szCs w:val="24"/>
          <w:lang w:val="en-US"/>
        </w:rPr>
        <w:t xml:space="preserve">), is metabolized almost completely in the liver, </w:t>
      </w:r>
      <w:r w:rsidR="0002530F">
        <w:rPr>
          <w:rFonts w:ascii="Times New Roman" w:hAnsi="Times New Roman" w:cs="Times New Roman"/>
          <w:bCs/>
          <w:iCs/>
          <w:kern w:val="28"/>
          <w:sz w:val="24"/>
          <w:szCs w:val="24"/>
          <w:lang w:val="en-US"/>
        </w:rPr>
        <w:t>it</w:t>
      </w:r>
      <w:r w:rsidRPr="00AA35C5">
        <w:rPr>
          <w:rFonts w:ascii="Times New Roman" w:hAnsi="Times New Roman" w:cs="Times New Roman"/>
          <w:bCs/>
          <w:iCs/>
          <w:kern w:val="28"/>
          <w:sz w:val="24"/>
          <w:szCs w:val="24"/>
          <w:lang w:val="en-US"/>
        </w:rPr>
        <w:t xml:space="preserve"> does not serve as a primary source of energy being is predominantly transformed into triglyceride</w:t>
      </w:r>
      <w:r w:rsidR="0002530F">
        <w:rPr>
          <w:rFonts w:ascii="Times New Roman" w:hAnsi="Times New Roman" w:cs="Times New Roman"/>
          <w:bCs/>
          <w:iCs/>
          <w:kern w:val="28"/>
          <w:sz w:val="24"/>
          <w:szCs w:val="24"/>
          <w:lang w:val="en-US"/>
        </w:rPr>
        <w:t xml:space="preserve">s and fatty acids </w:t>
      </w:r>
      <w:r w:rsidR="008E3B45">
        <w:rPr>
          <w:rFonts w:ascii="Times New Roman" w:hAnsi="Times New Roman" w:cs="Times New Roman"/>
          <w:bCs/>
          <w:iCs/>
          <w:kern w:val="28"/>
          <w:sz w:val="24"/>
          <w:szCs w:val="24"/>
          <w:lang w:val="en-US"/>
        </w:rPr>
        <w:fldChar w:fldCharType="begin"/>
      </w:r>
      <w:r w:rsidR="008E3B45">
        <w:rPr>
          <w:rFonts w:ascii="Times New Roman" w:hAnsi="Times New Roman" w:cs="Times New Roman"/>
          <w:bCs/>
          <w:iCs/>
          <w:kern w:val="28"/>
          <w:sz w:val="24"/>
          <w:szCs w:val="24"/>
          <w:lang w:val="en-US"/>
        </w:rPr>
        <w:instrText xml:space="preserve"> ADDIN ZOTERO_ITEM CSL_CITATION {"citationID":"chJ0xrmj","properties":{"formattedCitation":"(Mayes, 1993)","plainCitation":"(Mayes, 1993)","noteIndex":0},"citationItems":[{"id":107,"uris":["http://zotero.org/users/5866986/items/FDPIQ48A"],"uri":["http://zotero.org/users/5866986/items/FDPIQ48A"],"itemData":{"id":107,"type":"article-journal","abstract":"Most of the metabolic effects of fructose are due to its rapid utilization by the liver and it by-passing the phosphofructokinase regulatory step in glycolysis, leading to far reaching consequences to carbohydrate and lipid metabolism. These consequences include immediate hepatic increases in pyruvate and lactate production, activation of pyruvate dehydrogenase, and a shift in balance from oxidation to esterification of nonesterified fatty acids, resulting in increased secretion of very-low-density-lipoprotein (VLDL). These effects are augmented by long-term absorption of fructose, which causes enzyme adaptations that increase lipogenesis and VLDL secretion, leading to triglyceridemia, decreased glucose tolerance, and hyperinsulinemia. Acute loading of the liver with fructose causes sequestration of inorganic phosphate in fructose-1-phosphate and diminished ATP synthesis. Consequently, the inhibition by ATP of the enzymes of adenine nucleotide degradation is removed and uric acid formation accelerates with consequent hyperuricemia. These effects are of particular significance to potentially hypertriglyceridemic or hyperuricemic individuals.","container-title":"The American Journal of Clinical Nutrition","DOI":"10.1093/ajcn/58.5.754S","ISSN":"0002-9165","issue":"5 Suppl","journalAbbreviation":"Am J Clin Nutr","language":"eng","note":"PMID: 8213607","page":"754S-765S","source":"PubMed","title":"Intermediary metabolism of fructose","volume":"58","author":[{"family":"Mayes","given":"P. A."}],"issued":{"date-parts":[["1993"]]}}}],"schema":"https://github.com/citation-style-language/schema/raw/master/csl-citation.json"} </w:instrText>
      </w:r>
      <w:r w:rsidR="008E3B45">
        <w:rPr>
          <w:rFonts w:ascii="Times New Roman" w:hAnsi="Times New Roman" w:cs="Times New Roman"/>
          <w:bCs/>
          <w:iCs/>
          <w:kern w:val="28"/>
          <w:sz w:val="24"/>
          <w:szCs w:val="24"/>
          <w:lang w:val="en-US"/>
        </w:rPr>
        <w:fldChar w:fldCharType="separate"/>
      </w:r>
      <w:r w:rsidR="008E3B45" w:rsidRPr="008E3B45">
        <w:rPr>
          <w:rFonts w:ascii="Times New Roman" w:hAnsi="Times New Roman" w:cs="Times New Roman"/>
          <w:sz w:val="24"/>
          <w:lang w:val="en-US"/>
        </w:rPr>
        <w:t>(Mayes, 1993)</w:t>
      </w:r>
      <w:r w:rsidR="008E3B45">
        <w:rPr>
          <w:rFonts w:ascii="Times New Roman" w:hAnsi="Times New Roman" w:cs="Times New Roman"/>
          <w:bCs/>
          <w:iCs/>
          <w:kern w:val="28"/>
          <w:sz w:val="24"/>
          <w:szCs w:val="24"/>
          <w:lang w:val="en-US"/>
        </w:rPr>
        <w:fldChar w:fldCharType="end"/>
      </w:r>
      <w:r w:rsidR="0002530F">
        <w:rPr>
          <w:rFonts w:ascii="Times New Roman" w:hAnsi="Times New Roman" w:cs="Times New Roman"/>
          <w:bCs/>
          <w:iCs/>
          <w:kern w:val="28"/>
          <w:sz w:val="24"/>
          <w:szCs w:val="24"/>
          <w:lang w:val="en-US"/>
        </w:rPr>
        <w:t xml:space="preserve"> and used in food industry as </w:t>
      </w:r>
      <w:r w:rsidRPr="00AA35C5">
        <w:rPr>
          <w:rFonts w:ascii="Times New Roman" w:hAnsi="Times New Roman" w:cs="Times New Roman"/>
          <w:bCs/>
          <w:iCs/>
          <w:kern w:val="28"/>
          <w:sz w:val="24"/>
          <w:szCs w:val="24"/>
          <w:lang w:val="en-US"/>
        </w:rPr>
        <w:t>the sweetener</w:t>
      </w:r>
      <w:r w:rsidR="0002530F">
        <w:rPr>
          <w:rFonts w:ascii="Times New Roman" w:hAnsi="Times New Roman" w:cs="Times New Roman"/>
          <w:bCs/>
          <w:iCs/>
          <w:kern w:val="28"/>
          <w:sz w:val="24"/>
          <w:szCs w:val="24"/>
          <w:lang w:val="en-US"/>
        </w:rPr>
        <w:t xml:space="preserve"> </w:t>
      </w:r>
      <w:r w:rsidR="007053FB">
        <w:rPr>
          <w:rFonts w:ascii="Times New Roman" w:hAnsi="Times New Roman" w:cs="Times New Roman"/>
          <w:bCs/>
          <w:iCs/>
          <w:kern w:val="28"/>
          <w:sz w:val="24"/>
          <w:szCs w:val="24"/>
          <w:lang w:val="en-US"/>
        </w:rPr>
        <w:fldChar w:fldCharType="begin"/>
      </w:r>
      <w:r w:rsidR="007053FB">
        <w:rPr>
          <w:rFonts w:ascii="Times New Roman" w:hAnsi="Times New Roman" w:cs="Times New Roman"/>
          <w:bCs/>
          <w:iCs/>
          <w:kern w:val="28"/>
          <w:sz w:val="24"/>
          <w:szCs w:val="24"/>
          <w:lang w:val="en-US"/>
        </w:rPr>
        <w:instrText xml:space="preserve"> ADDIN ZOTERO_ITEM CSL_CITATION {"citationID":"unpe1QTz","properties":{"formattedCitation":"(Malik and Hu, 2015)","plainCitation":"(Malik and Hu, 2015)","noteIndex":0},"citationItems":[{"id":117,"uris":["http://zotero.org/users/5866986/items/W66PKJL7"],"uri":["http://zotero.org/users/5866986/items/W66PKJL7"],"itemData":{"id":117,"type":"article-journal","abstract":"Recent attention has focused on fructose as having a unique role in the pathogenesis of cardiometabolic diseases. However, because we rarely consume fructose in isolation, the major source of fructose in the diet comes from fructose-containing sugars, sucrose and high fructose corn syrup, in sugar-sweetened beverages and foods. Intake of sugar-sweetened beverages has been consistently linked to increased risk of obesity, type 2 diabetes, and cardiovascular disease in various populations. Putative underlying mechanisms include incomplete compensation for liquid calories, adverse glycemic effects, and increased hepatic metabolism of fructose leading to de novo lipogenesis, production of uric acid, and accumulation of visceral and ectopic fat. In this review we summarize the epidemiological and clinical trial evidence evaluating added sugars, especially sugar-sweetened beverages, and the risk of obesity, diabetes, and cardiovascular disease and address potential biological mechanisms with an emphasis on fructose physiology. We also discuss strategies to reduce intake of fructose-containing beverages.","container-title":"Journal of the American College of Cardiology","DOI":"10.1016/j.jacc.2015.08.025","ISSN":"1558-3597","issue":"14","journalAbbreviation":"J Am Coll Cardiol","language":"eng","note":"PMID: 26429086\nPMCID: PMC4592517","page":"1615-1624","source":"PubMed","title":"Fructose and Cardiometabolic Health: What the Evidence From Sugar-Sweetened Beverages Tells Us","title-short":"Fructose and Cardiometabolic Health","volume":"66","author":[{"family":"Malik","given":"Vasanti S."},{"family":"Hu","given":"Frank B."}],"issued":{"date-parts":[["2015",10,6]]}}}],"schema":"https://github.com/citation-style-language/schema/raw/master/csl-citation.json"} </w:instrText>
      </w:r>
      <w:r w:rsidR="007053FB">
        <w:rPr>
          <w:rFonts w:ascii="Times New Roman" w:hAnsi="Times New Roman" w:cs="Times New Roman"/>
          <w:bCs/>
          <w:iCs/>
          <w:kern w:val="28"/>
          <w:sz w:val="24"/>
          <w:szCs w:val="24"/>
          <w:lang w:val="en-US"/>
        </w:rPr>
        <w:fldChar w:fldCharType="separate"/>
      </w:r>
      <w:r w:rsidR="007053FB" w:rsidRPr="007053FB">
        <w:rPr>
          <w:rFonts w:ascii="Times New Roman" w:hAnsi="Times New Roman" w:cs="Times New Roman"/>
          <w:sz w:val="24"/>
          <w:lang w:val="en-US"/>
        </w:rPr>
        <w:t>(Malik and Hu, 2015)</w:t>
      </w:r>
      <w:r w:rsidR="007053FB">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w:t>
      </w:r>
    </w:p>
    <w:p w14:paraId="2C513708" w14:textId="77777777" w:rsidR="00FF6AE7" w:rsidRPr="00654368" w:rsidRDefault="00FF6AE7" w:rsidP="00FF6AE7">
      <w:pPr>
        <w:spacing w:line="360" w:lineRule="auto"/>
        <w:jc w:val="both"/>
        <w:rPr>
          <w:rFonts w:ascii="Times New Roman" w:hAnsi="Times New Roman" w:cs="Times New Roman"/>
          <w:bCs/>
          <w:iCs/>
          <w:kern w:val="28"/>
          <w:sz w:val="24"/>
          <w:szCs w:val="24"/>
          <w:lang w:val="en-US"/>
        </w:rPr>
      </w:pPr>
    </w:p>
    <w:p w14:paraId="7592B2CE" w14:textId="030993C0" w:rsidR="00AA35C5" w:rsidRPr="00AA35C5" w:rsidRDefault="0002530F" w:rsidP="00FF6AE7">
      <w:pPr>
        <w:spacing w:line="360" w:lineRule="auto"/>
        <w:jc w:val="both"/>
        <w:rPr>
          <w:rFonts w:ascii="Times New Roman" w:hAnsi="Times New Roman" w:cs="Times New Roman"/>
          <w:bCs/>
          <w:iCs/>
          <w:kern w:val="28"/>
          <w:sz w:val="24"/>
          <w:szCs w:val="24"/>
          <w:lang w:val="en-US"/>
        </w:rPr>
      </w:pPr>
      <w:r>
        <w:rPr>
          <w:rFonts w:ascii="Times New Roman" w:hAnsi="Times New Roman" w:cs="Times New Roman"/>
          <w:bCs/>
          <w:iCs/>
          <w:kern w:val="28"/>
          <w:sz w:val="24"/>
          <w:szCs w:val="24"/>
          <w:lang w:val="en-US"/>
        </w:rPr>
        <w:t xml:space="preserve">Apart from three </w:t>
      </w:r>
      <w:r w:rsidRPr="00AA35C5">
        <w:rPr>
          <w:rFonts w:ascii="Times New Roman" w:hAnsi="Times New Roman" w:cs="Times New Roman"/>
          <w:bCs/>
          <w:iCs/>
          <w:kern w:val="28"/>
          <w:sz w:val="24"/>
          <w:szCs w:val="24"/>
          <w:lang w:val="en-US"/>
        </w:rPr>
        <w:t xml:space="preserve">monosaccharides </w:t>
      </w:r>
      <w:r w:rsidR="003D2C40">
        <w:rPr>
          <w:rFonts w:ascii="Times New Roman" w:hAnsi="Times New Roman" w:cs="Times New Roman"/>
          <w:bCs/>
          <w:iCs/>
          <w:kern w:val="28"/>
          <w:sz w:val="24"/>
          <w:szCs w:val="24"/>
          <w:lang w:val="en-US"/>
        </w:rPr>
        <w:t xml:space="preserve">that were found to be </w:t>
      </w:r>
      <w:r w:rsidR="00640F8D">
        <w:rPr>
          <w:rFonts w:ascii="Times New Roman" w:hAnsi="Times New Roman" w:cs="Times New Roman"/>
          <w:bCs/>
          <w:iCs/>
          <w:kern w:val="28"/>
          <w:sz w:val="24"/>
          <w:szCs w:val="24"/>
          <w:lang w:val="en-US"/>
        </w:rPr>
        <w:t xml:space="preserve">the most abundant </w:t>
      </w:r>
      <w:r w:rsidR="003D2C40">
        <w:rPr>
          <w:rFonts w:ascii="Times New Roman" w:hAnsi="Times New Roman" w:cs="Times New Roman"/>
          <w:bCs/>
          <w:iCs/>
          <w:kern w:val="28"/>
          <w:sz w:val="24"/>
          <w:szCs w:val="24"/>
          <w:lang w:val="en-US"/>
        </w:rPr>
        <w:t xml:space="preserve">components of </w:t>
      </w:r>
      <w:r w:rsidR="00640F8D">
        <w:rPr>
          <w:rFonts w:ascii="Times New Roman" w:hAnsi="Times New Roman" w:cs="Times New Roman"/>
          <w:bCs/>
          <w:iCs/>
          <w:kern w:val="28"/>
          <w:sz w:val="24"/>
          <w:szCs w:val="24"/>
          <w:lang w:val="en-US"/>
        </w:rPr>
        <w:t xml:space="preserve">the SHC, </w:t>
      </w:r>
      <w:r w:rsidR="003D2C40">
        <w:rPr>
          <w:rFonts w:ascii="Times New Roman" w:hAnsi="Times New Roman" w:cs="Times New Roman"/>
          <w:bCs/>
          <w:iCs/>
          <w:kern w:val="28"/>
          <w:sz w:val="24"/>
          <w:szCs w:val="24"/>
          <w:lang w:val="en-US"/>
        </w:rPr>
        <w:t xml:space="preserve">six elements were found in the SHC at the concentrations exceeding 1% </w:t>
      </w:r>
      <w:r w:rsidR="003D2C40" w:rsidRPr="00AA35C5">
        <w:rPr>
          <w:rFonts w:ascii="Times New Roman" w:hAnsi="Times New Roman" w:cs="Times New Roman"/>
          <w:bCs/>
          <w:iCs/>
          <w:kern w:val="28"/>
          <w:sz w:val="24"/>
          <w:szCs w:val="24"/>
          <w:lang w:val="en-US"/>
        </w:rPr>
        <w:t>of the total dry weight of the sample</w:t>
      </w:r>
      <w:r w:rsidR="003D2C40">
        <w:rPr>
          <w:rFonts w:ascii="Times New Roman" w:hAnsi="Times New Roman" w:cs="Times New Roman"/>
          <w:bCs/>
          <w:iCs/>
          <w:kern w:val="28"/>
          <w:sz w:val="24"/>
          <w:szCs w:val="24"/>
          <w:lang w:val="en-US"/>
        </w:rPr>
        <w:t>. Amon</w:t>
      </w:r>
      <w:r w:rsidR="009B621F">
        <w:rPr>
          <w:rFonts w:ascii="Times New Roman" w:hAnsi="Times New Roman" w:cs="Times New Roman"/>
          <w:bCs/>
          <w:iCs/>
          <w:kern w:val="28"/>
          <w:sz w:val="24"/>
          <w:szCs w:val="24"/>
          <w:lang w:val="en-US"/>
        </w:rPr>
        <w:t>g</w:t>
      </w:r>
      <w:r w:rsidR="003D2C40">
        <w:rPr>
          <w:rFonts w:ascii="Times New Roman" w:hAnsi="Times New Roman" w:cs="Times New Roman"/>
          <w:bCs/>
          <w:iCs/>
          <w:kern w:val="28"/>
          <w:sz w:val="24"/>
          <w:szCs w:val="24"/>
          <w:lang w:val="en-US"/>
        </w:rPr>
        <w:t xml:space="preserve"> them is </w:t>
      </w:r>
      <w:r w:rsidR="00AA35C5" w:rsidRPr="00AA35C5">
        <w:rPr>
          <w:rFonts w:ascii="Times New Roman" w:hAnsi="Times New Roman" w:cs="Times New Roman"/>
          <w:bCs/>
          <w:iCs/>
          <w:kern w:val="28"/>
          <w:sz w:val="24"/>
          <w:szCs w:val="24"/>
          <w:lang w:val="en-US"/>
        </w:rPr>
        <w:t>D-</w:t>
      </w:r>
      <w:proofErr w:type="spellStart"/>
      <w:r w:rsidR="00AA35C5" w:rsidRPr="00AA35C5">
        <w:rPr>
          <w:rFonts w:ascii="Times New Roman" w:hAnsi="Times New Roman" w:cs="Times New Roman"/>
          <w:bCs/>
          <w:iCs/>
          <w:kern w:val="28"/>
          <w:sz w:val="24"/>
          <w:szCs w:val="24"/>
          <w:lang w:val="en-US"/>
        </w:rPr>
        <w:t>ribofuranose</w:t>
      </w:r>
      <w:proofErr w:type="spellEnd"/>
      <w:r w:rsidR="00AA35C5" w:rsidRPr="00AA35C5">
        <w:rPr>
          <w:rFonts w:ascii="Times New Roman" w:hAnsi="Times New Roman" w:cs="Times New Roman"/>
          <w:bCs/>
          <w:iCs/>
          <w:kern w:val="28"/>
          <w:sz w:val="24"/>
          <w:szCs w:val="24"/>
          <w:lang w:val="en-US"/>
        </w:rPr>
        <w:t>, which accounted for 2.5% of the total dry weight of the sample</w:t>
      </w:r>
      <w:r w:rsidR="009B621F">
        <w:rPr>
          <w:rFonts w:ascii="Times New Roman" w:hAnsi="Times New Roman" w:cs="Times New Roman"/>
          <w:bCs/>
          <w:iCs/>
          <w:kern w:val="28"/>
          <w:sz w:val="24"/>
          <w:szCs w:val="24"/>
          <w:lang w:val="en-US"/>
        </w:rPr>
        <w:t xml:space="preserve">, which </w:t>
      </w:r>
      <w:r w:rsidR="00AA35C5" w:rsidRPr="00AA35C5">
        <w:rPr>
          <w:rFonts w:ascii="Times New Roman" w:hAnsi="Times New Roman" w:cs="Times New Roman"/>
          <w:bCs/>
          <w:iCs/>
          <w:kern w:val="28"/>
          <w:sz w:val="24"/>
          <w:szCs w:val="24"/>
          <w:lang w:val="en-US"/>
        </w:rPr>
        <w:t xml:space="preserve">exists as </w:t>
      </w:r>
      <w:r w:rsidR="003D2C40">
        <w:rPr>
          <w:rFonts w:ascii="Times New Roman" w:hAnsi="Times New Roman" w:cs="Times New Roman"/>
          <w:bCs/>
          <w:iCs/>
          <w:kern w:val="28"/>
          <w:sz w:val="24"/>
          <w:szCs w:val="24"/>
          <w:lang w:val="en-US"/>
        </w:rPr>
        <w:t>two</w:t>
      </w:r>
      <w:r w:rsidR="00AA35C5" w:rsidRPr="00AA35C5">
        <w:rPr>
          <w:rFonts w:ascii="Times New Roman" w:hAnsi="Times New Roman" w:cs="Times New Roman"/>
          <w:bCs/>
          <w:iCs/>
          <w:kern w:val="28"/>
          <w:sz w:val="24"/>
          <w:szCs w:val="24"/>
          <w:lang w:val="en-US"/>
        </w:rPr>
        <w:t xml:space="preserve"> enantiomers: alpha-D-</w:t>
      </w:r>
      <w:proofErr w:type="spellStart"/>
      <w:r w:rsidR="00AA35C5" w:rsidRPr="00AA35C5">
        <w:rPr>
          <w:rFonts w:ascii="Times New Roman" w:hAnsi="Times New Roman" w:cs="Times New Roman"/>
          <w:bCs/>
          <w:iCs/>
          <w:kern w:val="28"/>
          <w:sz w:val="24"/>
          <w:szCs w:val="24"/>
          <w:lang w:val="en-US"/>
        </w:rPr>
        <w:t>ribofuranose</w:t>
      </w:r>
      <w:proofErr w:type="spellEnd"/>
      <w:r w:rsidR="00AA35C5" w:rsidRPr="00AA35C5">
        <w:rPr>
          <w:rFonts w:ascii="Times New Roman" w:hAnsi="Times New Roman" w:cs="Times New Roman"/>
          <w:bCs/>
          <w:iCs/>
          <w:kern w:val="28"/>
          <w:sz w:val="24"/>
          <w:szCs w:val="24"/>
          <w:lang w:val="en-US"/>
        </w:rPr>
        <w:t xml:space="preserve"> (</w:t>
      </w:r>
      <w:proofErr w:type="spellStart"/>
      <w:r w:rsidR="00AA35C5" w:rsidRPr="00AA35C5">
        <w:rPr>
          <w:rFonts w:ascii="Times New Roman" w:hAnsi="Times New Roman" w:cs="Times New Roman"/>
          <w:bCs/>
          <w:iCs/>
          <w:kern w:val="28"/>
          <w:sz w:val="24"/>
          <w:szCs w:val="24"/>
          <w:lang w:val="en-US"/>
        </w:rPr>
        <w:t>aDR</w:t>
      </w:r>
      <w:proofErr w:type="spellEnd"/>
      <w:r w:rsidR="003D2C40">
        <w:rPr>
          <w:rFonts w:ascii="Times New Roman" w:hAnsi="Times New Roman" w:cs="Times New Roman"/>
          <w:bCs/>
          <w:iCs/>
          <w:kern w:val="28"/>
          <w:sz w:val="24"/>
          <w:szCs w:val="24"/>
          <w:lang w:val="en-US"/>
        </w:rPr>
        <w:t>) and beta-D-</w:t>
      </w:r>
      <w:proofErr w:type="spellStart"/>
      <w:r w:rsidR="003D2C40">
        <w:rPr>
          <w:rFonts w:ascii="Times New Roman" w:hAnsi="Times New Roman" w:cs="Times New Roman"/>
          <w:bCs/>
          <w:iCs/>
          <w:kern w:val="28"/>
          <w:sz w:val="24"/>
          <w:szCs w:val="24"/>
          <w:lang w:val="en-US"/>
        </w:rPr>
        <w:t>ribofuranose</w:t>
      </w:r>
      <w:proofErr w:type="spellEnd"/>
      <w:r w:rsidR="003D2C40">
        <w:rPr>
          <w:rFonts w:ascii="Times New Roman" w:hAnsi="Times New Roman" w:cs="Times New Roman"/>
          <w:bCs/>
          <w:iCs/>
          <w:kern w:val="28"/>
          <w:sz w:val="24"/>
          <w:szCs w:val="24"/>
          <w:lang w:val="en-US"/>
        </w:rPr>
        <w:t xml:space="preserve"> (</w:t>
      </w:r>
      <w:proofErr w:type="spellStart"/>
      <w:r w:rsidR="003D2C40">
        <w:rPr>
          <w:rFonts w:ascii="Times New Roman" w:hAnsi="Times New Roman" w:cs="Times New Roman"/>
          <w:bCs/>
          <w:iCs/>
          <w:kern w:val="28"/>
          <w:sz w:val="24"/>
          <w:szCs w:val="24"/>
          <w:lang w:val="en-US"/>
        </w:rPr>
        <w:t>bDR</w:t>
      </w:r>
      <w:proofErr w:type="spellEnd"/>
      <w:r w:rsidR="003D2C40">
        <w:rPr>
          <w:rFonts w:ascii="Times New Roman" w:hAnsi="Times New Roman" w:cs="Times New Roman"/>
          <w:bCs/>
          <w:iCs/>
          <w:kern w:val="28"/>
          <w:sz w:val="24"/>
          <w:szCs w:val="24"/>
          <w:lang w:val="en-US"/>
        </w:rPr>
        <w:t>)</w:t>
      </w:r>
      <w:r w:rsidR="00AA35C5" w:rsidRPr="00AA35C5">
        <w:rPr>
          <w:rFonts w:ascii="Times New Roman" w:hAnsi="Times New Roman" w:cs="Times New Roman"/>
          <w:bCs/>
          <w:iCs/>
          <w:kern w:val="28"/>
          <w:sz w:val="24"/>
          <w:szCs w:val="24"/>
          <w:lang w:val="en-US"/>
        </w:rPr>
        <w:t>.</w:t>
      </w:r>
      <w:r w:rsidR="003D2C40">
        <w:rPr>
          <w:rFonts w:ascii="Times New Roman" w:hAnsi="Times New Roman" w:cs="Times New Roman"/>
          <w:bCs/>
          <w:iCs/>
          <w:kern w:val="28"/>
          <w:sz w:val="24"/>
          <w:szCs w:val="24"/>
          <w:lang w:val="en-US"/>
        </w:rPr>
        <w:t xml:space="preserve"> </w:t>
      </w:r>
      <w:proofErr w:type="spellStart"/>
      <w:r w:rsidR="00AA35C5" w:rsidRPr="00AA35C5">
        <w:rPr>
          <w:rFonts w:ascii="Times New Roman" w:hAnsi="Times New Roman" w:cs="Times New Roman"/>
          <w:bCs/>
          <w:iCs/>
          <w:kern w:val="28"/>
          <w:sz w:val="24"/>
          <w:szCs w:val="24"/>
          <w:lang w:val="en-US"/>
        </w:rPr>
        <w:t>aDR</w:t>
      </w:r>
      <w:proofErr w:type="spellEnd"/>
      <w:r w:rsidR="00AA35C5" w:rsidRPr="00AA35C5">
        <w:rPr>
          <w:rFonts w:ascii="Times New Roman" w:hAnsi="Times New Roman" w:cs="Times New Roman"/>
          <w:bCs/>
          <w:iCs/>
          <w:kern w:val="28"/>
          <w:sz w:val="24"/>
          <w:szCs w:val="24"/>
          <w:lang w:val="en-US"/>
        </w:rPr>
        <w:t xml:space="preserve"> has been widely utilized for synthesizing nucleotide and nucleoside analogs with a wide spectrum of biological effects. For example, some </w:t>
      </w:r>
      <w:proofErr w:type="spellStart"/>
      <w:r w:rsidR="00AA35C5" w:rsidRPr="00AA35C5">
        <w:rPr>
          <w:rFonts w:ascii="Times New Roman" w:hAnsi="Times New Roman" w:cs="Times New Roman"/>
          <w:bCs/>
          <w:iCs/>
          <w:kern w:val="28"/>
          <w:sz w:val="24"/>
          <w:szCs w:val="24"/>
          <w:lang w:val="en-US"/>
        </w:rPr>
        <w:t>aDR</w:t>
      </w:r>
      <w:proofErr w:type="spellEnd"/>
      <w:r w:rsidR="00AA35C5" w:rsidRPr="00AA35C5">
        <w:rPr>
          <w:rFonts w:ascii="Times New Roman" w:hAnsi="Times New Roman" w:cs="Times New Roman"/>
          <w:bCs/>
          <w:iCs/>
          <w:kern w:val="28"/>
          <w:sz w:val="24"/>
          <w:szCs w:val="24"/>
          <w:lang w:val="en-US"/>
        </w:rPr>
        <w:t xml:space="preserve"> derivatives demonstrated a powerful</w:t>
      </w:r>
      <w:r w:rsidR="004A23B7">
        <w:rPr>
          <w:rFonts w:ascii="Times New Roman" w:hAnsi="Times New Roman" w:cs="Times New Roman"/>
          <w:bCs/>
          <w:iCs/>
          <w:kern w:val="28"/>
          <w:sz w:val="24"/>
          <w:szCs w:val="24"/>
          <w:lang w:val="en-US"/>
        </w:rPr>
        <w:t xml:space="preserve"> antinociceptive effect in mice</w:t>
      </w:r>
      <w:r w:rsidR="00AA35C5" w:rsidRPr="00AA35C5">
        <w:rPr>
          <w:rFonts w:ascii="Times New Roman" w:hAnsi="Times New Roman" w:cs="Times New Roman"/>
          <w:bCs/>
          <w:iCs/>
          <w:kern w:val="28"/>
          <w:sz w:val="24"/>
          <w:szCs w:val="24"/>
          <w:lang w:val="en-US"/>
        </w:rPr>
        <w:t xml:space="preserve"> </w:t>
      </w:r>
      <w:r w:rsidR="007053FB">
        <w:rPr>
          <w:rFonts w:ascii="Times New Roman" w:hAnsi="Times New Roman" w:cs="Times New Roman"/>
          <w:bCs/>
          <w:iCs/>
          <w:kern w:val="28"/>
          <w:sz w:val="24"/>
          <w:szCs w:val="24"/>
          <w:lang w:val="en-US"/>
        </w:rPr>
        <w:fldChar w:fldCharType="begin"/>
      </w:r>
      <w:r w:rsidR="007053FB">
        <w:rPr>
          <w:rFonts w:ascii="Times New Roman" w:hAnsi="Times New Roman" w:cs="Times New Roman"/>
          <w:bCs/>
          <w:iCs/>
          <w:kern w:val="28"/>
          <w:sz w:val="24"/>
          <w:szCs w:val="24"/>
          <w:lang w:val="en-US"/>
        </w:rPr>
        <w:instrText xml:space="preserve"> ADDIN ZOTERO_ITEM CSL_CITATION {"citationID":"g1B0Bely","properties":{"formattedCitation":"(Petrelli et al., 2017)","plainCitation":"(Petrelli et al., 2017)","noteIndex":0},"citationItems":[{"id":197,"uris":["http://zotero.org/users/5866986/items/X5EHGR5H"],"uri":["http://zotero.org/users/5866986/items/X5EHGR5H"],"itemData":{"id":197,"type":"article-journal","abstract":"Structural determinants of affinity of N6-substituted-5'-C-(ethyltetrazol-2-yl)adenosine and 2-chloroadenosine derivatives at adenosine receptor (AR) subtypes were studied with binding and molecular modeling. Small N6-cycloalkyl and 3-halobenzyl groups furnished potent dual acting A1AR agonists and A3AR antagonists. 4 was the most potent dual acting human (h) A1AR agonist (Ki = 0.45 nM) and A3AR antagonist (Ki = 0.31 nM) and highly selective versus A2A; 11 and 26 were most potent at both h and rat (r) A3AR. All N6-substituted-5'-C-(ethyltetrazol-2-yl)adenosine derivatives proved to be antagonists at hA3AR but agonists at the rA3AR. Analgesia of 11, 22, and 26 was evaluated in the mouse formalin test (A3AR antagonist blocked and A3AR agonist strongly potentiated). N6-Methyl-5'-C-(ethyltetrazol-2-yl)adenosine (22) was most potent, inhibiting both phases, as observed combining A1AR and A3AR agonists. This study demonstrated for the first time the advantages of a single molecule activating two AR pathways both leading to benefit in this acute pain model.","container-title":"Journal of Medicinal Chemistry","DOI":"10.1021/acs.jmedchem.7b00291","ISSN":"1520-4804","issue":"10","journalAbbreviation":"J Med Chem","language":"eng","note":"PMID: 28447789\nPMCID: PMC5669264","page":"4327-4341","source":"PubMed","title":"Exploring the Role of N6-Substituents in Potent Dual Acting 5'-C-Ethyltetrazolyladenosine Derivatives: Synthesis, Binding, Functional Assays, and Antinociceptive Effects in Mice </w:instrText>
      </w:r>
      <w:r w:rsidR="007053FB">
        <w:rPr>
          <w:rFonts w:ascii="Cambria Math" w:hAnsi="Cambria Math" w:cs="Cambria Math"/>
          <w:bCs/>
          <w:iCs/>
          <w:kern w:val="28"/>
          <w:sz w:val="24"/>
          <w:szCs w:val="24"/>
          <w:lang w:val="en-US"/>
        </w:rPr>
        <w:instrText>∇</w:instrText>
      </w:r>
      <w:r w:rsidR="007053FB">
        <w:rPr>
          <w:rFonts w:ascii="Times New Roman" w:hAnsi="Times New Roman" w:cs="Times New Roman"/>
          <w:bCs/>
          <w:iCs/>
          <w:kern w:val="28"/>
          <w:sz w:val="24"/>
          <w:szCs w:val="24"/>
          <w:lang w:val="en-US"/>
        </w:rPr>
        <w:instrText xml:space="preserve">","title-short":"Exploring the Role of N6-Substituents in Potent Dual Acting 5'-C-Ethyltetrazolyladenosine Derivatives","volume":"60","author":[{"family":"Petrelli","given":"Riccardo"},{"family":"Scortichini","given":"Mirko"},{"family":"Kachler","given":"Sonja"},{"family":"Boccella","given":"Serena"},{"family":"Cerchia","given":"Carmen"},{"family":"Torquati","given":"Ilaria"},{"family":"Del Bello","given":"Fabio"},{"family":"Salvemini","given":"Daniela"},{"family":"Novellino","given":"Ettore"},{"family":"Luongo","given":"Livio"},{"family":"Maione","given":"Sabatino"},{"family":"Jacobson","given":"Kenneth A."},{"family":"Lavecchia","given":"Antonio"},{"family":"Klotz","given":"Karl-Norbert"},{"family":"Cappellacci","given":"Loredana"}],"issued":{"date-parts":[["2017"]],"season":"25"}}}],"schema":"https://github.com/citation-style-language/schema/raw/master/csl-citation.json"} </w:instrText>
      </w:r>
      <w:r w:rsidR="007053FB">
        <w:rPr>
          <w:rFonts w:ascii="Times New Roman" w:hAnsi="Times New Roman" w:cs="Times New Roman"/>
          <w:bCs/>
          <w:iCs/>
          <w:kern w:val="28"/>
          <w:sz w:val="24"/>
          <w:szCs w:val="24"/>
          <w:lang w:val="en-US"/>
        </w:rPr>
        <w:fldChar w:fldCharType="separate"/>
      </w:r>
      <w:r w:rsidR="007053FB" w:rsidRPr="00FC7F24">
        <w:rPr>
          <w:rFonts w:ascii="Times New Roman" w:hAnsi="Times New Roman" w:cs="Times New Roman"/>
          <w:sz w:val="24"/>
          <w:lang w:val="en-US"/>
        </w:rPr>
        <w:t>(Petrelli et al., 2017)</w:t>
      </w:r>
      <w:r w:rsidR="007053FB">
        <w:rPr>
          <w:rFonts w:ascii="Times New Roman" w:hAnsi="Times New Roman" w:cs="Times New Roman"/>
          <w:bCs/>
          <w:iCs/>
          <w:kern w:val="28"/>
          <w:sz w:val="24"/>
          <w:szCs w:val="24"/>
          <w:lang w:val="en-US"/>
        </w:rPr>
        <w:fldChar w:fldCharType="end"/>
      </w:r>
      <w:r w:rsidR="00AA35C5" w:rsidRPr="00AA35C5">
        <w:rPr>
          <w:rFonts w:ascii="Times New Roman" w:hAnsi="Times New Roman" w:cs="Times New Roman"/>
          <w:bCs/>
          <w:iCs/>
          <w:kern w:val="28"/>
          <w:sz w:val="24"/>
          <w:szCs w:val="24"/>
          <w:lang w:val="en-US"/>
        </w:rPr>
        <w:t xml:space="preserve">. </w:t>
      </w:r>
      <w:r w:rsidR="004A23B7">
        <w:rPr>
          <w:rFonts w:ascii="Times New Roman" w:hAnsi="Times New Roman" w:cs="Times New Roman"/>
          <w:bCs/>
          <w:iCs/>
          <w:kern w:val="28"/>
          <w:sz w:val="24"/>
          <w:szCs w:val="24"/>
          <w:lang w:val="en-US"/>
        </w:rPr>
        <w:t xml:space="preserve">In line with these findings, </w:t>
      </w:r>
      <w:r w:rsidR="004A23B7" w:rsidRPr="00AA35C5">
        <w:rPr>
          <w:rFonts w:ascii="Times New Roman" w:hAnsi="Times New Roman" w:cs="Times New Roman"/>
          <w:bCs/>
          <w:iCs/>
          <w:kern w:val="28"/>
          <w:sz w:val="24"/>
          <w:szCs w:val="24"/>
          <w:lang w:val="en-US"/>
        </w:rPr>
        <w:t xml:space="preserve">Rahman et al. have discovered analgesic and anti-inflammatory activities </w:t>
      </w:r>
      <w:r w:rsidR="004A23B7">
        <w:rPr>
          <w:rFonts w:ascii="Times New Roman" w:hAnsi="Times New Roman" w:cs="Times New Roman"/>
          <w:bCs/>
          <w:iCs/>
          <w:kern w:val="28"/>
          <w:sz w:val="24"/>
          <w:szCs w:val="24"/>
          <w:lang w:val="en-US"/>
        </w:rPr>
        <w:t xml:space="preserve">in several </w:t>
      </w:r>
      <w:proofErr w:type="spellStart"/>
      <w:r w:rsidR="004A23B7">
        <w:rPr>
          <w:rFonts w:ascii="Times New Roman" w:hAnsi="Times New Roman" w:cs="Times New Roman"/>
          <w:bCs/>
          <w:iCs/>
          <w:kern w:val="28"/>
          <w:sz w:val="24"/>
          <w:szCs w:val="24"/>
          <w:lang w:val="en-US"/>
        </w:rPr>
        <w:t>aDR</w:t>
      </w:r>
      <w:proofErr w:type="spellEnd"/>
      <w:r w:rsidR="004A23B7">
        <w:rPr>
          <w:rFonts w:ascii="Times New Roman" w:hAnsi="Times New Roman" w:cs="Times New Roman"/>
          <w:bCs/>
          <w:iCs/>
          <w:kern w:val="28"/>
          <w:sz w:val="24"/>
          <w:szCs w:val="24"/>
          <w:lang w:val="en-US"/>
        </w:rPr>
        <w:t>-based substances</w:t>
      </w:r>
      <w:r w:rsidR="00FC7F24">
        <w:rPr>
          <w:rFonts w:ascii="Times New Roman" w:hAnsi="Times New Roman" w:cs="Times New Roman"/>
          <w:bCs/>
          <w:iCs/>
          <w:kern w:val="28"/>
          <w:sz w:val="24"/>
          <w:szCs w:val="24"/>
          <w:lang w:val="en-US"/>
        </w:rPr>
        <w:t xml:space="preserve"> </w:t>
      </w:r>
      <w:r w:rsidR="00FC7F24">
        <w:rPr>
          <w:rFonts w:ascii="Times New Roman" w:hAnsi="Times New Roman" w:cs="Times New Roman"/>
          <w:bCs/>
          <w:iCs/>
          <w:kern w:val="28"/>
          <w:sz w:val="24"/>
          <w:szCs w:val="24"/>
          <w:lang w:val="en-US"/>
        </w:rPr>
        <w:fldChar w:fldCharType="begin"/>
      </w:r>
      <w:r w:rsidR="00FC7F24">
        <w:rPr>
          <w:rFonts w:ascii="Times New Roman" w:hAnsi="Times New Roman" w:cs="Times New Roman"/>
          <w:bCs/>
          <w:iCs/>
          <w:kern w:val="28"/>
          <w:sz w:val="24"/>
          <w:szCs w:val="24"/>
          <w:lang w:val="en-US"/>
        </w:rPr>
        <w:instrText xml:space="preserve"> ADDIN ZOTERO_ITEM CSL_CITATION {"citationID":"vQn9RBvy","properties":{"formattedCitation":"(Rahman et al., 2020)","plainCitation":"(Rahman et al., 2020)","noteIndex":0},"citationItems":[{"id":213,"uris":["http://zotero.org/users/5866986/items/BC3MF3PD"],"uri":["http://zotero.org/users/5866986/items/BC3MF3PD"],"itemData":{"id":213,"type":"article-journal","abstract":"Background and purpose: α-D-ribofuranose analogues are reported to have multifarious biological properties such as analgesic, anti-inflammatory, and antiviral activities. The present study aims to synthesize some α-D- ribofuranose derivatives and investigate their biological properties.\nExperimental approach: Four derivatives (2a, 2b, 3, and 4) were synthesized from the starting material 3-O- benzyl-4-C-(hydroxymethyl)-1,2-O-isopropylidene-α-D-ribofuranose via subsequent benzylation, tosylation, and acetylation reactions in good yields. The compounds were confirmed by spectroscopic methods such as Fourier-transform infrared (FTIR) and proton nuclear magnetic resonance (1HNMR), and then evaluated for various pharmacological activities using standard in vitro and in vivo procedures.\nFindings / Results: Compound 2a (50 mg/kg) exhibited both central and peripheral analgesic activity in the tail immersion test (2.52 ± 0.14 min tail flicking reaction time after 30 min from administration, P &lt; 0.001) and the acetic acid-induced writhing test (65.33 ± 2.06% reduction in abdominal writhing, P &lt; 0.001) respectively. In the anti-inflammatory assay, percent paw edema inhibition of carrageenan-induced rats for compounds 2a and 4 (100 mg/kg) after 4 h of administration were 82.6% (P &lt; 0.001) and 87.6% (P &lt; 0.001), respectively. The compounds were also tested for antioxidant activity in 2,2-diphenyl-1-picrylhydrazyl (DPPH) radical scavenging assay, antimicrobial property in disk diffusion assay, and cytotoxicity in HeLa cell line; however, no significant results were observed in any of those tests.\nConclusion and Implications: Our study indicated that some of the synthesized compounds exhibited promising analgesic and anti-inflammatory effects and may serve as potential lead compounds.","container-title":"Research in Pharmaceutical Sciences","DOI":"10.4103/1735-5362.288423","ISSN":"1735-5362","issue":"3","journalAbbreviation":"Res Pharm Sci","language":"eng","note":"PMID: 33088321\nPMCID: PMC7540815","page":"209-217","source":"PubMed","title":"Synthesis and evaluation of pharmacological activities of some 3-O-benzyl-4-C-(hydroxymethyl)-1,2-O-isopropylidene-α-D-ribofuranose derivatives as potential anti-inflammatory agents and analgesics","volume":"15","author":[{"family":"Rahman","given":"Fahad Imtiaz"},{"family":"Hussain","given":"Fahad"},{"family":"Saqueeb","given":"Nazmus"},{"family":"Abdur Rahman","given":"S. M."}],"issued":{"date-parts":[["2020",6]]}}}],"schema":"https://github.com/citation-style-language/schema/raw/master/csl-citation.json"} </w:instrText>
      </w:r>
      <w:r w:rsidR="00FC7F24">
        <w:rPr>
          <w:rFonts w:ascii="Times New Roman" w:hAnsi="Times New Roman" w:cs="Times New Roman"/>
          <w:bCs/>
          <w:iCs/>
          <w:kern w:val="28"/>
          <w:sz w:val="24"/>
          <w:szCs w:val="24"/>
          <w:lang w:val="en-US"/>
        </w:rPr>
        <w:fldChar w:fldCharType="separate"/>
      </w:r>
      <w:r w:rsidR="00FC7F24" w:rsidRPr="00FC7F24">
        <w:rPr>
          <w:rFonts w:ascii="Times New Roman" w:hAnsi="Times New Roman" w:cs="Times New Roman"/>
          <w:sz w:val="24"/>
          <w:lang w:val="en-US"/>
        </w:rPr>
        <w:t>(Rahman et al., 2020)</w:t>
      </w:r>
      <w:r w:rsidR="00FC7F24">
        <w:rPr>
          <w:rFonts w:ascii="Times New Roman" w:hAnsi="Times New Roman" w:cs="Times New Roman"/>
          <w:bCs/>
          <w:iCs/>
          <w:kern w:val="28"/>
          <w:sz w:val="24"/>
          <w:szCs w:val="24"/>
          <w:lang w:val="en-US"/>
        </w:rPr>
        <w:fldChar w:fldCharType="end"/>
      </w:r>
      <w:r w:rsidR="004A23B7" w:rsidRPr="00AA35C5">
        <w:rPr>
          <w:rFonts w:ascii="Times New Roman" w:hAnsi="Times New Roman" w:cs="Times New Roman"/>
          <w:bCs/>
          <w:iCs/>
          <w:kern w:val="28"/>
          <w:sz w:val="24"/>
          <w:szCs w:val="24"/>
          <w:lang w:val="en-US"/>
        </w:rPr>
        <w:t>.</w:t>
      </w:r>
      <w:r w:rsidR="004A23B7">
        <w:rPr>
          <w:rFonts w:ascii="Times New Roman" w:hAnsi="Times New Roman" w:cs="Times New Roman"/>
          <w:bCs/>
          <w:iCs/>
          <w:kern w:val="28"/>
          <w:sz w:val="24"/>
          <w:szCs w:val="24"/>
          <w:lang w:val="en-US"/>
        </w:rPr>
        <w:t xml:space="preserve"> </w:t>
      </w:r>
      <w:r w:rsidR="00AA35C5" w:rsidRPr="00AA35C5">
        <w:rPr>
          <w:rFonts w:ascii="Times New Roman" w:hAnsi="Times New Roman" w:cs="Times New Roman"/>
          <w:bCs/>
          <w:iCs/>
          <w:kern w:val="28"/>
          <w:sz w:val="24"/>
          <w:szCs w:val="24"/>
          <w:lang w:val="en-US"/>
        </w:rPr>
        <w:t>Nucleoside analogs have also been widely used in cancer chemotherapy as inhibitors of enzymes involved in intr</w:t>
      </w:r>
      <w:r w:rsidR="004A23B7">
        <w:rPr>
          <w:rFonts w:ascii="Times New Roman" w:hAnsi="Times New Roman" w:cs="Times New Roman"/>
          <w:bCs/>
          <w:iCs/>
          <w:kern w:val="28"/>
          <w:sz w:val="24"/>
          <w:szCs w:val="24"/>
          <w:lang w:val="en-US"/>
        </w:rPr>
        <w:t>acellular nucleoside metabolism</w:t>
      </w:r>
      <w:r w:rsidR="00AA35C5" w:rsidRPr="00AA35C5">
        <w:rPr>
          <w:rFonts w:ascii="Times New Roman" w:hAnsi="Times New Roman" w:cs="Times New Roman"/>
          <w:bCs/>
          <w:iCs/>
          <w:kern w:val="28"/>
          <w:sz w:val="24"/>
          <w:szCs w:val="24"/>
          <w:lang w:val="en-US"/>
        </w:rPr>
        <w:t xml:space="preserve"> </w:t>
      </w:r>
      <w:r w:rsidR="00FC7F24">
        <w:rPr>
          <w:rFonts w:ascii="Times New Roman" w:hAnsi="Times New Roman" w:cs="Times New Roman"/>
          <w:bCs/>
          <w:iCs/>
          <w:kern w:val="28"/>
          <w:sz w:val="24"/>
          <w:szCs w:val="24"/>
          <w:lang w:val="en-US"/>
        </w:rPr>
        <w:fldChar w:fldCharType="begin"/>
      </w:r>
      <w:r w:rsidR="00FC7F24">
        <w:rPr>
          <w:rFonts w:ascii="Times New Roman" w:hAnsi="Times New Roman" w:cs="Times New Roman"/>
          <w:bCs/>
          <w:iCs/>
          <w:kern w:val="28"/>
          <w:sz w:val="24"/>
          <w:szCs w:val="24"/>
          <w:lang w:val="en-US"/>
        </w:rPr>
        <w:instrText xml:space="preserve"> ADDIN ZOTERO_ITEM CSL_CITATION {"citationID":"6vYGwo08","properties":{"formattedCitation":"(Galmarini et al., 2002)","plainCitation":"(Galmarini et al., 2002)","noteIndex":0},"citationItems":[{"id":206,"uris":["http://zotero.org/users/5866986/items/HWRZH6QG"],"uri":["http://zotero.org/users/5866986/items/HWRZH6QG"],"itemData":{"id":206,"type":"article-journal","abstract":"Cytotoxic nucleoside analogues and nucleobases were among the first chemotherapeutic agents to be introduced for the medical treatment of cancer. This family of compounds has grown to include a variety of purine and pyrimidine nucleoside derivatives with activity in both solid tumours and malignant disorders of the blood. These agents behave as antimetabolites, compete with physiological nucleosides, and interact with a large number of intracellular targets to induce cytotoxicity. Progress has recently been made in the identification and characterisation of nucleoside transporters and the enzymes of nucleoside metabolism. In addition, there is now greater understanding of the molecular mechanisms of anticancer nucleoside activity, which provides opportunities for potentiating their antitumour effects. Strategies to optimise intracellular analogue accumulation and to enhance cancer-cell selectivity are proving beneficial in clinical trials.","container-title":"The Lancet. Oncology","DOI":"10.1016/s1470-2045(02)00788-x","ISSN":"1470-2045","issue":"7","journalAbbreviation":"Lancet Oncol","language":"eng","note":"PMID: 12142171","page":"415-424","source":"PubMed","title":"Nucleoside analogues and nucleobases in cancer treatment","volume":"3","author":[{"family":"Galmarini","given":"Carlos M."},{"family":"Mackey","given":"John R."},{"family":"Dumontet","given":"Charles"}],"issued":{"date-parts":[["2002",7]]}}}],"schema":"https://github.com/citation-style-language/schema/raw/master/csl-citation.json"} </w:instrText>
      </w:r>
      <w:r w:rsidR="00FC7F24">
        <w:rPr>
          <w:rFonts w:ascii="Times New Roman" w:hAnsi="Times New Roman" w:cs="Times New Roman"/>
          <w:bCs/>
          <w:iCs/>
          <w:kern w:val="28"/>
          <w:sz w:val="24"/>
          <w:szCs w:val="24"/>
          <w:lang w:val="en-US"/>
        </w:rPr>
        <w:fldChar w:fldCharType="separate"/>
      </w:r>
      <w:r w:rsidR="00FC7F24" w:rsidRPr="00FC7F24">
        <w:rPr>
          <w:rFonts w:ascii="Times New Roman" w:hAnsi="Times New Roman" w:cs="Times New Roman"/>
          <w:sz w:val="24"/>
          <w:lang w:val="en-US"/>
        </w:rPr>
        <w:t>(Galmarini et al., 2002)</w:t>
      </w:r>
      <w:r w:rsidR="00FC7F24">
        <w:rPr>
          <w:rFonts w:ascii="Times New Roman" w:hAnsi="Times New Roman" w:cs="Times New Roman"/>
          <w:bCs/>
          <w:iCs/>
          <w:kern w:val="28"/>
          <w:sz w:val="24"/>
          <w:szCs w:val="24"/>
          <w:lang w:val="en-US"/>
        </w:rPr>
        <w:fldChar w:fldCharType="end"/>
      </w:r>
      <w:r w:rsidR="00AA35C5" w:rsidRPr="00AA35C5">
        <w:rPr>
          <w:rFonts w:ascii="Times New Roman" w:hAnsi="Times New Roman" w:cs="Times New Roman"/>
          <w:bCs/>
          <w:iCs/>
          <w:kern w:val="28"/>
          <w:sz w:val="24"/>
          <w:szCs w:val="24"/>
          <w:lang w:val="en-US"/>
        </w:rPr>
        <w:t xml:space="preserve">. </w:t>
      </w:r>
      <w:proofErr w:type="spellStart"/>
      <w:r w:rsidR="00AA35C5" w:rsidRPr="00AA35C5">
        <w:rPr>
          <w:rFonts w:ascii="Times New Roman" w:hAnsi="Times New Roman" w:cs="Times New Roman"/>
          <w:bCs/>
          <w:iCs/>
          <w:kern w:val="28"/>
          <w:sz w:val="24"/>
          <w:szCs w:val="24"/>
          <w:lang w:val="en-US"/>
        </w:rPr>
        <w:t>bDR</w:t>
      </w:r>
      <w:proofErr w:type="spellEnd"/>
      <w:r w:rsidR="00B2305F">
        <w:rPr>
          <w:rFonts w:ascii="Times New Roman" w:hAnsi="Times New Roman" w:cs="Times New Roman"/>
          <w:bCs/>
          <w:iCs/>
          <w:kern w:val="28"/>
          <w:sz w:val="24"/>
          <w:szCs w:val="24"/>
          <w:lang w:val="en-US"/>
        </w:rPr>
        <w:t xml:space="preserve"> was suggested to exert</w:t>
      </w:r>
      <w:r w:rsidR="00B2305F" w:rsidRPr="00B2305F">
        <w:rPr>
          <w:rFonts w:ascii="Times New Roman" w:hAnsi="Times New Roman" w:cs="Times New Roman"/>
          <w:bCs/>
          <w:iCs/>
          <w:kern w:val="28"/>
          <w:sz w:val="24"/>
          <w:szCs w:val="24"/>
          <w:lang w:val="en-US"/>
        </w:rPr>
        <w:t xml:space="preserve"> </w:t>
      </w:r>
      <w:r w:rsidR="00B2305F" w:rsidRPr="00AA35C5">
        <w:rPr>
          <w:rFonts w:ascii="Times New Roman" w:hAnsi="Times New Roman" w:cs="Times New Roman"/>
          <w:bCs/>
          <w:iCs/>
          <w:kern w:val="28"/>
          <w:sz w:val="24"/>
          <w:szCs w:val="24"/>
          <w:lang w:val="en-US"/>
        </w:rPr>
        <w:t>immunostimulatory properties</w:t>
      </w:r>
      <w:r w:rsidR="00B2305F">
        <w:rPr>
          <w:rFonts w:ascii="Times New Roman" w:hAnsi="Times New Roman" w:cs="Times New Roman"/>
          <w:bCs/>
          <w:iCs/>
          <w:kern w:val="28"/>
          <w:sz w:val="24"/>
          <w:szCs w:val="24"/>
          <w:lang w:val="en-US"/>
        </w:rPr>
        <w:t xml:space="preserve"> and </w:t>
      </w:r>
      <w:r w:rsidR="009B621F">
        <w:rPr>
          <w:rFonts w:ascii="Times New Roman" w:hAnsi="Times New Roman" w:cs="Times New Roman"/>
          <w:bCs/>
          <w:iCs/>
          <w:kern w:val="28"/>
          <w:sz w:val="24"/>
          <w:szCs w:val="24"/>
          <w:lang w:val="en-US"/>
        </w:rPr>
        <w:t xml:space="preserve">was </w:t>
      </w:r>
      <w:r w:rsidR="00B2305F">
        <w:rPr>
          <w:rFonts w:ascii="Times New Roman" w:hAnsi="Times New Roman" w:cs="Times New Roman"/>
          <w:bCs/>
          <w:iCs/>
          <w:kern w:val="28"/>
          <w:sz w:val="24"/>
          <w:szCs w:val="24"/>
          <w:lang w:val="en-US"/>
        </w:rPr>
        <w:t xml:space="preserve">studied as an element of </w:t>
      </w:r>
      <w:r w:rsidR="00B2305F" w:rsidRPr="00AA35C5">
        <w:rPr>
          <w:rFonts w:ascii="Times New Roman" w:hAnsi="Times New Roman" w:cs="Times New Roman"/>
          <w:bCs/>
          <w:iCs/>
          <w:kern w:val="28"/>
          <w:sz w:val="24"/>
          <w:szCs w:val="24"/>
          <w:lang w:val="en-US"/>
        </w:rPr>
        <w:t>traditional Chinese medicine</w:t>
      </w:r>
      <w:r w:rsidR="00B2305F">
        <w:rPr>
          <w:rFonts w:ascii="Times New Roman" w:hAnsi="Times New Roman" w:cs="Times New Roman"/>
          <w:bCs/>
          <w:iCs/>
          <w:kern w:val="28"/>
          <w:sz w:val="24"/>
          <w:szCs w:val="24"/>
          <w:lang w:val="en-US"/>
        </w:rPr>
        <w:t xml:space="preserve"> </w:t>
      </w:r>
      <w:r w:rsidR="00FC7F24">
        <w:rPr>
          <w:rFonts w:ascii="Times New Roman" w:hAnsi="Times New Roman" w:cs="Times New Roman"/>
          <w:bCs/>
          <w:iCs/>
          <w:kern w:val="28"/>
          <w:sz w:val="24"/>
          <w:szCs w:val="24"/>
          <w:lang w:val="en-US"/>
        </w:rPr>
        <w:fldChar w:fldCharType="begin"/>
      </w:r>
      <w:r w:rsidR="00FC7F24">
        <w:rPr>
          <w:rFonts w:ascii="Times New Roman" w:hAnsi="Times New Roman" w:cs="Times New Roman"/>
          <w:bCs/>
          <w:iCs/>
          <w:kern w:val="28"/>
          <w:sz w:val="24"/>
          <w:szCs w:val="24"/>
          <w:lang w:val="en-US"/>
        </w:rPr>
        <w:instrText xml:space="preserve"> ADDIN ZOTERO_ITEM CSL_CITATION {"citationID":"U3mfFayl","properties":{"formattedCitation":"(Ota et al., 2019)","plainCitation":"(Ota et al., 2019)","noteIndex":0},"citationItems":[{"id":215,"uris":["http://zotero.org/users/5866986/items/L26QGJXP"],"uri":["http://zotero.org/users/5866986/items/L26QGJXP"],"itemData":{"id":215,"type":"article-journal","abstract":"ETHNOPHARMACOLOGICAL RELEVANCE: In traditional Chinese medicine (TCM), honey has been used as an additive in the heat-processing of herbal medicines to enhance their immunostimulatory activities.\nAIM OF THE STUDY: We investigated the immunostimulatory activity of heated honey in vitro and in vivo.\nMATERIALS AND METHODS: For the in vitro study, we compared the differences among the inducible effects of honey subjected to various heating conditions on granulocyte colony-stimulating factor (G-CSF) secretion from the cultured enterocytes and investigated the active ingredient. For the in vivo study, we conducted a survival test of mice infected by Streptococcus pyogenes with and without oral administration of heated honey.\nRESULTS: We found that heating the honey induced the appearance of G-CSF secretions from the cultured enterocytes, and that this appearance depended on the heating temperature and time. No G-CSF secretions appeared when honey was not heated. Mice infected with Streptococcus pyogenes that were fed heated honey revealed prolonged survival. The active ingredient in heated honey was a high-molecular compound with about 730 kDa. When this compound was hydrolyzed, galactose, glucose, rhamnose, α-ribofuranose β-ribofuranose 1,5':1',5-dianhydride, and 5-hydroxymethylfurfural were generated.\nCONCLUSIONS: Heated honey reveals immunostimulatory activity both in vitro and in vivo. These results support the scientific evidences of the TCM theory.","container-title":"Journal of Ethnopharmacology","DOI":"10.1016/j.jep.2018.09.019","ISSN":"1872-7573","journalAbbreviation":"J Ethnopharmacol","language":"eng","note":"PMID: 30218810","page":"11-17","source":"PubMed","title":"The immunostimulatory effects and chemical characteristics of heated honey","volume":"228","author":[{"family":"Ota","given":"Misato"},{"family":"Ishiuchi","given":"Kan'ichiro"},{"family":"Xu","given":"Xin"},{"family":"Minami","given":"Masaaki"},{"family":"Nagachi","given":"Yasutaka"},{"family":"Yagi-Utsumi","given":"Maho"},{"family":"Tabuchi","given":"Yoshiaki"},{"family":"Cai","given":"Shao-Qing"},{"family":"Makino","given":"Toshiaki"}],"issued":{"date-parts":[["2019",1,10]]}}}],"schema":"https://github.com/citation-style-language/schema/raw/master/csl-citation.json"} </w:instrText>
      </w:r>
      <w:r w:rsidR="00FC7F24">
        <w:rPr>
          <w:rFonts w:ascii="Times New Roman" w:hAnsi="Times New Roman" w:cs="Times New Roman"/>
          <w:bCs/>
          <w:iCs/>
          <w:kern w:val="28"/>
          <w:sz w:val="24"/>
          <w:szCs w:val="24"/>
          <w:lang w:val="en-US"/>
        </w:rPr>
        <w:fldChar w:fldCharType="separate"/>
      </w:r>
      <w:r w:rsidR="00FC7F24" w:rsidRPr="005D0B00">
        <w:rPr>
          <w:rFonts w:ascii="Times New Roman" w:hAnsi="Times New Roman" w:cs="Times New Roman"/>
          <w:sz w:val="24"/>
          <w:lang w:val="en-US"/>
        </w:rPr>
        <w:t>(Ota et al., 2019)</w:t>
      </w:r>
      <w:r w:rsidR="00FC7F24">
        <w:rPr>
          <w:rFonts w:ascii="Times New Roman" w:hAnsi="Times New Roman" w:cs="Times New Roman"/>
          <w:bCs/>
          <w:iCs/>
          <w:kern w:val="28"/>
          <w:sz w:val="24"/>
          <w:szCs w:val="24"/>
          <w:lang w:val="en-US"/>
        </w:rPr>
        <w:fldChar w:fldCharType="end"/>
      </w:r>
      <w:r w:rsidR="00B2305F">
        <w:rPr>
          <w:rFonts w:ascii="Times New Roman" w:hAnsi="Times New Roman" w:cs="Times New Roman"/>
          <w:bCs/>
          <w:iCs/>
          <w:kern w:val="28"/>
          <w:sz w:val="24"/>
          <w:szCs w:val="24"/>
          <w:lang w:val="en-US"/>
        </w:rPr>
        <w:t>.</w:t>
      </w:r>
    </w:p>
    <w:p w14:paraId="42B8EFEB" w14:textId="77777777" w:rsidR="00FF6AE7" w:rsidRPr="0021744E" w:rsidRDefault="00FF6AE7" w:rsidP="00FF6AE7">
      <w:pPr>
        <w:spacing w:line="360" w:lineRule="auto"/>
        <w:jc w:val="both"/>
        <w:rPr>
          <w:rFonts w:ascii="Times New Roman" w:hAnsi="Times New Roman" w:cs="Times New Roman"/>
          <w:bCs/>
          <w:iCs/>
          <w:kern w:val="28"/>
          <w:sz w:val="24"/>
          <w:szCs w:val="24"/>
          <w:lang w:val="en-US"/>
        </w:rPr>
      </w:pPr>
    </w:p>
    <w:p w14:paraId="6562FC66" w14:textId="4E78521C" w:rsidR="00AA35C5" w:rsidRPr="00AA35C5" w:rsidRDefault="00AA35C5" w:rsidP="00FF6AE7">
      <w:pPr>
        <w:spacing w:line="360" w:lineRule="auto"/>
        <w:jc w:val="both"/>
        <w:rPr>
          <w:rFonts w:ascii="Times New Roman" w:hAnsi="Times New Roman" w:cs="Times New Roman"/>
          <w:bCs/>
          <w:iCs/>
          <w:kern w:val="28"/>
          <w:sz w:val="24"/>
          <w:szCs w:val="24"/>
          <w:lang w:val="en-US"/>
        </w:rPr>
      </w:pPr>
      <w:r w:rsidRPr="00AA35C5">
        <w:rPr>
          <w:rFonts w:ascii="Times New Roman" w:hAnsi="Times New Roman" w:cs="Times New Roman"/>
          <w:bCs/>
          <w:iCs/>
          <w:kern w:val="28"/>
          <w:sz w:val="24"/>
          <w:szCs w:val="24"/>
          <w:lang w:val="en-US"/>
        </w:rPr>
        <w:t xml:space="preserve">Another constituent of the sample was </w:t>
      </w:r>
      <w:r w:rsidR="00557153">
        <w:rPr>
          <w:rFonts w:ascii="Times New Roman" w:hAnsi="Times New Roman" w:cs="Times New Roman"/>
          <w:bCs/>
          <w:iCs/>
          <w:kern w:val="28"/>
          <w:sz w:val="24"/>
          <w:szCs w:val="24"/>
          <w:lang w:val="en-US"/>
        </w:rPr>
        <w:t>β</w:t>
      </w:r>
      <w:r w:rsidRPr="00AA35C5">
        <w:rPr>
          <w:rFonts w:ascii="Times New Roman" w:hAnsi="Times New Roman" w:cs="Times New Roman"/>
          <w:bCs/>
          <w:iCs/>
          <w:kern w:val="28"/>
          <w:sz w:val="24"/>
          <w:szCs w:val="24"/>
          <w:lang w:val="en-US"/>
        </w:rPr>
        <w:t>-D-lactose (</w:t>
      </w:r>
      <w:proofErr w:type="spellStart"/>
      <w:r w:rsidRPr="00AA35C5">
        <w:rPr>
          <w:rFonts w:ascii="Times New Roman" w:hAnsi="Times New Roman" w:cs="Times New Roman"/>
          <w:bCs/>
          <w:iCs/>
          <w:kern w:val="28"/>
          <w:sz w:val="24"/>
          <w:szCs w:val="24"/>
          <w:lang w:val="en-US"/>
        </w:rPr>
        <w:t>bDL</w:t>
      </w:r>
      <w:proofErr w:type="spellEnd"/>
      <w:r w:rsidRPr="00AA35C5">
        <w:rPr>
          <w:rFonts w:ascii="Times New Roman" w:hAnsi="Times New Roman" w:cs="Times New Roman"/>
          <w:bCs/>
          <w:iCs/>
          <w:kern w:val="28"/>
          <w:sz w:val="24"/>
          <w:szCs w:val="24"/>
          <w:lang w:val="en-US"/>
        </w:rPr>
        <w:t>), a disaccharide cons</w:t>
      </w:r>
      <w:r w:rsidR="00E027A9">
        <w:rPr>
          <w:rFonts w:ascii="Times New Roman" w:hAnsi="Times New Roman" w:cs="Times New Roman"/>
          <w:bCs/>
          <w:iCs/>
          <w:kern w:val="28"/>
          <w:sz w:val="24"/>
          <w:szCs w:val="24"/>
          <w:lang w:val="en-US"/>
        </w:rPr>
        <w:t xml:space="preserve">isting of galactose and glucose, whose </w:t>
      </w:r>
      <w:r w:rsidR="00E027A9" w:rsidRPr="00AA35C5">
        <w:rPr>
          <w:rFonts w:ascii="Times New Roman" w:hAnsi="Times New Roman" w:cs="Times New Roman"/>
          <w:bCs/>
          <w:iCs/>
          <w:kern w:val="28"/>
          <w:sz w:val="24"/>
          <w:szCs w:val="24"/>
          <w:lang w:val="en-US"/>
        </w:rPr>
        <w:t>primary source</w:t>
      </w:r>
      <w:r w:rsidR="009B621F">
        <w:rPr>
          <w:rFonts w:ascii="Times New Roman" w:hAnsi="Times New Roman" w:cs="Times New Roman"/>
          <w:bCs/>
          <w:iCs/>
          <w:kern w:val="28"/>
          <w:sz w:val="24"/>
          <w:szCs w:val="24"/>
          <w:lang w:val="en-US"/>
        </w:rPr>
        <w:t xml:space="preserve"> is</w:t>
      </w:r>
      <w:r w:rsidR="00E027A9">
        <w:rPr>
          <w:rFonts w:ascii="Times New Roman" w:hAnsi="Times New Roman" w:cs="Times New Roman"/>
          <w:bCs/>
          <w:iCs/>
          <w:kern w:val="28"/>
          <w:sz w:val="24"/>
          <w:szCs w:val="24"/>
          <w:lang w:val="en-US"/>
        </w:rPr>
        <w:t xml:space="preserve"> </w:t>
      </w:r>
      <w:r w:rsidRPr="00AA35C5">
        <w:rPr>
          <w:rFonts w:ascii="Times New Roman" w:hAnsi="Times New Roman" w:cs="Times New Roman"/>
          <w:bCs/>
          <w:iCs/>
          <w:kern w:val="28"/>
          <w:sz w:val="24"/>
          <w:szCs w:val="24"/>
          <w:lang w:val="en-US"/>
        </w:rPr>
        <w:t xml:space="preserve">cow milk. The most recent comprehensive review by </w:t>
      </w:r>
      <w:proofErr w:type="spellStart"/>
      <w:r w:rsidRPr="00AA35C5">
        <w:rPr>
          <w:rFonts w:ascii="Times New Roman" w:hAnsi="Times New Roman" w:cs="Times New Roman"/>
          <w:bCs/>
          <w:iCs/>
          <w:kern w:val="28"/>
          <w:sz w:val="24"/>
          <w:szCs w:val="24"/>
          <w:lang w:val="en-US"/>
        </w:rPr>
        <w:t>Schaafsma</w:t>
      </w:r>
      <w:proofErr w:type="spellEnd"/>
      <w:r w:rsidRPr="00AA35C5">
        <w:rPr>
          <w:rFonts w:ascii="Times New Roman" w:hAnsi="Times New Roman" w:cs="Times New Roman"/>
          <w:bCs/>
          <w:iCs/>
          <w:kern w:val="28"/>
          <w:sz w:val="24"/>
          <w:szCs w:val="24"/>
          <w:lang w:val="en-US"/>
        </w:rPr>
        <w:t xml:space="preserve"> sums up all information available for lactose, highlighting its fiber-like activities and positive effects on absorption of minerals</w:t>
      </w:r>
      <w:r w:rsidR="00592F54">
        <w:rPr>
          <w:rFonts w:ascii="Times New Roman" w:hAnsi="Times New Roman" w:cs="Times New Roman"/>
          <w:bCs/>
          <w:iCs/>
          <w:kern w:val="28"/>
          <w:sz w:val="24"/>
          <w:szCs w:val="24"/>
          <w:lang w:val="en-US"/>
        </w:rPr>
        <w:t xml:space="preserve"> </w:t>
      </w:r>
      <w:r w:rsidR="00592F54">
        <w:rPr>
          <w:rFonts w:ascii="Times New Roman" w:hAnsi="Times New Roman" w:cs="Times New Roman"/>
          <w:bCs/>
          <w:iCs/>
          <w:kern w:val="28"/>
          <w:sz w:val="24"/>
          <w:szCs w:val="24"/>
          <w:lang w:val="en-US"/>
        </w:rPr>
        <w:fldChar w:fldCharType="begin"/>
      </w:r>
      <w:r w:rsidR="00592F54">
        <w:rPr>
          <w:rFonts w:ascii="Times New Roman" w:hAnsi="Times New Roman" w:cs="Times New Roman"/>
          <w:bCs/>
          <w:iCs/>
          <w:kern w:val="28"/>
          <w:sz w:val="24"/>
          <w:szCs w:val="24"/>
          <w:lang w:val="en-US"/>
        </w:rPr>
        <w:instrText xml:space="preserve"> ADDIN ZOTERO_ITEM CSL_CITATION {"citationID":"FpV9YmCl","properties":{"formattedCitation":"(Schaafsma, 2008)","plainCitation":"(Schaafsma, 2008)","noteIndex":0},"citationItems":[{"id":220,"uris":["http://zotero.org/users/5866986/items/5SZMLJSF"],"uri":["http://zotero.org/users/5866986/items/5SZMLJSF"],"itemData":{"id":220,"type":"article-journal","container-title":"International Dairy Journal","DOI":"10.1016/j.idairyj.2007.11.013","ISSN":"09586946","issue":"5","journalAbbreviation":"International Dairy Journal","language":"en","page":"458-465","source":"DOI.org (Crossref)","title":"Lactose and lactose derivatives as bioactive ingredients in human nutrition","volume":"18","author":[{"family":"Schaafsma","given":"Gertjan"}],"issued":{"date-parts":[["2008",5]]}}}],"schema":"https://github.com/citation-style-language/schema/raw/master/csl-citation.json"} </w:instrText>
      </w:r>
      <w:r w:rsidR="00592F54">
        <w:rPr>
          <w:rFonts w:ascii="Times New Roman" w:hAnsi="Times New Roman" w:cs="Times New Roman"/>
          <w:bCs/>
          <w:iCs/>
          <w:kern w:val="28"/>
          <w:sz w:val="24"/>
          <w:szCs w:val="24"/>
          <w:lang w:val="en-US"/>
        </w:rPr>
        <w:fldChar w:fldCharType="separate"/>
      </w:r>
      <w:r w:rsidR="00592F54" w:rsidRPr="005A1C61">
        <w:rPr>
          <w:rFonts w:ascii="Times New Roman" w:hAnsi="Times New Roman" w:cs="Times New Roman"/>
          <w:sz w:val="24"/>
          <w:lang w:val="en-US"/>
        </w:rPr>
        <w:t>(Schaafsma, 2008)</w:t>
      </w:r>
      <w:r w:rsidR="00592F54">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particularly on calcium and magnesium </w:t>
      </w:r>
      <w:r w:rsidR="005A1C61">
        <w:rPr>
          <w:rFonts w:ascii="Times New Roman" w:hAnsi="Times New Roman" w:cs="Times New Roman"/>
          <w:bCs/>
          <w:iCs/>
          <w:kern w:val="28"/>
          <w:sz w:val="24"/>
          <w:szCs w:val="24"/>
          <w:lang w:val="en-US"/>
        </w:rPr>
        <w:fldChar w:fldCharType="begin"/>
      </w:r>
      <w:r w:rsidR="005A1C61">
        <w:rPr>
          <w:rFonts w:ascii="Times New Roman" w:hAnsi="Times New Roman" w:cs="Times New Roman"/>
          <w:bCs/>
          <w:iCs/>
          <w:kern w:val="28"/>
          <w:sz w:val="24"/>
          <w:szCs w:val="24"/>
          <w:lang w:val="en-US"/>
        </w:rPr>
        <w:instrText xml:space="preserve"> ADDIN ZOTERO_ITEM CSL_CITATION {"citationID":"ROIRAbdL","properties":{"formattedCitation":"(Abrams et al., 2002)","plainCitation":"(Abrams et al., 2002)","noteIndex":0},"citationItems":[{"id":221,"uris":["http://zotero.org/users/5866986/items/X43BTDH9"],"uri":["http://zotero.org/users/5866986/items/X43BTDH9"],"itemData":{"id":221,"type":"article-journal","abstract":"BACKGROUND: Calcium absorption is enhanced by the presence of lactose, but the quantitative significance of this effect in infant formulas is uncertain. It is also not known whether lactose affects zinc absorption.\nOBJECTIVE: We measured the absorption of calcium and zinc from infant formulas by using a multitracer, stable-isotope technique.\nDESIGN: Eighteen full-term infants (aged 8-12 wk at enrollment) were fed 2 partially hydrolyzed whey-protein-based formulas ad libitum for 2 wk per formula. The carbohydrate source was lactose in one formula and glucose polymers in the other (lactose-free). Infants were studied in a blinded crossover fashion after 2 wk of adaptation to each formula. Isotope absorption studies were conducted with a 4-tracer method in which (70)Zn and (44)Ca were provided orally and (67)Zn and (46)Ca intravenously. Zinc and calcium absorption was measured from the fractional excretion of the oral and intravenous isotopes in urine.\nRESULTS: Fractional and total calcium absorption was significantly greater from the lactose-containing formula than from the lactose-free formula. For total calcium absorption, the mean difference between formulas was 10.3% (P = 0.002) and 60 mg/d (P = 0.006). For zinc, fractional absorption (32 +/- 11%), total absorption, and intake did not differ significantly between the 2 formulas.\nCONCLUSIONS: The presence of lactose in a formula based on cow-milk protein increases absorption of calcium but not of zinc. Absorption of calcium from a lactose-free infant formula is, however, adequate to meet the calcium needs of full-term infants when the formula's calcium content is similar to that of lactose-containing, cow-milk-based infant formulas.","container-title":"The American Journal of Clinical Nutrition","DOI":"10.1093/ajcn/76.2.442","ISSN":"0002-9165","issue":"2","journalAbbreviation":"Am J Clin Nutr","language":"eng","note":"PMID: 12145020","page":"442-446","source":"PubMed","title":"Calcium and zinc absorption from lactose-containing and lactose-free infant formulas","volume":"76","author":[{"family":"Abrams","given":"Steven A."},{"family":"Griffin","given":"Ian J."},{"family":"Davila","given":"Penni M."}],"issued":{"date-parts":[["2002",8]]}}}],"schema":"https://github.com/citation-style-language/schema/raw/master/csl-citation.json"} </w:instrText>
      </w:r>
      <w:r w:rsidR="005A1C61">
        <w:rPr>
          <w:rFonts w:ascii="Times New Roman" w:hAnsi="Times New Roman" w:cs="Times New Roman"/>
          <w:bCs/>
          <w:iCs/>
          <w:kern w:val="28"/>
          <w:sz w:val="24"/>
          <w:szCs w:val="24"/>
          <w:lang w:val="en-US"/>
        </w:rPr>
        <w:fldChar w:fldCharType="separate"/>
      </w:r>
      <w:r w:rsidR="005A1C61" w:rsidRPr="005D0B00">
        <w:rPr>
          <w:rFonts w:ascii="Times New Roman" w:hAnsi="Times New Roman" w:cs="Times New Roman"/>
          <w:sz w:val="24"/>
          <w:lang w:val="en-US"/>
        </w:rPr>
        <w:t>(Abrams et al., 2002)</w:t>
      </w:r>
      <w:r w:rsidR="005A1C61">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w:t>
      </w:r>
    </w:p>
    <w:p w14:paraId="4BD8E52F" w14:textId="77777777" w:rsidR="00FF6AE7" w:rsidRPr="00654368" w:rsidRDefault="00FF6AE7" w:rsidP="00FF6AE7">
      <w:pPr>
        <w:spacing w:line="360" w:lineRule="auto"/>
        <w:jc w:val="both"/>
        <w:rPr>
          <w:rFonts w:ascii="Times New Roman" w:hAnsi="Times New Roman" w:cs="Times New Roman"/>
          <w:bCs/>
          <w:iCs/>
          <w:kern w:val="28"/>
          <w:sz w:val="24"/>
          <w:szCs w:val="24"/>
          <w:lang w:val="en-US"/>
        </w:rPr>
      </w:pPr>
    </w:p>
    <w:p w14:paraId="6F78F9D9" w14:textId="0B86A95C" w:rsidR="00FF6AE7" w:rsidRPr="00FF6AE7" w:rsidRDefault="009B621F" w:rsidP="00FF6AE7">
      <w:pPr>
        <w:spacing w:line="360" w:lineRule="auto"/>
        <w:jc w:val="both"/>
        <w:rPr>
          <w:rFonts w:ascii="Times New Roman" w:hAnsi="Times New Roman" w:cs="Times New Roman"/>
          <w:bCs/>
          <w:iCs/>
          <w:kern w:val="28"/>
          <w:sz w:val="24"/>
          <w:szCs w:val="24"/>
          <w:lang w:val="en-US"/>
        </w:rPr>
      </w:pPr>
      <w:r>
        <w:rPr>
          <w:rFonts w:ascii="Times New Roman" w:hAnsi="Times New Roman" w:cs="Times New Roman"/>
          <w:bCs/>
          <w:iCs/>
          <w:kern w:val="28"/>
          <w:sz w:val="24"/>
          <w:szCs w:val="24"/>
          <w:lang w:val="en-US"/>
        </w:rPr>
        <w:t>The dry sample of SHC wa</w:t>
      </w:r>
      <w:r w:rsidR="00544783">
        <w:rPr>
          <w:rFonts w:ascii="Times New Roman" w:hAnsi="Times New Roman" w:cs="Times New Roman"/>
          <w:bCs/>
          <w:iCs/>
          <w:kern w:val="28"/>
          <w:sz w:val="24"/>
          <w:szCs w:val="24"/>
          <w:lang w:val="en-US"/>
        </w:rPr>
        <w:t>s</w:t>
      </w:r>
      <w:r w:rsidR="00AA35C5" w:rsidRPr="00AA35C5">
        <w:rPr>
          <w:rFonts w:ascii="Times New Roman" w:hAnsi="Times New Roman" w:cs="Times New Roman"/>
          <w:bCs/>
          <w:iCs/>
          <w:kern w:val="28"/>
          <w:sz w:val="24"/>
          <w:szCs w:val="24"/>
          <w:lang w:val="en-US"/>
        </w:rPr>
        <w:t xml:space="preserve"> constituting </w:t>
      </w:r>
      <w:r>
        <w:rPr>
          <w:rFonts w:ascii="Times New Roman" w:hAnsi="Times New Roman" w:cs="Times New Roman"/>
          <w:bCs/>
          <w:iCs/>
          <w:kern w:val="28"/>
          <w:sz w:val="24"/>
          <w:szCs w:val="24"/>
          <w:lang w:val="en-US"/>
        </w:rPr>
        <w:t>2%</w:t>
      </w:r>
      <w:r w:rsidR="00AA35C5" w:rsidRPr="00AA35C5">
        <w:rPr>
          <w:rFonts w:ascii="Times New Roman" w:hAnsi="Times New Roman" w:cs="Times New Roman"/>
          <w:bCs/>
          <w:iCs/>
          <w:kern w:val="28"/>
          <w:sz w:val="24"/>
          <w:szCs w:val="24"/>
          <w:lang w:val="en-US"/>
        </w:rPr>
        <w:t xml:space="preserve"> of glucose</w:t>
      </w:r>
      <w:r>
        <w:rPr>
          <w:rFonts w:ascii="Times New Roman" w:hAnsi="Times New Roman" w:cs="Times New Roman"/>
          <w:bCs/>
          <w:iCs/>
          <w:kern w:val="28"/>
          <w:sz w:val="24"/>
          <w:szCs w:val="24"/>
          <w:lang w:val="en-US"/>
        </w:rPr>
        <w:t xml:space="preserve">, which can be </w:t>
      </w:r>
      <w:r w:rsidR="00AA35C5" w:rsidRPr="00AA35C5">
        <w:rPr>
          <w:rFonts w:ascii="Times New Roman" w:hAnsi="Times New Roman" w:cs="Times New Roman"/>
          <w:bCs/>
          <w:iCs/>
          <w:kern w:val="28"/>
          <w:sz w:val="24"/>
          <w:szCs w:val="24"/>
          <w:lang w:val="en-US"/>
        </w:rPr>
        <w:t xml:space="preserve">found in most plant-based and animal products, either individually or, most frequently, incorporated into complex molecules, e.g., oligo- and polysaccharides. </w:t>
      </w:r>
      <w:r>
        <w:rPr>
          <w:rFonts w:ascii="Times New Roman" w:hAnsi="Times New Roman" w:cs="Times New Roman"/>
          <w:bCs/>
          <w:iCs/>
          <w:kern w:val="28"/>
          <w:sz w:val="24"/>
          <w:szCs w:val="24"/>
          <w:lang w:val="en-US"/>
        </w:rPr>
        <w:t>L</w:t>
      </w:r>
      <w:r w:rsidRPr="00AA35C5">
        <w:rPr>
          <w:rFonts w:ascii="Times New Roman" w:hAnsi="Times New Roman" w:cs="Times New Roman"/>
          <w:bCs/>
          <w:iCs/>
          <w:kern w:val="28"/>
          <w:sz w:val="24"/>
          <w:szCs w:val="24"/>
          <w:lang w:val="en-US"/>
        </w:rPr>
        <w:t xml:space="preserve">ow glucose content </w:t>
      </w:r>
      <w:r>
        <w:rPr>
          <w:rFonts w:ascii="Times New Roman" w:hAnsi="Times New Roman" w:cs="Times New Roman"/>
          <w:bCs/>
          <w:iCs/>
          <w:kern w:val="28"/>
          <w:sz w:val="24"/>
          <w:szCs w:val="24"/>
          <w:lang w:val="en-US"/>
        </w:rPr>
        <w:t xml:space="preserve">in the sample studied suggests its primary plant origin in the SHC and makes unlikely </w:t>
      </w:r>
      <w:r w:rsidR="00544783">
        <w:rPr>
          <w:rFonts w:ascii="Times New Roman" w:hAnsi="Times New Roman" w:cs="Times New Roman"/>
          <w:bCs/>
          <w:iCs/>
          <w:kern w:val="28"/>
          <w:sz w:val="24"/>
          <w:szCs w:val="24"/>
          <w:lang w:val="en-US"/>
        </w:rPr>
        <w:t xml:space="preserve">the possibility of </w:t>
      </w:r>
      <w:r>
        <w:rPr>
          <w:rFonts w:ascii="Times New Roman" w:hAnsi="Times New Roman" w:cs="Times New Roman"/>
          <w:bCs/>
          <w:iCs/>
          <w:kern w:val="28"/>
          <w:sz w:val="24"/>
          <w:szCs w:val="24"/>
          <w:lang w:val="en-US"/>
        </w:rPr>
        <w:t xml:space="preserve">any specific physiological effects </w:t>
      </w:r>
      <w:r w:rsidR="00544783">
        <w:rPr>
          <w:rFonts w:ascii="Times New Roman" w:hAnsi="Times New Roman" w:cs="Times New Roman"/>
          <w:bCs/>
          <w:iCs/>
          <w:kern w:val="28"/>
          <w:sz w:val="24"/>
          <w:szCs w:val="24"/>
          <w:lang w:val="en-US"/>
        </w:rPr>
        <w:t xml:space="preserve">of reported </w:t>
      </w:r>
      <w:r w:rsidR="004B04CD">
        <w:rPr>
          <w:rFonts w:ascii="Times New Roman" w:hAnsi="Times New Roman" w:cs="Times New Roman"/>
          <w:bCs/>
          <w:iCs/>
          <w:kern w:val="28"/>
          <w:sz w:val="24"/>
          <w:szCs w:val="24"/>
          <w:lang w:val="en-US"/>
        </w:rPr>
        <w:t xml:space="preserve">glucose </w:t>
      </w:r>
      <w:r w:rsidR="00544783">
        <w:rPr>
          <w:rFonts w:ascii="Times New Roman" w:hAnsi="Times New Roman" w:cs="Times New Roman"/>
          <w:bCs/>
          <w:iCs/>
          <w:kern w:val="28"/>
          <w:sz w:val="24"/>
          <w:szCs w:val="24"/>
          <w:lang w:val="en-US"/>
        </w:rPr>
        <w:t xml:space="preserve">amount </w:t>
      </w:r>
      <w:r>
        <w:rPr>
          <w:rFonts w:ascii="Times New Roman" w:hAnsi="Times New Roman" w:cs="Times New Roman"/>
          <w:bCs/>
          <w:iCs/>
          <w:kern w:val="28"/>
          <w:sz w:val="24"/>
          <w:szCs w:val="24"/>
          <w:lang w:val="en-US"/>
        </w:rPr>
        <w:t xml:space="preserve">on CNS or metabolism </w:t>
      </w:r>
      <w:r w:rsidR="00544783">
        <w:rPr>
          <w:rFonts w:ascii="Times New Roman" w:hAnsi="Times New Roman" w:cs="Times New Roman"/>
          <w:bCs/>
          <w:iCs/>
          <w:kern w:val="28"/>
          <w:sz w:val="24"/>
          <w:szCs w:val="24"/>
          <w:lang w:val="en-US"/>
        </w:rPr>
        <w:t xml:space="preserve">in a current study </w:t>
      </w:r>
      <w:r w:rsidR="005A1C61">
        <w:rPr>
          <w:rFonts w:ascii="Times New Roman" w:hAnsi="Times New Roman" w:cs="Times New Roman"/>
          <w:bCs/>
          <w:iCs/>
          <w:kern w:val="28"/>
          <w:sz w:val="24"/>
          <w:szCs w:val="24"/>
          <w:lang w:val="en-US"/>
        </w:rPr>
        <w:fldChar w:fldCharType="begin"/>
      </w:r>
      <w:r w:rsidR="005A1C61">
        <w:rPr>
          <w:rFonts w:ascii="Times New Roman" w:hAnsi="Times New Roman" w:cs="Times New Roman"/>
          <w:bCs/>
          <w:iCs/>
          <w:kern w:val="28"/>
          <w:sz w:val="24"/>
          <w:szCs w:val="24"/>
          <w:lang w:val="en-US"/>
        </w:rPr>
        <w:instrText xml:space="preserve"> ADDIN ZOTERO_ITEM CSL_CITATION {"citationID":"18sI9KMs","properties":{"formattedCitation":"(Mergenthaler et al., 2013)","plainCitation":"(Mergenthaler et al., 2013)","noteIndex":0},"citationItems":[{"id":227,"uris":["http://zotero.org/users/5866986/items/8EHDMUEE"],"uri":["http://zotero.org/users/5866986/items/8EHDMUEE"],"itemData":{"id":227,"type":"article-journal","abstract":"The mammalian brain depends upon glucose as its main source of energy, and tight regulation of glucose metabolism is critical for brain physiology. Consistent with its critical role for physiological brain function, disruption of normal glucose metabolism as well as its interdependence with cell death pathways forms the pathophysiological basis for many brain disorders. Here, we review recent advances in understanding how glucose metabolism sustains basic brain physiology. We synthesize these findings to form a comprehensive picture of the cooperation required between different systems and cell types, and the specific breakdowns in this cooperation that lead to disease.","container-title":"Trends in Neurosciences","DOI":"10.1016/j.tins.2013.07.001","ISSN":"1878-108X","issue":"10","journalAbbreviation":"Trends Neurosci","language":"eng","note":"PMID: 23968694\nPMCID: PMC3900881","page":"587-597","source":"PubMed","title":"Sugar for the brain: the role of glucose in physiological and pathological brain function","title-short":"Sugar for the brain","volume":"36","author":[{"family":"Mergenthaler","given":"Philipp"},{"family":"Lindauer","given":"Ute"},{"family":"Dienel","given":"Gerald A."},{"family":"Meisel","given":"Andreas"}],"issued":{"date-parts":[["2013",10]]}}}],"schema":"https://github.com/citation-style-language/schema/raw/master/csl-citation.json"} </w:instrText>
      </w:r>
      <w:r w:rsidR="005A1C61">
        <w:rPr>
          <w:rFonts w:ascii="Times New Roman" w:hAnsi="Times New Roman" w:cs="Times New Roman"/>
          <w:bCs/>
          <w:iCs/>
          <w:kern w:val="28"/>
          <w:sz w:val="24"/>
          <w:szCs w:val="24"/>
          <w:lang w:val="en-US"/>
        </w:rPr>
        <w:fldChar w:fldCharType="separate"/>
      </w:r>
      <w:r w:rsidR="005A1C61" w:rsidRPr="005A1C61">
        <w:rPr>
          <w:rFonts w:ascii="Times New Roman" w:hAnsi="Times New Roman" w:cs="Times New Roman"/>
          <w:sz w:val="24"/>
          <w:lang w:val="en-US"/>
        </w:rPr>
        <w:t>(Mergenthaler et al., 2013)</w:t>
      </w:r>
      <w:r w:rsidR="005A1C61">
        <w:rPr>
          <w:rFonts w:ascii="Times New Roman" w:hAnsi="Times New Roman" w:cs="Times New Roman"/>
          <w:bCs/>
          <w:iCs/>
          <w:kern w:val="28"/>
          <w:sz w:val="24"/>
          <w:szCs w:val="24"/>
          <w:lang w:val="en-US"/>
        </w:rPr>
        <w:fldChar w:fldCharType="end"/>
      </w:r>
      <w:r>
        <w:rPr>
          <w:rFonts w:ascii="Times New Roman" w:hAnsi="Times New Roman" w:cs="Times New Roman"/>
          <w:bCs/>
          <w:iCs/>
          <w:kern w:val="28"/>
          <w:sz w:val="24"/>
          <w:szCs w:val="24"/>
          <w:lang w:val="en-US"/>
        </w:rPr>
        <w:t>.</w:t>
      </w:r>
    </w:p>
    <w:p w14:paraId="423E2F95" w14:textId="29ED4D22" w:rsidR="00AA35C5" w:rsidRPr="00AA35C5" w:rsidRDefault="00AA35C5" w:rsidP="00FF6AE7">
      <w:pPr>
        <w:spacing w:line="360" w:lineRule="auto"/>
        <w:jc w:val="both"/>
        <w:rPr>
          <w:rFonts w:ascii="Times New Roman" w:hAnsi="Times New Roman" w:cs="Times New Roman"/>
          <w:bCs/>
          <w:iCs/>
          <w:kern w:val="28"/>
          <w:sz w:val="24"/>
          <w:szCs w:val="24"/>
          <w:lang w:val="en-US"/>
        </w:rPr>
      </w:pPr>
      <w:r w:rsidRPr="00AA35C5">
        <w:rPr>
          <w:rFonts w:ascii="Times New Roman" w:hAnsi="Times New Roman" w:cs="Times New Roman"/>
          <w:bCs/>
          <w:iCs/>
          <w:kern w:val="28"/>
          <w:sz w:val="24"/>
          <w:szCs w:val="24"/>
          <w:lang w:val="en-US"/>
        </w:rPr>
        <w:lastRenderedPageBreak/>
        <w:t xml:space="preserve">Malic acid (MA; 3.2% of the total dry weight of the sample) was postulated to show promising </w:t>
      </w:r>
      <w:proofErr w:type="spellStart"/>
      <w:r w:rsidRPr="00AA35C5">
        <w:rPr>
          <w:rFonts w:ascii="Times New Roman" w:hAnsi="Times New Roman" w:cs="Times New Roman"/>
          <w:bCs/>
          <w:iCs/>
          <w:kern w:val="28"/>
          <w:sz w:val="24"/>
          <w:szCs w:val="24"/>
          <w:lang w:val="en-US"/>
        </w:rPr>
        <w:t>adaptogenic</w:t>
      </w:r>
      <w:proofErr w:type="spellEnd"/>
      <w:r w:rsidRPr="00AA35C5">
        <w:rPr>
          <w:rFonts w:ascii="Times New Roman" w:hAnsi="Times New Roman" w:cs="Times New Roman"/>
          <w:bCs/>
          <w:iCs/>
          <w:kern w:val="28"/>
          <w:sz w:val="24"/>
          <w:szCs w:val="24"/>
          <w:lang w:val="en-US"/>
        </w:rPr>
        <w:t xml:space="preserve"> properties in 1988 by </w:t>
      </w:r>
      <w:proofErr w:type="spellStart"/>
      <w:r w:rsidRPr="00AA35C5">
        <w:rPr>
          <w:rFonts w:ascii="Times New Roman" w:hAnsi="Times New Roman" w:cs="Times New Roman"/>
          <w:bCs/>
          <w:iCs/>
          <w:kern w:val="28"/>
          <w:sz w:val="24"/>
          <w:szCs w:val="24"/>
          <w:lang w:val="en-US"/>
        </w:rPr>
        <w:t>Dunaev</w:t>
      </w:r>
      <w:proofErr w:type="spellEnd"/>
      <w:r w:rsidRPr="00AA35C5">
        <w:rPr>
          <w:rFonts w:ascii="Times New Roman" w:hAnsi="Times New Roman" w:cs="Times New Roman"/>
          <w:bCs/>
          <w:iCs/>
          <w:kern w:val="28"/>
          <w:sz w:val="24"/>
          <w:szCs w:val="24"/>
          <w:lang w:val="en-US"/>
        </w:rPr>
        <w:t xml:space="preserve"> et al. They discovered that this substance, found in various fruits, particularly citruses, promoted neuron excitation in sensory and motor brain areas in a dose-dependent manner</w:t>
      </w:r>
      <w:r w:rsidR="005A1C61">
        <w:rPr>
          <w:rFonts w:ascii="Times New Roman" w:hAnsi="Times New Roman" w:cs="Times New Roman"/>
          <w:bCs/>
          <w:iCs/>
          <w:kern w:val="28"/>
          <w:sz w:val="24"/>
          <w:szCs w:val="24"/>
          <w:lang w:val="en-US"/>
        </w:rPr>
        <w:t xml:space="preserve"> </w:t>
      </w:r>
      <w:r w:rsidR="005A1C61">
        <w:rPr>
          <w:rFonts w:ascii="Times New Roman" w:hAnsi="Times New Roman" w:cs="Times New Roman"/>
          <w:bCs/>
          <w:iCs/>
          <w:kern w:val="28"/>
          <w:sz w:val="24"/>
          <w:szCs w:val="24"/>
          <w:lang w:val="en-US"/>
        </w:rPr>
        <w:fldChar w:fldCharType="begin"/>
      </w:r>
      <w:r w:rsidR="005A1C61">
        <w:rPr>
          <w:rFonts w:ascii="Times New Roman" w:hAnsi="Times New Roman" w:cs="Times New Roman"/>
          <w:bCs/>
          <w:iCs/>
          <w:kern w:val="28"/>
          <w:sz w:val="24"/>
          <w:szCs w:val="24"/>
          <w:lang w:val="en-US"/>
        </w:rPr>
        <w:instrText xml:space="preserve"> ADDIN ZOTERO_ITEM CSL_CITATION {"citationID":"DRJWLAE2","properties":{"formattedCitation":"(Dunaev et al., 1988)","plainCitation":"(Dunaev et al., 1988)","noteIndex":0},"citationItems":[{"id":239,"uris":["http://zotero.org/users/5866986/items/AWHZHLM3"],"uri":["http://zotero.org/users/5866986/items/AWHZHLM3"],"itemData":{"id":239,"type":"article-journal","abstract":"The effect of malic acid salts of iron, potassium, copper, chromium, lithium and zinc on the motor activity and electroencephalographic indices in rats was studied under the course of oral treatment (250 mg/kg). Potassium malate was found to exert the most pronounced stimulating effect on the motor activity and excitatory processes in the sensory motor brain areas. The study of the influence of this compound on total physical working capacity and its restoration revealed a significant dose-dependent stimulating action. It was shown that the effects of potassium malate are related to its ability to stimulate the most productive bioenergetic processes, to increase carbohydrate reserves, to decrease oxygen consumption of tissues.","container-title":"Farmakologiia I Toksikologiia","ISSN":"0014-8318","issue":"3","journalAbbreviation":"Farmakol Toksikol","language":"rus","note":"PMID: 3410020","page":"21-25","source":"PubMed","title":"[Effect of malic acid salts on physical work capacity and its recovery after exhausting muscular activity]","volume":"51","author":[{"family":"Dunaev","given":"V. V."},{"family":"Tishkin","given":"V. S."},{"family":"Milonova","given":"N. P."},{"family":"Belaĭ","given":"I. M."},{"family":"Makarenko","given":"A. N."}],"issued":{"date-parts":[["1988",6]]}}}],"schema":"https://github.com/citation-style-language/schema/raw/master/csl-citation.json"} </w:instrText>
      </w:r>
      <w:r w:rsidR="005A1C61">
        <w:rPr>
          <w:rFonts w:ascii="Times New Roman" w:hAnsi="Times New Roman" w:cs="Times New Roman"/>
          <w:bCs/>
          <w:iCs/>
          <w:kern w:val="28"/>
          <w:sz w:val="24"/>
          <w:szCs w:val="24"/>
          <w:lang w:val="en-US"/>
        </w:rPr>
        <w:fldChar w:fldCharType="separate"/>
      </w:r>
      <w:r w:rsidR="005A1C61" w:rsidRPr="00B67A43">
        <w:rPr>
          <w:rFonts w:ascii="Times New Roman" w:hAnsi="Times New Roman" w:cs="Times New Roman"/>
          <w:sz w:val="24"/>
          <w:lang w:val="en-US"/>
        </w:rPr>
        <w:t>(Dunaev et al., 1988)</w:t>
      </w:r>
      <w:r w:rsidR="005A1C61">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The observed effects were attributed to metabolism stimulation with simultaneous decrease in tissue respiration, since MA is involved in </w:t>
      </w:r>
      <w:r w:rsidRPr="009B621F">
        <w:rPr>
          <w:rFonts w:ascii="Times New Roman" w:hAnsi="Times New Roman" w:cs="Times New Roman"/>
          <w:bCs/>
          <w:iCs/>
          <w:kern w:val="28"/>
          <w:sz w:val="24"/>
          <w:szCs w:val="24"/>
          <w:lang w:val="en-US"/>
        </w:rPr>
        <w:t>CAC</w:t>
      </w:r>
      <w:r w:rsidR="009B621F" w:rsidRPr="009B621F">
        <w:rPr>
          <w:rFonts w:ascii="Times New Roman" w:hAnsi="Times New Roman" w:cs="Times New Roman"/>
          <w:bCs/>
          <w:iCs/>
          <w:kern w:val="28"/>
          <w:sz w:val="24"/>
          <w:szCs w:val="24"/>
          <w:lang w:val="en-US"/>
        </w:rPr>
        <w:t xml:space="preserve"> (citric acid cycle)</w:t>
      </w:r>
      <w:r w:rsidRPr="00AA35C5">
        <w:rPr>
          <w:rFonts w:ascii="Times New Roman" w:hAnsi="Times New Roman" w:cs="Times New Roman"/>
          <w:bCs/>
          <w:iCs/>
          <w:kern w:val="28"/>
          <w:sz w:val="24"/>
          <w:szCs w:val="24"/>
          <w:lang w:val="en-US"/>
        </w:rPr>
        <w:t>, and introduction of MA into the cell thus replenishes the pool of substrate for further oxidation with less oxygen-dependent stages during the CAC. MA is also involved in malate-aspartate shuttle responsible for NADH transport across mitochondrial membrane utilized for energy production. Owing to its biological effects</w:t>
      </w:r>
      <w:r w:rsidR="00A826A1">
        <w:rPr>
          <w:rFonts w:ascii="Times New Roman" w:hAnsi="Times New Roman" w:cs="Times New Roman"/>
          <w:bCs/>
          <w:iCs/>
          <w:kern w:val="28"/>
          <w:sz w:val="24"/>
          <w:szCs w:val="24"/>
          <w:lang w:val="en-US"/>
        </w:rPr>
        <w:t xml:space="preserve"> in energy-demanding cells, e.g</w:t>
      </w:r>
      <w:r w:rsidRPr="00AA35C5">
        <w:rPr>
          <w:rFonts w:ascii="Times New Roman" w:hAnsi="Times New Roman" w:cs="Times New Roman"/>
          <w:bCs/>
          <w:iCs/>
          <w:kern w:val="28"/>
          <w:sz w:val="24"/>
          <w:szCs w:val="24"/>
          <w:lang w:val="en-US"/>
        </w:rPr>
        <w:t xml:space="preserve">., neurons and muscle cells, possible advantages of malic acid supplementation have been under investigation, generally yielding positive results </w:t>
      </w:r>
      <w:r w:rsidR="00B67A43">
        <w:rPr>
          <w:rFonts w:ascii="Times New Roman" w:hAnsi="Times New Roman" w:cs="Times New Roman"/>
          <w:bCs/>
          <w:iCs/>
          <w:kern w:val="28"/>
          <w:sz w:val="24"/>
          <w:szCs w:val="24"/>
          <w:lang w:val="en-US"/>
        </w:rPr>
        <w:fldChar w:fldCharType="begin"/>
      </w:r>
      <w:r w:rsidR="00B67A43">
        <w:rPr>
          <w:rFonts w:ascii="Times New Roman" w:hAnsi="Times New Roman" w:cs="Times New Roman"/>
          <w:bCs/>
          <w:iCs/>
          <w:kern w:val="28"/>
          <w:sz w:val="24"/>
          <w:szCs w:val="24"/>
          <w:lang w:val="en-US"/>
        </w:rPr>
        <w:instrText xml:space="preserve"> ADDIN ZOTERO_ITEM CSL_CITATION {"citationID":"oAdonwlV","properties":{"formattedCitation":"(Bendahan et al., 2002; Qiang, 2015)","plainCitation":"(Bendahan et al., 2002; Qiang, 2015)","noteIndex":0},"citationItems":[{"id":241,"uris":["http://zotero.org/users/5866986/items/RCLUFLYJ"],"uri":["http://zotero.org/users/5866986/items/RCLUFLYJ"],"itemData":{"id":241,"type":"article-journal","abstract":"BACKGROUND: Previous studies have shown an antiasthenic effect of citrulline/malate (CM) but the mechanism of action at the muscular level remains unknown.\nOBJECTIVE: To investigate the effects of CM supplementation on muscle energetics.\nMETHODS: Eighteen men complaining of fatigue but with no documented disease were included in the study. A rest-exercise (finger flexions)-recovery protocol was performed twice before (D-7 and D0), three times during (D3, D8, D15), and once after (D22) 15 days of oral supplementation with 6 g/day CM. Metabolism of the flexor digitorum superficialis was analysed by (31)P magnetic resonance spectroscopy at 4.7 T.\nRESULTS: Metabolic variables measured twice before CM ingestion showed no differences, indicating good reproducibility of measurements and no learning effect from repeating the exercise protocol. CM ingestion resulted in a significant reduction in the sensation of fatigue, a 34% increase in the rate of oxidative ATP production during exercise, and a 20% increase in the rate of phosphocreatine recovery after exercise, indicating a larger contribution of oxidative ATP synthesis to energy production. Considering subjects individually and variables characterising aerobic function, extrema were measured after either eight or 15 days of treatment, indicating chronological heterogeneity of treatment induced changes. One way analysis of variance confirmed improved aerobic function, which may be the result of an enhanced malate supply activating ATP production from the tricarboxylic acid cycle through anaplerotic reactions.\nCONCLUSION: The changes in muscle metabolism produced by CM treatment indicate that CM may promote aerobic energy production.","container-title":"British Journal of Sports Medicine","DOI":"10.1136/bjsm.36.4.282","ISSN":"0306-3674","issue":"4","journalAbbreviation":"Br J Sports Med","language":"eng","note":"PMID: 12145119\nPMCID: PMC1724533","page":"282-289","source":"PubMed","title":"Citrulline/malate promotes aerobic energy production in human exercising muscle","volume":"36","author":[{"family":"Bendahan","given":"D."},{"family":"Mattei","given":"J. P."},{"family":"Ghattas","given":"B."},{"family":"Confort-Gouny","given":"S."},{"family":"Le Guern","given":"M. E."},{"family":"Cozzone","given":"P. J."}],"issued":{"date-parts":[["2002",8]]}}},{"id":244,"uris":["http://zotero.org/users/5866986/items/RCBAQPTD"],"uri":["http://zotero.org/users/5866986/items/RCBAQPTD"],"itemData":{"id":244,"type":"article-journal","abstract":"L-malate is an important intermediate on the process of metabolism; it plays an important role in generating mitochondria ATP both under aerobic and hypoxic condition. It is easy to be absorbed and come into mitochondrion through cell membrane and promote to produce energy in mitochondrion. The purpose of this investigation is to probe into the different influence malate ingestion on blood lactate and glucose kinetics during aerobic exercise athletes; at the same time, rats were used to study the effect of malate and oligosaccharide solution on the metabolism in muscle and liver. The supplement of malate-oligosaccharide solution may improve the level of antioxidants in vivo after exercise, and subsequently increase the total antioxidant capacity and decrease the level of lipid peroxidation. At the appropriate time sports drinks can add varying degrees of motion to extend time to fatigue enhance athletic ability, speed up the recovery process after exercise, reduce fatigue.","container-title":"The Open Biomedical Engineering Journal","DOI":"10.2174/1874120701509010326","ISSN":"1874-1207","journalAbbreviation":"Open Biomed Eng J","language":"eng","note":"PMID: 26998183\nPMCID: PMC4787273","page":"326-329","source":"PubMed","title":"Effect of Malate-oligosaccharide Solution on Antioxidant Capacity of Endurance Athletes","volume":"9","author":[{"family":"Qiang","given":"Fu"}],"issued":{"date-parts":[["2015"]]}}}],"schema":"https://github.com/citation-style-language/schema/raw/master/csl-citation.json"} </w:instrText>
      </w:r>
      <w:r w:rsidR="00B67A43">
        <w:rPr>
          <w:rFonts w:ascii="Times New Roman" w:hAnsi="Times New Roman" w:cs="Times New Roman"/>
          <w:bCs/>
          <w:iCs/>
          <w:kern w:val="28"/>
          <w:sz w:val="24"/>
          <w:szCs w:val="24"/>
          <w:lang w:val="en-US"/>
        </w:rPr>
        <w:fldChar w:fldCharType="separate"/>
      </w:r>
      <w:r w:rsidR="00B67A43" w:rsidRPr="00B67A43">
        <w:rPr>
          <w:rFonts w:ascii="Times New Roman" w:hAnsi="Times New Roman" w:cs="Times New Roman"/>
          <w:sz w:val="24"/>
          <w:lang w:val="en-US"/>
        </w:rPr>
        <w:t>(Bendahan et al., 2002; Qiang, 2015)</w:t>
      </w:r>
      <w:r w:rsidR="00B67A43">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Particularly curious results were obtained when studying the effects of MA in rat myocardial ischemia, where it exhibited cardiomyocyte-protective action, thus upholding conclusions made by other scholars </w:t>
      </w:r>
      <w:r w:rsidR="00B67A43">
        <w:rPr>
          <w:rFonts w:ascii="Times New Roman" w:hAnsi="Times New Roman" w:cs="Times New Roman"/>
          <w:bCs/>
          <w:iCs/>
          <w:kern w:val="28"/>
          <w:sz w:val="24"/>
          <w:szCs w:val="24"/>
          <w:lang w:val="en-US"/>
        </w:rPr>
        <w:fldChar w:fldCharType="begin"/>
      </w:r>
      <w:r w:rsidR="00B67A43">
        <w:rPr>
          <w:rFonts w:ascii="Times New Roman" w:hAnsi="Times New Roman" w:cs="Times New Roman"/>
          <w:bCs/>
          <w:iCs/>
          <w:kern w:val="28"/>
          <w:sz w:val="24"/>
          <w:szCs w:val="24"/>
          <w:lang w:val="en-US"/>
        </w:rPr>
        <w:instrText xml:space="preserve"> ADDIN ZOTERO_ITEM CSL_CITATION {"citationID":"z2ZPl8U2","properties":{"formattedCitation":"(Tang et al., 2013)","plainCitation":"(Tang et al., 2013)","noteIndex":0},"citationItems":[{"id":247,"uris":["http://zotero.org/users/5866986/items/7AAVB2PX"],"uri":["http://zotero.org/users/5866986/items/7AAVB2PX"],"itemData":{"id":247,"type":"article-journal","abstract":"Organic acids in Chinese herbs, the long-neglected components, have been reported to possess antioxidant, anti-inflammatory, and antiplatelet aggregation activities; thus they may have potentially protective effect on ischemic heart disease. Therefore, this study aims to investigate the protective effects of two organic acids, that is, citric acid and L-malic acid, which are the main components of Fructus Choerospondiatis, on myocardial ischemia/reperfusion injury and the underlying mechanisms. In in vivo rat model of myocardial ischemia/reperfusion injury, we found that treatments with citric acid and L-malic acid significantly reduced myocardial infarct size, serum levels of TNF-α, and platelet aggregation. In vitro experiments revealed that both citric acid and L-malic acid significantly reduced LDH release, decreased apoptotic rate, downregulated the expression of cleaved caspase-3, and upregulated the expression of phosphorylated Akt in primary neonatal rat cardiomyocytes subjected to hypoxia/reoxygenation injury. These results suggest that both citric acid and L-malic acid have protective effects on myocardial ischemia/reperfusion injury; the underlying mechanism may be related to their anti-inflammatory, antiplatelet aggregation and direct cardiomyocyte protective effects. These results also demonstrate that organic acids, besides flavonoids, may also be the major active ingredient of Fructus Choerospondiatis responsible for its cardioprotective effects and should be attached great importance in the therapy of ischemic heart disease.","container-title":"Evidence-Based Complementary and Alternative Medicine: eCAM","DOI":"10.1155/2013/820695","ISSN":"1741-427X","journalAbbreviation":"Evid Based Complement Alternat Med","language":"eng","note":"PMID: 23737849\nPMCID: PMC3666396","page":"820695","source":"PubMed","title":"The cardioprotective effects of citric Acid and L-malic Acid on myocardial ischemia/reperfusion injury","volume":"2013","author":[{"family":"Tang","given":"Xilan"},{"family":"Liu","given":"Jianxun"},{"family":"Dong","given":"Wei"},{"family":"Li","given":"Peng"},{"family":"Li","given":"Lei"},{"family":"Lin","given":"Chengren"},{"family":"Zheng","given":"Yongqiu"},{"family":"Hou","given":"Jincai"},{"family":"Li","given":"Dan"}],"issued":{"date-parts":[["2013"]]}}}],"schema":"https://github.com/citation-style-language/schema/raw/master/csl-citation.json"} </w:instrText>
      </w:r>
      <w:r w:rsidR="00B67A43">
        <w:rPr>
          <w:rFonts w:ascii="Times New Roman" w:hAnsi="Times New Roman" w:cs="Times New Roman"/>
          <w:bCs/>
          <w:iCs/>
          <w:kern w:val="28"/>
          <w:sz w:val="24"/>
          <w:szCs w:val="24"/>
          <w:lang w:val="en-US"/>
        </w:rPr>
        <w:fldChar w:fldCharType="separate"/>
      </w:r>
      <w:r w:rsidR="00B67A43" w:rsidRPr="00B67A43">
        <w:rPr>
          <w:rFonts w:ascii="Times New Roman" w:hAnsi="Times New Roman" w:cs="Times New Roman"/>
          <w:sz w:val="24"/>
          <w:lang w:val="en-US"/>
        </w:rPr>
        <w:t>(Tang et al., 2013)</w:t>
      </w:r>
      <w:r w:rsidR="00B67A43">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w:t>
      </w:r>
    </w:p>
    <w:p w14:paraId="582348A8" w14:textId="77777777" w:rsidR="00FF6AE7" w:rsidRPr="00654368" w:rsidRDefault="00FF6AE7" w:rsidP="00FF6AE7">
      <w:pPr>
        <w:spacing w:line="360" w:lineRule="auto"/>
        <w:jc w:val="both"/>
        <w:rPr>
          <w:rFonts w:ascii="Times New Roman" w:hAnsi="Times New Roman" w:cs="Times New Roman"/>
          <w:bCs/>
          <w:iCs/>
          <w:kern w:val="28"/>
          <w:sz w:val="24"/>
          <w:szCs w:val="24"/>
          <w:lang w:val="en-US"/>
        </w:rPr>
      </w:pPr>
    </w:p>
    <w:p w14:paraId="66B42C23" w14:textId="6B6D7123" w:rsidR="00AA35C5" w:rsidRPr="00AA35C5" w:rsidRDefault="00AA35C5" w:rsidP="00FF6AE7">
      <w:pPr>
        <w:spacing w:line="360" w:lineRule="auto"/>
        <w:jc w:val="both"/>
        <w:rPr>
          <w:rFonts w:ascii="Times New Roman" w:hAnsi="Times New Roman" w:cs="Times New Roman"/>
          <w:bCs/>
          <w:iCs/>
          <w:kern w:val="28"/>
          <w:sz w:val="24"/>
          <w:szCs w:val="24"/>
          <w:lang w:val="en-US"/>
        </w:rPr>
      </w:pPr>
      <w:r w:rsidRPr="00AA35C5">
        <w:rPr>
          <w:rFonts w:ascii="Times New Roman" w:hAnsi="Times New Roman" w:cs="Times New Roman"/>
          <w:bCs/>
          <w:iCs/>
          <w:kern w:val="28"/>
          <w:sz w:val="24"/>
          <w:szCs w:val="24"/>
          <w:lang w:val="en-US"/>
        </w:rPr>
        <w:t xml:space="preserve">Glyceric acid (GA) is a precursor of serine, an amino acid essential for neuronal metabolism, including protein and nucleotide synthesis, neurotransmitter synthesis and lipids </w:t>
      </w:r>
      <w:r w:rsidR="00B67A43">
        <w:rPr>
          <w:rFonts w:ascii="Times New Roman" w:hAnsi="Times New Roman" w:cs="Times New Roman"/>
          <w:bCs/>
          <w:iCs/>
          <w:kern w:val="28"/>
          <w:sz w:val="24"/>
          <w:szCs w:val="24"/>
          <w:lang w:val="en-US"/>
        </w:rPr>
        <w:fldChar w:fldCharType="begin"/>
      </w:r>
      <w:r w:rsidR="00B67A43">
        <w:rPr>
          <w:rFonts w:ascii="Times New Roman" w:hAnsi="Times New Roman" w:cs="Times New Roman"/>
          <w:bCs/>
          <w:iCs/>
          <w:kern w:val="28"/>
          <w:sz w:val="24"/>
          <w:szCs w:val="24"/>
          <w:lang w:val="en-US"/>
        </w:rPr>
        <w:instrText xml:space="preserve"> ADDIN ZOTERO_ITEM CSL_CITATION {"citationID":"9y8hir8k","properties":{"formattedCitation":"(Tabatabaie et al., 2010)","plainCitation":"(Tabatabaie et al., 2010)","noteIndex":0},"citationItems":[{"id":250,"uris":["http://zotero.org/users/5866986/items/B58HDCLA"],"uri":["http://zotero.org/users/5866986/items/B58HDCLA"],"itemData":{"id":250,"type":"article-journal","container-title":"Molecular Genetics and Metabolism","DOI":"10.1016/j.ymgme.2009.10.012","ISSN":"10967192","issue":"3","journalAbbreviation":"Molecular Genetics and Metabolism","language":"en","page":"256-262","source":"DOI.org (Crossref)","title":"l-Serine synthesis in the central nervous system: A review on serine deficiency disorders","title-short":"l-Serine synthesis in the central nervous system","volume":"99","author":[{"family":"Tabatabaie","given":"L."},{"family":"Klomp","given":"L.W."},{"family":"Berger","given":"R."},{"family":"Koning","given":"T.J.","non-dropping-particle":"de"}],"issued":{"date-parts":[["2010",3]]}}}],"schema":"https://github.com/citation-style-language/schema/raw/master/csl-citation.json"} </w:instrText>
      </w:r>
      <w:r w:rsidR="00B67A43">
        <w:rPr>
          <w:rFonts w:ascii="Times New Roman" w:hAnsi="Times New Roman" w:cs="Times New Roman"/>
          <w:bCs/>
          <w:iCs/>
          <w:kern w:val="28"/>
          <w:sz w:val="24"/>
          <w:szCs w:val="24"/>
          <w:lang w:val="en-US"/>
        </w:rPr>
        <w:fldChar w:fldCharType="separate"/>
      </w:r>
      <w:r w:rsidR="00B67A43" w:rsidRPr="007A13BC">
        <w:rPr>
          <w:rFonts w:ascii="Times New Roman" w:hAnsi="Times New Roman" w:cs="Times New Roman"/>
          <w:sz w:val="24"/>
          <w:lang w:val="en-US"/>
        </w:rPr>
        <w:t>(Tabatabaie et al., 2010)</w:t>
      </w:r>
      <w:r w:rsidR="00B67A43">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xml:space="preserve">. </w:t>
      </w:r>
      <w:r w:rsidR="00EB377F">
        <w:rPr>
          <w:rFonts w:ascii="Times New Roman" w:hAnsi="Times New Roman" w:cs="Times New Roman"/>
          <w:bCs/>
          <w:iCs/>
          <w:kern w:val="28"/>
          <w:sz w:val="24"/>
          <w:szCs w:val="24"/>
          <w:lang w:val="en-US"/>
        </w:rPr>
        <w:t>A</w:t>
      </w:r>
      <w:r w:rsidRPr="00AA35C5">
        <w:rPr>
          <w:rFonts w:ascii="Times New Roman" w:hAnsi="Times New Roman" w:cs="Times New Roman"/>
          <w:bCs/>
          <w:iCs/>
          <w:kern w:val="28"/>
          <w:sz w:val="24"/>
          <w:szCs w:val="24"/>
          <w:lang w:val="en-US"/>
        </w:rPr>
        <w:t xml:space="preserve"> deficiency of D-glycerate 2 kinase, an enzyme responsible for GA phosphorylation, has been associated with severe infantile epileptic encephalopathy as a result of D-glyceric acidemia </w:t>
      </w:r>
      <w:r w:rsidR="007A13BC">
        <w:rPr>
          <w:rFonts w:ascii="Times New Roman" w:hAnsi="Times New Roman" w:cs="Times New Roman"/>
          <w:bCs/>
          <w:iCs/>
          <w:kern w:val="28"/>
          <w:sz w:val="24"/>
          <w:szCs w:val="24"/>
          <w:lang w:val="en-US"/>
        </w:rPr>
        <w:fldChar w:fldCharType="begin"/>
      </w:r>
      <w:r w:rsidR="007A13BC">
        <w:rPr>
          <w:rFonts w:ascii="Times New Roman" w:hAnsi="Times New Roman" w:cs="Times New Roman"/>
          <w:bCs/>
          <w:iCs/>
          <w:kern w:val="28"/>
          <w:sz w:val="24"/>
          <w:szCs w:val="24"/>
          <w:lang w:val="en-US"/>
        </w:rPr>
        <w:instrText xml:space="preserve"> ADDIN ZOTERO_ITEM CSL_CITATION {"citationID":"S2gMaHRu","properties":{"formattedCitation":"(Zehavi et al., 2019)","plainCitation":"(Zehavi et al., 2019)","noteIndex":0},"citationItems":[{"id":251,"uris":["http://zotero.org/users/5866986/items/BAIXTF84"],"uri":["http://zotero.org/users/5866986/items/BAIXTF84"],"itemData":{"id":251,"type":"article-journal","abstract":"D-glycerate 2 kinase (DGK) is an enzyme that mediates the conversion of D-glycerate, an intermediate metabolite of serine and fructose metabolism, to 2-phosphoglycerate. Deficiency of DGK leads to accumulation of D-glycerate in various tissues and its massive excretion in urine. D-glyceric aciduria (DGA) is an autosomal recessive metabolic disorder caused by mutations in the GLYCTK gene. The clinical spectrum of DGA is highly variable, ranging from severe progressive infantile encephalopathy to a practically asymptomatic condition. We describe a male patient from a consanguineous Arab family with infantile onset of DGA, characterized by profound psychomotor retardation, progressive microcephaly, intractable seizures, cortical blindness and deafness. Consecutive brain MR imaging showed an evolving brain atrophy, thinning of the corpus callosum and diffuse abnormal white matter signals. Whole exome sequencing identified the homozygous missense variant in the GLYCTK gene [c.455 T &gt; C, NM_145262.3], which affected a highly conserved leucine residue located at a domain of yet unknown function of the enzyme [p.Leu152Pro, NP_660305]. In silico analysis of the variant supported its pathogenicity. A review of the 15 previously reported patients, together with the current one, confirms a clear association between DGA and severe neurological impairment. Yet, future studies of additional patients with DGA are required to better understand the clinical phenotype and pathogenesis.","container-title":"Metabolic Brain Disease","DOI":"10.1007/s11011-019-0384-x","ISSN":"1573-7365","issue":"2","journalAbbreviation":"Metab Brain Dis","language":"eng","note":"PMID: 30637540","page":"557-563","source":"PubMed","title":"Severe infantile epileptic encephalopathy associated with D-glyceric aciduria: report of a novel case and review","title-short":"Severe infantile epileptic encephalopathy associated with D-glyceric aciduria","volume":"34","author":[{"family":"Zehavi","given":"Yoav"},{"family":"Mandel","given":"Hanna"},{"family":"Eran","given":"Ayelet"},{"family":"Ravid","given":"Sarit"},{"family":"Abu Rashid","given":"Muhammad"},{"family":"Jansen","given":"Erwin E. W."},{"family":"Wamelink","given":"Mirjam M. C."},{"family":"Saada","given":"Ann"},{"family":"Shaag","given":"Avraham"},{"family":"Elpeleg","given":"Orly"},{"family":"Spiegel","given":"Ronen"}],"issued":{"date-parts":[["2019"]]}}}],"schema":"https://github.com/citation-style-language/schema/raw/master/csl-citation.json"} </w:instrText>
      </w:r>
      <w:r w:rsidR="007A13BC">
        <w:rPr>
          <w:rFonts w:ascii="Times New Roman" w:hAnsi="Times New Roman" w:cs="Times New Roman"/>
          <w:bCs/>
          <w:iCs/>
          <w:kern w:val="28"/>
          <w:sz w:val="24"/>
          <w:szCs w:val="24"/>
          <w:lang w:val="en-US"/>
        </w:rPr>
        <w:fldChar w:fldCharType="separate"/>
      </w:r>
      <w:r w:rsidR="007A13BC" w:rsidRPr="005D0B00">
        <w:rPr>
          <w:rFonts w:ascii="Times New Roman" w:hAnsi="Times New Roman" w:cs="Times New Roman"/>
          <w:sz w:val="24"/>
          <w:lang w:val="en-US"/>
        </w:rPr>
        <w:t>(Zehavi et al., 2019)</w:t>
      </w:r>
      <w:r w:rsidR="007A13BC">
        <w:rPr>
          <w:rFonts w:ascii="Times New Roman" w:hAnsi="Times New Roman" w:cs="Times New Roman"/>
          <w:bCs/>
          <w:iCs/>
          <w:kern w:val="28"/>
          <w:sz w:val="24"/>
          <w:szCs w:val="24"/>
          <w:lang w:val="en-US"/>
        </w:rPr>
        <w:fldChar w:fldCharType="end"/>
      </w:r>
      <w:r w:rsidRPr="00AA35C5">
        <w:rPr>
          <w:rFonts w:ascii="Times New Roman" w:hAnsi="Times New Roman" w:cs="Times New Roman"/>
          <w:bCs/>
          <w:iCs/>
          <w:kern w:val="28"/>
          <w:sz w:val="24"/>
          <w:szCs w:val="24"/>
          <w:lang w:val="en-US"/>
        </w:rPr>
        <w:t>. Additionally, some of GA’s phosphate derivatives (e.g., 2-phosphoglyceric acid, 3-phosphoglyceric acid, 2,3-bisphosphoglyceric acid, and 1,3-bisphosphoglyceric acid) are involved in glycolysis either directly or as regulatory molecules.</w:t>
      </w:r>
    </w:p>
    <w:p w14:paraId="366CCF27" w14:textId="77777777" w:rsidR="000C2F0D" w:rsidRPr="0021744E" w:rsidRDefault="000C2F0D" w:rsidP="008F6807">
      <w:pPr>
        <w:pStyle w:val="NormalWeb"/>
        <w:spacing w:line="360" w:lineRule="auto"/>
        <w:jc w:val="both"/>
        <w:rPr>
          <w:bCs/>
          <w:iCs/>
          <w:kern w:val="28"/>
        </w:rPr>
      </w:pPr>
      <w:r w:rsidRPr="0021744E">
        <w:rPr>
          <w:bCs/>
          <w:iCs/>
          <w:kern w:val="28"/>
        </w:rPr>
        <w:t xml:space="preserve">      </w:t>
      </w:r>
    </w:p>
    <w:p w14:paraId="6BBD0A74" w14:textId="327D227D" w:rsidR="009C387F" w:rsidRDefault="00AA35C5" w:rsidP="008F6807">
      <w:pPr>
        <w:pStyle w:val="NormalWeb"/>
        <w:spacing w:line="360" w:lineRule="auto"/>
        <w:jc w:val="both"/>
        <w:rPr>
          <w:bCs/>
          <w:iCs/>
          <w:kern w:val="28"/>
        </w:rPr>
      </w:pPr>
      <w:r w:rsidRPr="00AA35C5">
        <w:rPr>
          <w:bCs/>
          <w:iCs/>
          <w:kern w:val="28"/>
        </w:rPr>
        <w:t xml:space="preserve">Much like MA, citric acid (CA) is involved in CAC and, therefore, energy generation in cells. CAC substrates have been shown to prevent death of ischemic neurons and astrocytes </w:t>
      </w:r>
      <w:r w:rsidR="007A13BC">
        <w:rPr>
          <w:bCs/>
          <w:iCs/>
          <w:kern w:val="28"/>
        </w:rPr>
        <w:fldChar w:fldCharType="begin"/>
      </w:r>
      <w:r w:rsidR="007A13BC">
        <w:rPr>
          <w:bCs/>
          <w:iCs/>
          <w:kern w:val="28"/>
        </w:rPr>
        <w:instrText xml:space="preserve"> ADDIN ZOTERO_ITEM CSL_CITATION {"citationID":"gpy62MhD","properties":{"formattedCitation":"(Ying et al., 2002)","plainCitation":"(Ying et al., 2002)","noteIndex":0},"citationItems":[{"id":253,"uris":["http://zotero.org/users/5866986/items/3J2HYM92"],"uri":["http://zotero.org/users/5866986/items/3J2HYM92"],"itemData":{"id":253,"type":"article-journal","abstract":"The DNA repair enzyme, poly(ADP-ribose) polymerase-1 (PARP1), contributes to cell death during ischemia/reperfusion when extensively activated by DNA damage. The cell death resulting from PARP1 activation is linked to NAD+ depletion and energy failure, but the intervening steps are not well understood. Because glycolysis requires cytosolic NAD+, the authors tested whether PARP1 activation impairs glycolytic flux and whether substrates that bypass glycolysis can rescue cells after PARP1 activation. PARP1 was activated in mouse cortical astrocyte and astrocyte-neuron cocultures with the DNA alkylating agent, N-methyl-N'-nitro-N-nitrosoguanidine (MNNG). Studies using the 2-deoxyglucose method confirmed that glycolytic flux was reduced by more than 90% in MNNG-treated cultures. The addition of 5 mmol/L of alpha-ketoglutarate, 5 mmol/L pyruvate, or other mitochondrial substrates to the cultures after MNNG treatment reduced cell death from approximately 70% to near basal levels, while PARP inhibitors and excess glucose had negligible effects. The mitochondrial substrates significantly reduced cell death, with delivery delayed up to 2 hours after MNNG washout. The findings suggest that impaired glycolytic flux is an important factor contributing to PARP1-mediated cell death. Delivery of alternative substrates may be a promising strategy for delayed treatment of PARP1-mediated cell death in ischemia and other disorders.","container-title":"Journal of Cerebral Blood Flow and Metabolism: Official Journal of the International Society of Cerebral Blood Flow and Metabolism","DOI":"10.1097/00004647-200207000-00002","ISSN":"0271-678X","issue":"7","journalAbbreviation":"J Cereb Blood Flow Metab","language":"eng","note":"PMID: 12142562","page":"774-779","source":"PubMed","title":"Tricarboxylic acid cycle substrates prevent PARP-mediated death of neurons and astrocytes","volume":"22","author":[{"family":"Ying","given":"Weihai"},{"family":"Chen","given":"Yongmei"},{"family":"Alano","given":"Conrad C."},{"family":"Swanson","given":"Raymond A."}],"issued":{"date-parts":[["2002",7]]}}}],"schema":"https://github.com/citation-style-language/schema/raw/master/csl-citation.json"} </w:instrText>
      </w:r>
      <w:r w:rsidR="007A13BC">
        <w:rPr>
          <w:bCs/>
          <w:iCs/>
          <w:kern w:val="28"/>
        </w:rPr>
        <w:fldChar w:fldCharType="separate"/>
      </w:r>
      <w:r w:rsidR="007A13BC" w:rsidRPr="007A13BC">
        <w:t>(Ying et al., 2002)</w:t>
      </w:r>
      <w:r w:rsidR="007A13BC">
        <w:rPr>
          <w:bCs/>
          <w:iCs/>
          <w:kern w:val="28"/>
        </w:rPr>
        <w:fldChar w:fldCharType="end"/>
      </w:r>
      <w:r w:rsidRPr="00AA35C5">
        <w:rPr>
          <w:bCs/>
          <w:iCs/>
          <w:kern w:val="28"/>
        </w:rPr>
        <w:t xml:space="preserve">. Further studies by Abdel-Salam et al. have demonstrated CA’s neuroprotective effects in models of oxidative stress </w:t>
      </w:r>
      <w:r w:rsidR="007A13BC">
        <w:rPr>
          <w:bCs/>
          <w:iCs/>
          <w:kern w:val="28"/>
        </w:rPr>
        <w:fldChar w:fldCharType="begin"/>
      </w:r>
      <w:r w:rsidR="007A13BC">
        <w:rPr>
          <w:bCs/>
          <w:iCs/>
          <w:kern w:val="28"/>
        </w:rPr>
        <w:instrText xml:space="preserve"> ADDIN ZOTERO_ITEM CSL_CITATION {"citationID":"vqo8rT2w","properties":{"formattedCitation":"(Abdel-Salam et al., 2014)","plainCitation":"(Abdel-Salam et al., 2014)","noteIndex":0},"citationItems":[{"id":255,"uris":["http://zotero.org/users/5866986/items/CN3U3KUY"],"uri":["http://zotero.org/users/5866986/items/CN3U3KUY"],"itemData":{"id":255,"type":"article-journal","abstract":"Citric acid is a weak organic acid found in the greatest amounts in citrus fruits. This study examined the effect of citric acid on endotoxin-induced oxidative stress of the brain and liver. Mice were challenged with a single intraperitoneal dose of lipopolysaccharide (LPS; 200 μg/kg). Citric acid was given orally at 1, 2, or 4 g/kg at time of endotoxin injection and mice were euthanized 4 h later. LPS induced oxidative stress in the brain and liver tissue, resulting in marked increase in lipid peroxidation (malondialdehyde [MDA]) and nitrite, while significantly decreasing reduced glutathione, glutathione peroxidase (GPx), and paraoxonase 1 (PON1) activity. Tumor necrosis factor-alpha (TNF-α) showed a pronounced increase in brain tissue after endotoxin injection. The administration of citric acid (1-2 g/kg) attenuated LPS-induced elevations in brain MDA, nitrite, TNF-α, GPx, and PON1 activity. In the liver, nitrite was decreased by 1 g/kg citric acid. GPx activity was increased, while PON1 activity was decreased by citric acid. The LPS-induced liver injury, DNA fragmentation, serum transaminase elevations, caspase-3, and inducible nitric oxide synthase expression were attenuated by 1-2 g/kg citric acid. DNA fragmentation, however, increased after 4 g/kg citric acid. Thus in this model of systemic inflammation, citric acid (1-2 g/kg) decreased brain lipid peroxidation and inflammation, liver damage, and DNA fragmentation.","container-title":"Journal of Medicinal Food","DOI":"10.1089/jmf.2013.0065","ISSN":"1557-7600","issue":"5","journalAbbreviation":"J Med Food","language":"eng","note":"PMID: 24433072\nPMCID: PMC4026104","page":"588-598","source":"PubMed","title":"Citric acid effects on brain and liver oxidative stress in lipopolysaccharide-treated mice","volume":"17","author":[{"family":"Abdel-Salam","given":"Omar M. E."},{"family":"Youness","given":"Eman R."},{"family":"Mohammed","given":"Nadia A."},{"family":"Morsy","given":"Safaa M. Youssef"},{"family":"Omara","given":"Enayat A."},{"family":"Sleem","given":"Amany A."}],"issued":{"date-parts":[["2014",5]]}}}],"schema":"https://github.com/citation-style-language/schema/raw/master/csl-citation.json"} </w:instrText>
      </w:r>
      <w:r w:rsidR="007A13BC">
        <w:rPr>
          <w:bCs/>
          <w:iCs/>
          <w:kern w:val="28"/>
        </w:rPr>
        <w:fldChar w:fldCharType="separate"/>
      </w:r>
      <w:r w:rsidR="007A13BC" w:rsidRPr="007A13BC">
        <w:t>(Abdel-Salam et al., 2014)</w:t>
      </w:r>
      <w:r w:rsidR="007A13BC">
        <w:rPr>
          <w:bCs/>
          <w:iCs/>
          <w:kern w:val="28"/>
        </w:rPr>
        <w:fldChar w:fldCharType="end"/>
      </w:r>
      <w:r w:rsidRPr="00AA35C5">
        <w:rPr>
          <w:bCs/>
          <w:iCs/>
          <w:kern w:val="28"/>
        </w:rPr>
        <w:t xml:space="preserve"> and malathion intoxication </w:t>
      </w:r>
      <w:r w:rsidR="004F7F62">
        <w:rPr>
          <w:bCs/>
          <w:iCs/>
          <w:kern w:val="28"/>
        </w:rPr>
        <w:fldChar w:fldCharType="begin"/>
      </w:r>
      <w:r w:rsidR="004F7F62">
        <w:rPr>
          <w:bCs/>
          <w:iCs/>
          <w:kern w:val="28"/>
        </w:rPr>
        <w:instrText xml:space="preserve"> ADDIN ZOTERO_ITEM CSL_CITATION {"citationID":"5YoSAydV","properties":{"formattedCitation":"(Abdel-Salam et al., 2014)","plainCitation":"(Abdel-Salam et al., 2014)","noteIndex":0},"citationItems":[{"id":255,"uris":["http://zotero.org/users/5866986/items/CN3U3KUY"],"uri":["http://zotero.org/users/5866986/items/CN3U3KUY"],"itemData":{"id":255,"type":"article-journal","abstract":"Citric acid is a weak organic acid found in the greatest amounts in citrus fruits. This study examined the effect of citric acid on endotoxin-induced oxidative stress of the brain and liver. Mice were challenged with a single intraperitoneal dose of lipopolysaccharide (LPS; 200 μg/kg). Citric acid was given orally at 1, 2, or 4 g/kg at time of endotoxin injection and mice were euthanized 4 h later. LPS induced oxidative stress in the brain and liver tissue, resulting in marked increase in lipid peroxidation (malondialdehyde [MDA]) and nitrite, while significantly decreasing reduced glutathione, glutathione peroxidase (GPx), and paraoxonase 1 (PON1) activity. Tumor necrosis factor-alpha (TNF-α) showed a pronounced increase in brain tissue after endotoxin injection. The administration of citric acid (1-2 g/kg) attenuated LPS-induced elevations in brain MDA, nitrite, TNF-α, GPx, and PON1 activity. In the liver, nitrite was decreased by 1 g/kg citric acid. GPx activity was increased, while PON1 activity was decreased by citric acid. The LPS-induced liver injury, DNA fragmentation, serum transaminase elevations, caspase-3, and inducible nitric oxide synthase expression were attenuated by 1-2 g/kg citric acid. DNA fragmentation, however, increased after 4 g/kg citric acid. Thus in this model of systemic inflammation, citric acid (1-2 g/kg) decreased brain lipid peroxidation and inflammation, liver damage, and DNA fragmentation.","container-title":"Journal of Medicinal Food","DOI":"10.1089/jmf.2013.0065","ISSN":"1557-7600","issue":"5","journalAbbreviation":"J Med Food","language":"eng","note":"PMID: 24433072\nPMCID: PMC4026104","page":"588-598","source":"PubMed","title":"Citric acid effects on brain and liver oxidative stress in lipopolysaccharide-treated mice","volume":"17","author":[{"family":"Abdel-Salam","given":"Omar M. E."},{"family":"Youness","given":"Eman R."},{"family":"Mohammed","given":"Nadia A."},{"family":"Morsy","given":"Safaa M. Youssef"},{"family":"Omara","given":"Enayat A."},{"family":"Sleem","given":"Amany A."}],"issued":{"date-parts":[["2014",5]]}}}],"schema":"https://github.com/citation-style-language/schema/raw/master/csl-citation.json"} </w:instrText>
      </w:r>
      <w:r w:rsidR="004F7F62">
        <w:rPr>
          <w:bCs/>
          <w:iCs/>
          <w:kern w:val="28"/>
        </w:rPr>
        <w:fldChar w:fldCharType="separate"/>
      </w:r>
      <w:r w:rsidR="004F7F62" w:rsidRPr="004F7F62">
        <w:t>(Abdel-Salam et al., 2014)</w:t>
      </w:r>
      <w:r w:rsidR="004F7F62">
        <w:rPr>
          <w:bCs/>
          <w:iCs/>
          <w:kern w:val="28"/>
        </w:rPr>
        <w:fldChar w:fldCharType="end"/>
      </w:r>
      <w:r w:rsidRPr="00AA35C5">
        <w:rPr>
          <w:bCs/>
          <w:iCs/>
          <w:kern w:val="28"/>
        </w:rPr>
        <w:t>. It is hypothesized that the underlying CA’s activities rely on the same mechanism that those of MA’s, following the logic of them both being involved in CAC.</w:t>
      </w:r>
      <w:r w:rsidR="009C387F">
        <w:rPr>
          <w:bCs/>
          <w:iCs/>
          <w:kern w:val="28"/>
        </w:rPr>
        <w:t xml:space="preserve"> The </w:t>
      </w:r>
      <w:proofErr w:type="gramStart"/>
      <w:r w:rsidR="009C387F">
        <w:rPr>
          <w:bCs/>
          <w:iCs/>
          <w:kern w:val="28"/>
        </w:rPr>
        <w:t xml:space="preserve">summary of main </w:t>
      </w:r>
      <w:r w:rsidR="009C387F" w:rsidRPr="009C387F">
        <w:rPr>
          <w:bCs/>
          <w:iCs/>
          <w:kern w:val="28"/>
        </w:rPr>
        <w:t>Functions of SHC chemical ingredients in human physiology are</w:t>
      </w:r>
      <w:proofErr w:type="gramEnd"/>
      <w:r w:rsidR="009C387F" w:rsidRPr="009C387F">
        <w:rPr>
          <w:bCs/>
          <w:iCs/>
          <w:kern w:val="28"/>
        </w:rPr>
        <w:t xml:space="preserve"> presented in </w:t>
      </w:r>
      <w:r w:rsidR="009C387F">
        <w:rPr>
          <w:bCs/>
          <w:iCs/>
          <w:kern w:val="28"/>
        </w:rPr>
        <w:t xml:space="preserve">a </w:t>
      </w:r>
      <w:r w:rsidR="009C387F" w:rsidRPr="00796175">
        <w:rPr>
          <w:bCs/>
          <w:iCs/>
          <w:kern w:val="28"/>
        </w:rPr>
        <w:t xml:space="preserve">Table </w:t>
      </w:r>
      <w:r w:rsidR="00EF0629" w:rsidRPr="00796175">
        <w:rPr>
          <w:bCs/>
          <w:iCs/>
          <w:kern w:val="28"/>
        </w:rPr>
        <w:t>3</w:t>
      </w:r>
      <w:r w:rsidR="00796175" w:rsidRPr="00796175">
        <w:rPr>
          <w:bCs/>
          <w:iCs/>
          <w:kern w:val="28"/>
        </w:rPr>
        <w:t xml:space="preserve"> of the main text</w:t>
      </w:r>
      <w:r w:rsidR="009C387F" w:rsidRPr="00305C3D">
        <w:rPr>
          <w:bCs/>
          <w:iCs/>
          <w:kern w:val="28"/>
        </w:rPr>
        <w:t>.</w:t>
      </w:r>
    </w:p>
    <w:p w14:paraId="30684CF4" w14:textId="77777777" w:rsidR="00995323" w:rsidRDefault="00995323" w:rsidP="008F6807">
      <w:pPr>
        <w:pStyle w:val="NormalWeb"/>
        <w:spacing w:line="360" w:lineRule="auto"/>
        <w:jc w:val="both"/>
        <w:rPr>
          <w:bCs/>
          <w:iCs/>
          <w:kern w:val="28"/>
        </w:rPr>
      </w:pPr>
    </w:p>
    <w:p w14:paraId="30A73CC1" w14:textId="6064F749" w:rsidR="00F54A7A" w:rsidRPr="00170F61" w:rsidRDefault="005D4D54" w:rsidP="008F6807">
      <w:pPr>
        <w:spacing w:after="75" w:line="360" w:lineRule="auto"/>
        <w:rPr>
          <w:rFonts w:ascii="Times New Roman" w:hAnsi="Times New Roman" w:cs="Times New Roman"/>
          <w:b/>
          <w:bCs/>
          <w:kern w:val="28"/>
          <w:sz w:val="24"/>
          <w:szCs w:val="24"/>
          <w:lang w:val="en-US"/>
        </w:rPr>
      </w:pPr>
      <w:r w:rsidRPr="00170F61">
        <w:rPr>
          <w:rFonts w:ascii="Times New Roman" w:hAnsi="Times New Roman" w:cs="Times New Roman"/>
          <w:b/>
          <w:bCs/>
          <w:kern w:val="28"/>
          <w:sz w:val="24"/>
          <w:szCs w:val="24"/>
          <w:lang w:val="en-US"/>
        </w:rPr>
        <w:lastRenderedPageBreak/>
        <w:t>Reference list</w:t>
      </w:r>
    </w:p>
    <w:p w14:paraId="253634FA"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eastAsia="Times New Roman" w:hAnsi="Times New Roman" w:cs="Times New Roman"/>
          <w:sz w:val="24"/>
          <w:szCs w:val="24"/>
          <w:lang w:val="de-DE"/>
        </w:rPr>
        <w:fldChar w:fldCharType="begin"/>
      </w:r>
      <w:r w:rsidRPr="00170F61">
        <w:rPr>
          <w:rFonts w:ascii="Times New Roman" w:eastAsia="Times New Roman" w:hAnsi="Times New Roman" w:cs="Times New Roman"/>
          <w:sz w:val="24"/>
          <w:szCs w:val="24"/>
          <w:lang w:val="en-US"/>
        </w:rPr>
        <w:instrText xml:space="preserve"> ADDIN ZOTERO_BIBL {"uncited":[],"omitted":[],"custom":[]} CSL_BIBLIOGRAPHY </w:instrText>
      </w:r>
      <w:r w:rsidRPr="004F7F62">
        <w:rPr>
          <w:rFonts w:ascii="Times New Roman" w:eastAsia="Times New Roman" w:hAnsi="Times New Roman" w:cs="Times New Roman"/>
          <w:sz w:val="24"/>
          <w:szCs w:val="24"/>
          <w:lang w:val="de-DE"/>
        </w:rPr>
        <w:fldChar w:fldCharType="separate"/>
      </w:r>
      <w:r w:rsidRPr="004F7F62">
        <w:rPr>
          <w:rFonts w:ascii="Times New Roman" w:hAnsi="Times New Roman" w:cs="Times New Roman"/>
          <w:sz w:val="24"/>
          <w:szCs w:val="18"/>
          <w:lang w:val="en-US"/>
        </w:rPr>
        <w:t>Abdel-Salam, O.M.E., Youness, E.R., Mohammed, N.A., Morsy, S.M.Y., Omara, E.A., Sleem, A.A., 2014. Citric acid effects on brain and liver oxidative stress in lipopolysaccharide-treated mice. J Med Food 17, 588–598. https://doi.org/10.1089/jmf.2013.0065</w:t>
      </w:r>
    </w:p>
    <w:p w14:paraId="2B9B199D"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Abrams, S.A., Griffin, I.J., Davila, P.M., 2002. Calcium and zinc absorption from lactose-containing and lactose-free infant formulas. Am J Clin Nutr 76, 442–446. https://doi.org/10.1093/ajcn/76.2.442</w:t>
      </w:r>
    </w:p>
    <w:p w14:paraId="783257C0"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Bendahan, D., Mattei, J.P., Ghattas, B., Confort-Gouny, S., Le Guern, M.E., Cozzone, P.J., 2002. Citrulline/malate promotes aerobic energy production in human exercising muscle. Br J Sports Med 36, 282–289. https://doi.org/10.1136/bjsm.36.4.282</w:t>
      </w:r>
    </w:p>
    <w:p w14:paraId="3E5D5809"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Costa-Nunes, J.P., Gorlova, A., Pavlov, D., Cespuglio, R., Gorovaya, A., Proshin, A., Umriukhin, A., Ponomarev, E.D., Kalueff, A.V., Strekalova, T., Schroeter, C.A., 2020. Ultrasound stress compromises the correlates of emotional-like states and brain AMPAR expression in mice: effects of antioxidant and anti-inflammatory herbal treatment. Stress 23, 481–495. https://doi.org/10.1080/10253890.2019.1709435</w:t>
      </w:r>
    </w:p>
    <w:p w14:paraId="1E0731B4"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Dunaev, V.V., Tishkin, V.S., Milonova, N.P., Belaĭ, I.M., Makarenko, A.N., 1988. [Effect of malic acid salts on physical work capacity and its recovery after exhausting muscular activity]. Farmakol Toksikol 51, 21–25.</w:t>
      </w:r>
    </w:p>
    <w:p w14:paraId="150A9777"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Galmarini, C.M., Mackey, J.R., Dumontet, C., 2002. Nucleoside analogues and nucleobases in cancer treatment. Lancet Oncol 3, 415–424. https://doi.org/10.1016/s1470-2045(02)00788-x</w:t>
      </w:r>
    </w:p>
    <w:p w14:paraId="5261783C"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Gorlova, A., Pavlov, D., Anthony, D.C., Ponomarev, E.D., Sambon, M., Proshin, A., Shafarevich, I., Babaevskaya, D., Les</w:t>
      </w:r>
      <w:r w:rsidRPr="004F7F62">
        <w:rPr>
          <w:rFonts w:ascii="Times New Roman" w:hAnsi="Times New Roman" w:cs="Times New Roman"/>
          <w:sz w:val="24"/>
          <w:szCs w:val="18"/>
        </w:rPr>
        <w:t>с</w:t>
      </w:r>
      <w:r w:rsidRPr="004F7F62">
        <w:rPr>
          <w:rFonts w:ascii="Times New Roman" w:hAnsi="Times New Roman" w:cs="Times New Roman"/>
          <w:sz w:val="24"/>
          <w:szCs w:val="18"/>
          <w:lang w:val="en-US"/>
        </w:rPr>
        <w:t>h, K.-P., Bettendorff, L., Strekalova, T., 2019. Thiamine and benfotiamine counteract ultrasound-induced aggression, normalize AMPA receptor expression and plasticity markers, and reduce oxidative stress in mice. Neuropharmacology 156, 107543. https://doi.org/10.1016/j.neuropharm.2019.02.025</w:t>
      </w:r>
    </w:p>
    <w:p w14:paraId="004E84FF"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López-Yoldi, M., Castilla-Madrigal, R., Lostao, M.P., Barber, A., Prieto, J., Martínez, J.A., Bustos, M., Moreno-Aliaga, M.J., 2016. Cardiotrophin-1 decreases intestinal sugar uptake in mice and in Caco-2 cells. Acta Physiol (Oxf) 217, 217–226. https://doi.org/10.1111/apha.12674</w:t>
      </w:r>
    </w:p>
    <w:p w14:paraId="5F50CD07"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Malatynska, E., Steinbusch, H.W.M., Redkozubova, O., Bolkunov, A., Kubatiev, A., Yeritsyan, N.B., Vignisse, J., Bachurin, S., Strekalova, T., 2012. Anhedonic-like traits and lack of affective deficits in 18-month-old C57BL/6 mice: Implications for modeling elderly depression. Exp Gerontol 47, 552–564. https://doi.org/10.1016/j.exger.2012.04.010</w:t>
      </w:r>
    </w:p>
    <w:p w14:paraId="39D66DB2"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Malik, V.S., Hu, F.B., 2015. Fructose and Cardiometabolic Health: What the Evidence From Sugar-Sweetened Beverages Tells Us. J Am Coll Cardiol 66, 1615–1624. https://doi.org/10.1016/j.jacc.2015.08.025</w:t>
      </w:r>
    </w:p>
    <w:p w14:paraId="723B19F5"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Mayes, P.A., 1993. Intermediary metabolism of fructose. Am J Clin Nutr 58, 754S-765S. https://doi.org/10.1093/ajcn/58.5.754S</w:t>
      </w:r>
    </w:p>
    <w:p w14:paraId="605FB31B" w14:textId="77777777" w:rsidR="004F7F62" w:rsidRPr="004F7F62" w:rsidRDefault="004F7F62" w:rsidP="00071445">
      <w:pPr>
        <w:pStyle w:val="Bibliography"/>
        <w:jc w:val="both"/>
        <w:rPr>
          <w:rFonts w:ascii="Times New Roman" w:hAnsi="Times New Roman" w:cs="Times New Roman"/>
          <w:sz w:val="24"/>
          <w:szCs w:val="18"/>
          <w:lang w:val="en-US"/>
        </w:rPr>
      </w:pPr>
      <w:r w:rsidRPr="00170F61">
        <w:rPr>
          <w:rFonts w:ascii="Times New Roman" w:hAnsi="Times New Roman" w:cs="Times New Roman"/>
          <w:sz w:val="24"/>
          <w:szCs w:val="18"/>
          <w:lang w:val="de-DE"/>
        </w:rPr>
        <w:t xml:space="preserve">Mergenthaler, P., Lindauer, U., Dienel, G.A., Meisel, A., 2013. </w:t>
      </w:r>
      <w:r w:rsidRPr="004F7F62">
        <w:rPr>
          <w:rFonts w:ascii="Times New Roman" w:hAnsi="Times New Roman" w:cs="Times New Roman"/>
          <w:sz w:val="24"/>
          <w:szCs w:val="18"/>
          <w:lang w:val="en-US"/>
        </w:rPr>
        <w:t>Sugar for the brain: the role of glucose in physiological and pathological brain function. Trends Neurosci 36, 587–597. https://doi.org/10.1016/j.tins.2013.07.001</w:t>
      </w:r>
    </w:p>
    <w:p w14:paraId="5266EA40" w14:textId="77777777" w:rsidR="004F7F62" w:rsidRPr="00170F61" w:rsidRDefault="004F7F62" w:rsidP="00071445">
      <w:pPr>
        <w:pStyle w:val="Bibliography"/>
        <w:jc w:val="both"/>
        <w:rPr>
          <w:rFonts w:ascii="Times New Roman" w:hAnsi="Times New Roman" w:cs="Times New Roman"/>
          <w:sz w:val="24"/>
          <w:szCs w:val="18"/>
          <w:lang w:val="de-DE"/>
        </w:rPr>
      </w:pPr>
      <w:r w:rsidRPr="004F7F62">
        <w:rPr>
          <w:rFonts w:ascii="Times New Roman" w:hAnsi="Times New Roman" w:cs="Times New Roman"/>
          <w:sz w:val="24"/>
          <w:szCs w:val="18"/>
          <w:lang w:val="en-US"/>
        </w:rPr>
        <w:t xml:space="preserve">Morozova, A., Zubkov, E., Strekalova, T., Kekelidze, Z., Storozeva, Z., Schroeter, C.A., Bazhenova, N., Lesch, K.-P., Cline, B.H., Chekhonin, V., 2016. Ultrasound of alternating frequencies and variable emotional impact evokes depressive syndrome in mice and rats. </w:t>
      </w:r>
      <w:r w:rsidRPr="00170F61">
        <w:rPr>
          <w:rFonts w:ascii="Times New Roman" w:hAnsi="Times New Roman" w:cs="Times New Roman"/>
          <w:sz w:val="24"/>
          <w:szCs w:val="18"/>
          <w:lang w:val="de-DE"/>
        </w:rPr>
        <w:t>Prog Neuropsychopharmacol Biol Psychiatry 68, 52–63. https://doi.org/10.1016/j.pnpbp.2016.03.003</w:t>
      </w:r>
    </w:p>
    <w:p w14:paraId="5135721D" w14:textId="77777777" w:rsidR="004F7F62" w:rsidRPr="004F7F62" w:rsidRDefault="004F7F62" w:rsidP="00071445">
      <w:pPr>
        <w:pStyle w:val="Bibliography"/>
        <w:jc w:val="both"/>
        <w:rPr>
          <w:rFonts w:ascii="Times New Roman" w:hAnsi="Times New Roman" w:cs="Times New Roman"/>
          <w:sz w:val="24"/>
          <w:szCs w:val="18"/>
          <w:lang w:val="en-US"/>
        </w:rPr>
      </w:pPr>
      <w:r w:rsidRPr="00170F61">
        <w:rPr>
          <w:rFonts w:ascii="Times New Roman" w:hAnsi="Times New Roman" w:cs="Times New Roman"/>
          <w:sz w:val="24"/>
          <w:szCs w:val="18"/>
          <w:lang w:val="de-DE"/>
        </w:rPr>
        <w:t xml:space="preserve">Mukai, T., Kaneko, S., Ohori, H., 1998. </w:t>
      </w:r>
      <w:r w:rsidRPr="004F7F62">
        <w:rPr>
          <w:rFonts w:ascii="Times New Roman" w:hAnsi="Times New Roman" w:cs="Times New Roman"/>
          <w:sz w:val="24"/>
          <w:szCs w:val="18"/>
          <w:lang w:val="en-US"/>
        </w:rPr>
        <w:t>Haemagglutination and glycolipid-binding activities of Lactobacillus reuteri. Lett Appl Microbiol 27, 130–134. https://doi.org/10.1046/j.1472-765x.1998.00418.x</w:t>
      </w:r>
    </w:p>
    <w:p w14:paraId="0A67ACB6"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lastRenderedPageBreak/>
        <w:t>Ota, M., Ishiuchi, K., Xu, X., Minami, M., Nagachi, Y., Yagi-Utsumi, M., Tabuchi, Y., Cai, S.-Q., Makino, T., 2019. The immunostimulatory effects and chemical characteristics of heated honey. J Ethnopharmacol 228, 11–17. https://doi.org/10.1016/j.jep.2018.09.019</w:t>
      </w:r>
    </w:p>
    <w:p w14:paraId="4659845B"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Pavlov, D., Bettendorff, L., Gorlova, A., Olkhovik, A., Kalueff, A.V., Ponomarev, E.D., Inozemtsev, A., Chekhonin, V., Les</w:t>
      </w:r>
      <w:r w:rsidRPr="004F7F62">
        <w:rPr>
          <w:rFonts w:ascii="Times New Roman" w:hAnsi="Times New Roman" w:cs="Times New Roman"/>
          <w:sz w:val="24"/>
          <w:szCs w:val="18"/>
        </w:rPr>
        <w:t>с</w:t>
      </w:r>
      <w:r w:rsidRPr="004F7F62">
        <w:rPr>
          <w:rFonts w:ascii="Times New Roman" w:hAnsi="Times New Roman" w:cs="Times New Roman"/>
          <w:sz w:val="24"/>
          <w:szCs w:val="18"/>
          <w:lang w:val="en-US"/>
        </w:rPr>
        <w:t>h, K.-P., Anthony, D.C., Strekalova, T., 2019. Neuroinflammation and aberrant hippocampal plasticity in a mouse model of emotional stress evoked by exposure to ultrasound of alternating frequencies. Prog Neuropsychopharmacol Biol Psychiatry 90, 104–116. https://doi.org/10.1016/j.pnpbp.2018.11.014</w:t>
      </w:r>
    </w:p>
    <w:p w14:paraId="73376069"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Pavlov, D., Gorlova, A., Bettendorff, L., Kalueff, A.A., Umriukhin, A., Proshin, A., Lysko, A., Landgraf, R., Anthony, D.C., Strekalova, T., 2020. Enhanced conditioning of adverse memories in the mouse modified swim test is associated with neuroinflammatory changes - Effects that are susceptible to antidepressants. Neurobiol Learn Mem 172, 107227. https://doi.org/10.1016/j.nlm.2020.107227</w:t>
      </w:r>
    </w:p>
    <w:p w14:paraId="2E7A95AE"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Pavlov, D., Markova, N., Bettendorff, L., Chekhonin, V., Pomytkin, I., Lioudyno, V., Svistunov, A., Ponomarev, E., Lesch, K.-P., Strekalova, T., 2017. Elucidating the functions of brain GSK3</w:t>
      </w:r>
      <w:r w:rsidRPr="004F7F62">
        <w:rPr>
          <w:rFonts w:ascii="Times New Roman" w:hAnsi="Times New Roman" w:cs="Times New Roman"/>
          <w:sz w:val="24"/>
          <w:szCs w:val="18"/>
        </w:rPr>
        <w:t>α</w:t>
      </w:r>
      <w:r w:rsidRPr="004F7F62">
        <w:rPr>
          <w:rFonts w:ascii="Times New Roman" w:hAnsi="Times New Roman" w:cs="Times New Roman"/>
          <w:sz w:val="24"/>
          <w:szCs w:val="18"/>
          <w:lang w:val="en-US"/>
        </w:rPr>
        <w:t>: Possible synergy with GSK3</w:t>
      </w:r>
      <w:r w:rsidRPr="004F7F62">
        <w:rPr>
          <w:rFonts w:ascii="Times New Roman" w:hAnsi="Times New Roman" w:cs="Times New Roman"/>
          <w:sz w:val="24"/>
          <w:szCs w:val="18"/>
        </w:rPr>
        <w:t>β</w:t>
      </w:r>
      <w:r w:rsidRPr="004F7F62">
        <w:rPr>
          <w:rFonts w:ascii="Times New Roman" w:hAnsi="Times New Roman" w:cs="Times New Roman"/>
          <w:sz w:val="24"/>
          <w:szCs w:val="18"/>
          <w:lang w:val="en-US"/>
        </w:rPr>
        <w:t xml:space="preserve"> upregulation and reversal by antidepressant treatment in a mouse model of depressive-like behaviour. Behav Brain Res 335, 122–127. https://doi.org/10.1016/j.bbr.2017.08.018</w:t>
      </w:r>
    </w:p>
    <w:p w14:paraId="2FCCFFAA"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 xml:space="preserve">Petrelli, R., Scortichini, M., Kachler, S., Boccella, S., Cerchia, C., Torquati, I., Del Bello, F., Salvemini, D., Novellino, E., Luongo, L., Maione, S., Jacobson, K.A., Lavecchia, A., Klotz, K.-N., Cappellacci, L., 2017. Exploring the Role of N6-Substituents in Potent Dual Acting 5’-C-Ethyltetrazolyladenosine Derivatives: Synthesis, Binding, Functional Assays, and Antinociceptive Effects in Mice </w:t>
      </w:r>
      <w:r w:rsidRPr="004F7F62">
        <w:rPr>
          <w:rFonts w:ascii="Cambria Math" w:hAnsi="Cambria Math" w:cs="Cambria Math"/>
          <w:sz w:val="24"/>
          <w:szCs w:val="18"/>
          <w:lang w:val="en-US"/>
        </w:rPr>
        <w:t>∇</w:t>
      </w:r>
      <w:r w:rsidRPr="004F7F62">
        <w:rPr>
          <w:rFonts w:ascii="Times New Roman" w:hAnsi="Times New Roman" w:cs="Times New Roman"/>
          <w:sz w:val="24"/>
          <w:szCs w:val="18"/>
          <w:lang w:val="en-US"/>
        </w:rPr>
        <w:t>. J Med Chem 60, 4327–4341. https://doi.org/10.1021/acs.jmedchem.7b00291</w:t>
      </w:r>
    </w:p>
    <w:p w14:paraId="6678F339"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Qiang, F., 2015. Effect of Malate-oligosaccharide Solution on Antioxidant Capacity of Endurance Athletes. Open Biomed Eng J 9, 326–329. https://doi.org/10.2174/1874120701509010326</w:t>
      </w:r>
    </w:p>
    <w:p w14:paraId="4917C313"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Rahman, F.I., Hussain, F., Saqueeb, N., Abdur Rahman, S.M., 2020. Synthesis and evaluation of pharmacological activities of some 3-O-benzyl-4-C-(hydroxymethyl)-1,2-O-isopropylidene-</w:t>
      </w:r>
      <w:r w:rsidRPr="004F7F62">
        <w:rPr>
          <w:rFonts w:ascii="Times New Roman" w:hAnsi="Times New Roman" w:cs="Times New Roman"/>
          <w:sz w:val="24"/>
          <w:szCs w:val="18"/>
        </w:rPr>
        <w:t>α</w:t>
      </w:r>
      <w:r w:rsidRPr="004F7F62">
        <w:rPr>
          <w:rFonts w:ascii="Times New Roman" w:hAnsi="Times New Roman" w:cs="Times New Roman"/>
          <w:sz w:val="24"/>
          <w:szCs w:val="18"/>
          <w:lang w:val="en-US"/>
        </w:rPr>
        <w:t>-D-ribofuranose derivatives as potential anti-inflammatory agents and analgesics. Res Pharm Sci 15, 209–217. https://doi.org/10.4103/1735-5362.288423</w:t>
      </w:r>
    </w:p>
    <w:p w14:paraId="2FA382ED"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Sahin-Tóth, M., Gunawan, P., Lawrence, M.C., Toyokuni, T., Kaback, H.R., 2002. Binding of hydrophobic D-galactopyranosides to the lactose permease of Escherichia coli. Biochemistry 41, 13039–13045. https://doi.org/10.1021/bi0203076</w:t>
      </w:r>
    </w:p>
    <w:p w14:paraId="2EE27B77"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Schaafsma, G., 2008. Lactose and lactose derivatives as bioactive ingredients in human nutrition. International Dairy Journal 18, 458–465. https://doi.org/10.1016/j.idairyj.2007.11.013</w:t>
      </w:r>
    </w:p>
    <w:p w14:paraId="41A75501"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Strekalova, T., Anthony, D.C., Dolgov, O., Anokhin, K., Kubatiev, A., Steinbusch, H.M.W., Schroeter, C., 2013. The differential effects of chronic imipramine or citalopram administration on physiological and behavioral outcomes in naïve mice. Behav Brain Res 245, 101–106. https://doi.org/10.1016/j.bbr.2013.02.015</w:t>
      </w:r>
    </w:p>
    <w:p w14:paraId="4B74D9DC"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Strekalova, T., Evans, M., Chernopiatko, A., Couch, Y., Costa-Nunes, J., Cespuglio, R., Chesson, L., Vignisse, J., Steinbusch, H.W., Anthony, D.C., Pomytkin, I., Lesch, K.-P., 2015. Deuterium content of water increases depression susceptibility: the potential role of a serotonin-related mechanism. Behav Brain Res 277, 237–244. https://doi.org/10.1016/j.bbr.2014.07.039</w:t>
      </w:r>
    </w:p>
    <w:p w14:paraId="5CD6A63C" w14:textId="7E63E53B"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 xml:space="preserve">Strekalova, T., Markova, N., Shevtsova, E., Zubareva, O., Bakhmet, A., Steinbusch, H.M., Bachurin, S., Lesch, K.-P., 2016. Individual Differences in </w:t>
      </w:r>
      <w:r w:rsidR="005D0B00">
        <w:rPr>
          <w:rFonts w:ascii="Times New Roman" w:hAnsi="Times New Roman" w:cs="Times New Roman"/>
          <w:sz w:val="24"/>
          <w:szCs w:val="18"/>
          <w:lang w:val="en-US"/>
        </w:rPr>
        <w:t>Behavioral</w:t>
      </w:r>
      <w:r w:rsidRPr="004F7F62">
        <w:rPr>
          <w:rFonts w:ascii="Times New Roman" w:hAnsi="Times New Roman" w:cs="Times New Roman"/>
          <w:sz w:val="24"/>
          <w:szCs w:val="18"/>
          <w:lang w:val="en-US"/>
        </w:rPr>
        <w:t xml:space="preserve"> Despair Predict Brain GSK-3beta Expression in Mice: The Power of a Modified Swim Test. Neural Plast 2016, 5098591. https://doi.org/10.1155/2016/5098591</w:t>
      </w:r>
    </w:p>
    <w:p w14:paraId="31B4396B"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lastRenderedPageBreak/>
        <w:t>Tabatabaie, L., Klomp, L.W., Berger, R., de Koning, T.J., 2010. l-Serine synthesis in the central nervous system: A review on serine deficiency disorders. Molecular Genetics and Metabolism 99, 256–262. https://doi.org/10.1016/j.ymgme.2009.10.012</w:t>
      </w:r>
    </w:p>
    <w:p w14:paraId="6A0B8DBE"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Tang, X., Liu, J., Dong, W., Li, P., Li, L., Lin, C., Zheng, Y., Hou, J., Li, D., 2013. The cardioprotective effects of citric Acid and L-malic Acid on myocardial ischemia/reperfusion injury. Evid Based Complement Alternat Med 2013, 820695. https://doi.org/10.1155/2013/820695</w:t>
      </w:r>
    </w:p>
    <w:p w14:paraId="5849A3FD"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Veyhl-Wichmann, M., Friedrich, A., Vernaleken, A., Singh, S., Kipp, H., Gorboulev, V., Keller, T., Chintalapati, C., Pipkorn, R., Pastor-Anglada, M., Groll, J., Koepsell, H., 2016. Phosphorylation of RS1 (RSC1A1) Steers Inhibition of Different Exocytotic Pathways for Glucose Transporter SGLT1 and Nucleoside Transporter CNT1, and an RS1-Derived Peptide Inhibits Glucose Absorption. Mol Pharmacol 89, 118–132. https://doi.org/10.1124/mol.115.101162</w:t>
      </w:r>
    </w:p>
    <w:p w14:paraId="1C250551" w14:textId="77777777" w:rsidR="004F7F62" w:rsidRPr="004F7F62" w:rsidRDefault="004F7F62" w:rsidP="00071445">
      <w:pPr>
        <w:pStyle w:val="Bibliography"/>
        <w:jc w:val="both"/>
        <w:rPr>
          <w:rFonts w:ascii="Times New Roman" w:hAnsi="Times New Roman" w:cs="Times New Roman"/>
          <w:sz w:val="24"/>
          <w:szCs w:val="18"/>
          <w:lang w:val="en-US"/>
        </w:rPr>
      </w:pPr>
      <w:r w:rsidRPr="004F7F62">
        <w:rPr>
          <w:rFonts w:ascii="Times New Roman" w:hAnsi="Times New Roman" w:cs="Times New Roman"/>
          <w:sz w:val="24"/>
          <w:szCs w:val="18"/>
          <w:lang w:val="en-US"/>
        </w:rPr>
        <w:t>Ying, W., Chen, Y., Alano, C.C., Swanson, R.A., 2002. Tricarboxylic acid cycle substrates prevent PARP-mediated death of neurons and astrocytes. J Cereb Blood Flow Metab 22, 774–779. https://doi.org/10.1097/00004647-200207000-00002</w:t>
      </w:r>
    </w:p>
    <w:p w14:paraId="5349B730" w14:textId="77777777" w:rsidR="004F7F62" w:rsidRPr="00170F61" w:rsidRDefault="004F7F62" w:rsidP="00071445">
      <w:pPr>
        <w:pStyle w:val="Bibliography"/>
        <w:jc w:val="both"/>
        <w:rPr>
          <w:rFonts w:ascii="Times New Roman" w:hAnsi="Times New Roman" w:cs="Times New Roman"/>
          <w:sz w:val="24"/>
          <w:szCs w:val="18"/>
          <w:lang w:val="de-DE"/>
        </w:rPr>
      </w:pPr>
      <w:r w:rsidRPr="004F7F62">
        <w:rPr>
          <w:rFonts w:ascii="Times New Roman" w:hAnsi="Times New Roman" w:cs="Times New Roman"/>
          <w:sz w:val="24"/>
          <w:szCs w:val="18"/>
          <w:lang w:val="en-US"/>
        </w:rPr>
        <w:t xml:space="preserve">Zehavi, Y., Mandel, H., Eran, A., Ravid, S., Abu Rashid, M., Jansen, E.E.W., Wamelink, M.M.C., Saada, A., Shaag, A., Elpeleg, O., Spiegel, R., 2019. Severe infantile epileptic encephalopathy associated with D-glyceric aciduria: report of a novel case and review. </w:t>
      </w:r>
      <w:r w:rsidRPr="00170F61">
        <w:rPr>
          <w:rFonts w:ascii="Times New Roman" w:hAnsi="Times New Roman" w:cs="Times New Roman"/>
          <w:sz w:val="24"/>
          <w:szCs w:val="18"/>
          <w:lang w:val="de-DE"/>
        </w:rPr>
        <w:t>Metab Brain Dis 34, 557–563. https://doi.org/10.1007/s11011-019-0384-x</w:t>
      </w:r>
    </w:p>
    <w:p w14:paraId="4E058035" w14:textId="77777777" w:rsidR="004F7F62" w:rsidRPr="004F7F62" w:rsidRDefault="004F7F62" w:rsidP="00071445">
      <w:pPr>
        <w:pStyle w:val="Bibliography"/>
        <w:jc w:val="both"/>
        <w:rPr>
          <w:rFonts w:ascii="Times New Roman" w:hAnsi="Times New Roman" w:cs="Times New Roman"/>
          <w:sz w:val="24"/>
          <w:szCs w:val="18"/>
          <w:lang w:val="en-US"/>
        </w:rPr>
      </w:pPr>
      <w:r w:rsidRPr="00170F61">
        <w:rPr>
          <w:rFonts w:ascii="Times New Roman" w:hAnsi="Times New Roman" w:cs="Times New Roman"/>
          <w:sz w:val="24"/>
          <w:szCs w:val="18"/>
          <w:lang w:val="de-DE"/>
        </w:rPr>
        <w:t xml:space="preserve">Zukerman, S., Ackroff, K., Sclafani, A., 2013. </w:t>
      </w:r>
      <w:r w:rsidRPr="004F7F62">
        <w:rPr>
          <w:rFonts w:ascii="Times New Roman" w:hAnsi="Times New Roman" w:cs="Times New Roman"/>
          <w:sz w:val="24"/>
          <w:szCs w:val="18"/>
          <w:lang w:val="en-US"/>
        </w:rPr>
        <w:t>Post-oral appetite stimulation by sugars and nonmetabolizable sugar analogs. Am J Physiol Regul Integr Comp Physiol 305, R840-853. https://doi.org/10.1152/ajpregu.00297.2013</w:t>
      </w:r>
    </w:p>
    <w:p w14:paraId="1C6F8523" w14:textId="228FF291" w:rsidR="005D4D54" w:rsidRPr="005D4D54" w:rsidRDefault="004F7F62" w:rsidP="00071445">
      <w:pPr>
        <w:spacing w:after="75" w:line="360" w:lineRule="auto"/>
        <w:jc w:val="both"/>
        <w:rPr>
          <w:rFonts w:ascii="Verdana" w:eastAsia="Times New Roman" w:hAnsi="Verdana" w:cs="Times New Roman"/>
          <w:sz w:val="28"/>
          <w:szCs w:val="28"/>
          <w:lang w:val="de-DE"/>
        </w:rPr>
      </w:pPr>
      <w:r w:rsidRPr="004F7F62">
        <w:rPr>
          <w:rFonts w:ascii="Times New Roman" w:eastAsia="Times New Roman" w:hAnsi="Times New Roman" w:cs="Times New Roman"/>
          <w:sz w:val="24"/>
          <w:szCs w:val="24"/>
          <w:lang w:val="de-DE"/>
        </w:rPr>
        <w:fldChar w:fldCharType="end"/>
      </w:r>
    </w:p>
    <w:sectPr w:rsidR="005D4D54" w:rsidRPr="005D4D5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EBC41" w14:textId="77777777" w:rsidR="00DD1340" w:rsidRDefault="00DD1340" w:rsidP="00A64EDC">
      <w:pPr>
        <w:spacing w:after="0" w:line="240" w:lineRule="auto"/>
      </w:pPr>
      <w:r>
        <w:separator/>
      </w:r>
    </w:p>
  </w:endnote>
  <w:endnote w:type="continuationSeparator" w:id="0">
    <w:p w14:paraId="7B69B834" w14:textId="77777777" w:rsidR="00DD1340" w:rsidRDefault="00DD1340" w:rsidP="00A6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91846"/>
      <w:docPartObj>
        <w:docPartGallery w:val="Page Numbers (Bottom of Page)"/>
        <w:docPartUnique/>
      </w:docPartObj>
    </w:sdtPr>
    <w:sdtEndPr>
      <w:rPr>
        <w:noProof/>
      </w:rPr>
    </w:sdtEndPr>
    <w:sdtContent>
      <w:p w14:paraId="724E06A5" w14:textId="77777777" w:rsidR="00694F54" w:rsidRDefault="00694F54">
        <w:pPr>
          <w:pStyle w:val="Footer"/>
          <w:jc w:val="center"/>
        </w:pPr>
        <w:r>
          <w:fldChar w:fldCharType="begin"/>
        </w:r>
        <w:r>
          <w:instrText xml:space="preserve"> PAGE   \* MERGEFORMAT </w:instrText>
        </w:r>
        <w:r>
          <w:fldChar w:fldCharType="separate"/>
        </w:r>
        <w:r w:rsidR="0026001A">
          <w:rPr>
            <w:noProof/>
          </w:rPr>
          <w:t>1</w:t>
        </w:r>
        <w:r>
          <w:rPr>
            <w:noProof/>
          </w:rPr>
          <w:fldChar w:fldCharType="end"/>
        </w:r>
      </w:p>
    </w:sdtContent>
  </w:sdt>
  <w:p w14:paraId="3661D7F6" w14:textId="77777777" w:rsidR="00694F54" w:rsidRDefault="00694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ED2DB" w14:textId="77777777" w:rsidR="00DD1340" w:rsidRDefault="00DD1340" w:rsidP="00A64EDC">
      <w:pPr>
        <w:spacing w:after="0" w:line="240" w:lineRule="auto"/>
      </w:pPr>
      <w:r>
        <w:separator/>
      </w:r>
    </w:p>
  </w:footnote>
  <w:footnote w:type="continuationSeparator" w:id="0">
    <w:p w14:paraId="520F8252" w14:textId="77777777" w:rsidR="00DD1340" w:rsidRDefault="00DD1340" w:rsidP="00A64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01A"/>
    <w:multiLevelType w:val="multilevel"/>
    <w:tmpl w:val="2B3E479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F1E28CF"/>
    <w:multiLevelType w:val="multilevel"/>
    <w:tmpl w:val="703E9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E5A1BCB"/>
    <w:multiLevelType w:val="hybridMultilevel"/>
    <w:tmpl w:val="FE20DB24"/>
    <w:lvl w:ilvl="0" w:tplc="FFFFFFFF">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Kiselev">
    <w15:presenceInfo w15:providerId="Windows Live" w15:userId="206ccd4e10992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19"/>
    <w:rsid w:val="00004CB5"/>
    <w:rsid w:val="00010BA0"/>
    <w:rsid w:val="000115A3"/>
    <w:rsid w:val="00012A92"/>
    <w:rsid w:val="000249E6"/>
    <w:rsid w:val="0002530F"/>
    <w:rsid w:val="0005738B"/>
    <w:rsid w:val="000618E8"/>
    <w:rsid w:val="00065069"/>
    <w:rsid w:val="00070AC0"/>
    <w:rsid w:val="00071445"/>
    <w:rsid w:val="00081430"/>
    <w:rsid w:val="00085ACA"/>
    <w:rsid w:val="000876BA"/>
    <w:rsid w:val="00092650"/>
    <w:rsid w:val="00093211"/>
    <w:rsid w:val="0009620A"/>
    <w:rsid w:val="000A10D9"/>
    <w:rsid w:val="000A1EED"/>
    <w:rsid w:val="000A33A4"/>
    <w:rsid w:val="000B25DC"/>
    <w:rsid w:val="000B4E23"/>
    <w:rsid w:val="000C2F0D"/>
    <w:rsid w:val="000D50BA"/>
    <w:rsid w:val="000D7C00"/>
    <w:rsid w:val="000E7E3F"/>
    <w:rsid w:val="000F1650"/>
    <w:rsid w:val="000F3405"/>
    <w:rsid w:val="00101B19"/>
    <w:rsid w:val="00127461"/>
    <w:rsid w:val="001307AD"/>
    <w:rsid w:val="00141C7B"/>
    <w:rsid w:val="00142BA6"/>
    <w:rsid w:val="00142FC0"/>
    <w:rsid w:val="0016337B"/>
    <w:rsid w:val="00166793"/>
    <w:rsid w:val="00170F61"/>
    <w:rsid w:val="0017519C"/>
    <w:rsid w:val="00175DEF"/>
    <w:rsid w:val="001763DB"/>
    <w:rsid w:val="00177E8A"/>
    <w:rsid w:val="00186640"/>
    <w:rsid w:val="00195C47"/>
    <w:rsid w:val="001A5BDC"/>
    <w:rsid w:val="001D2203"/>
    <w:rsid w:val="001E26CF"/>
    <w:rsid w:val="00203999"/>
    <w:rsid w:val="00212CEF"/>
    <w:rsid w:val="00214800"/>
    <w:rsid w:val="00216E8B"/>
    <w:rsid w:val="0021744E"/>
    <w:rsid w:val="00223DA2"/>
    <w:rsid w:val="00230A44"/>
    <w:rsid w:val="00235376"/>
    <w:rsid w:val="00236376"/>
    <w:rsid w:val="002474DF"/>
    <w:rsid w:val="0026001A"/>
    <w:rsid w:val="00283C3E"/>
    <w:rsid w:val="0029252B"/>
    <w:rsid w:val="002A2C19"/>
    <w:rsid w:val="002A4115"/>
    <w:rsid w:val="002B5DF5"/>
    <w:rsid w:val="002C0412"/>
    <w:rsid w:val="002C4402"/>
    <w:rsid w:val="002D252A"/>
    <w:rsid w:val="002F0CF5"/>
    <w:rsid w:val="002F1D11"/>
    <w:rsid w:val="00303303"/>
    <w:rsid w:val="00305C3D"/>
    <w:rsid w:val="003118A0"/>
    <w:rsid w:val="0033458E"/>
    <w:rsid w:val="00351199"/>
    <w:rsid w:val="0035403A"/>
    <w:rsid w:val="00355618"/>
    <w:rsid w:val="00363887"/>
    <w:rsid w:val="00371E4F"/>
    <w:rsid w:val="00374100"/>
    <w:rsid w:val="00390D12"/>
    <w:rsid w:val="003B1CC9"/>
    <w:rsid w:val="003C69C2"/>
    <w:rsid w:val="003D0914"/>
    <w:rsid w:val="003D2C40"/>
    <w:rsid w:val="003E3379"/>
    <w:rsid w:val="003F3560"/>
    <w:rsid w:val="003F657F"/>
    <w:rsid w:val="003F6B67"/>
    <w:rsid w:val="00400193"/>
    <w:rsid w:val="00403BDF"/>
    <w:rsid w:val="00406679"/>
    <w:rsid w:val="00412CA3"/>
    <w:rsid w:val="00414D81"/>
    <w:rsid w:val="004152C6"/>
    <w:rsid w:val="004169D6"/>
    <w:rsid w:val="00445D56"/>
    <w:rsid w:val="00473A89"/>
    <w:rsid w:val="004852B2"/>
    <w:rsid w:val="004911A7"/>
    <w:rsid w:val="00493483"/>
    <w:rsid w:val="0049489B"/>
    <w:rsid w:val="004A23B7"/>
    <w:rsid w:val="004A5936"/>
    <w:rsid w:val="004A6527"/>
    <w:rsid w:val="004B04CD"/>
    <w:rsid w:val="004B133D"/>
    <w:rsid w:val="004C118F"/>
    <w:rsid w:val="004C3F08"/>
    <w:rsid w:val="004C6FC5"/>
    <w:rsid w:val="004C6FD2"/>
    <w:rsid w:val="004E2E90"/>
    <w:rsid w:val="004E7099"/>
    <w:rsid w:val="004F445B"/>
    <w:rsid w:val="004F4AF9"/>
    <w:rsid w:val="004F7F62"/>
    <w:rsid w:val="00511E2A"/>
    <w:rsid w:val="00513F41"/>
    <w:rsid w:val="005220C3"/>
    <w:rsid w:val="0052273B"/>
    <w:rsid w:val="00524CBE"/>
    <w:rsid w:val="005275C5"/>
    <w:rsid w:val="00530A8A"/>
    <w:rsid w:val="00533EF8"/>
    <w:rsid w:val="005346A9"/>
    <w:rsid w:val="00543B76"/>
    <w:rsid w:val="005442E0"/>
    <w:rsid w:val="00544783"/>
    <w:rsid w:val="00557153"/>
    <w:rsid w:val="005626B6"/>
    <w:rsid w:val="005638D1"/>
    <w:rsid w:val="00571F5A"/>
    <w:rsid w:val="00575BE9"/>
    <w:rsid w:val="00576E9E"/>
    <w:rsid w:val="00576F2A"/>
    <w:rsid w:val="00580A05"/>
    <w:rsid w:val="005834DB"/>
    <w:rsid w:val="00592F54"/>
    <w:rsid w:val="005A1C61"/>
    <w:rsid w:val="005B27A7"/>
    <w:rsid w:val="005B3753"/>
    <w:rsid w:val="005B4069"/>
    <w:rsid w:val="005C1F34"/>
    <w:rsid w:val="005C768E"/>
    <w:rsid w:val="005D0B00"/>
    <w:rsid w:val="005D4D54"/>
    <w:rsid w:val="005D5A71"/>
    <w:rsid w:val="00612603"/>
    <w:rsid w:val="00612C43"/>
    <w:rsid w:val="00614045"/>
    <w:rsid w:val="00620909"/>
    <w:rsid w:val="00622F78"/>
    <w:rsid w:val="00627D70"/>
    <w:rsid w:val="00630F70"/>
    <w:rsid w:val="00631CB8"/>
    <w:rsid w:val="00640F8D"/>
    <w:rsid w:val="00642200"/>
    <w:rsid w:val="00654368"/>
    <w:rsid w:val="00673593"/>
    <w:rsid w:val="00675F6F"/>
    <w:rsid w:val="00677537"/>
    <w:rsid w:val="00686960"/>
    <w:rsid w:val="00694F54"/>
    <w:rsid w:val="006A137F"/>
    <w:rsid w:val="006A14BF"/>
    <w:rsid w:val="006B32D7"/>
    <w:rsid w:val="006B5916"/>
    <w:rsid w:val="006D3961"/>
    <w:rsid w:val="006D48CE"/>
    <w:rsid w:val="006E3513"/>
    <w:rsid w:val="006E3DC1"/>
    <w:rsid w:val="006E627A"/>
    <w:rsid w:val="006F6912"/>
    <w:rsid w:val="007019AC"/>
    <w:rsid w:val="00703D21"/>
    <w:rsid w:val="007053FB"/>
    <w:rsid w:val="0070573B"/>
    <w:rsid w:val="00724657"/>
    <w:rsid w:val="00724858"/>
    <w:rsid w:val="00731E19"/>
    <w:rsid w:val="0073221D"/>
    <w:rsid w:val="007331E6"/>
    <w:rsid w:val="00741B61"/>
    <w:rsid w:val="00756EC7"/>
    <w:rsid w:val="00761F67"/>
    <w:rsid w:val="00766733"/>
    <w:rsid w:val="00772DC2"/>
    <w:rsid w:val="00774C2E"/>
    <w:rsid w:val="00776382"/>
    <w:rsid w:val="00796175"/>
    <w:rsid w:val="007A079E"/>
    <w:rsid w:val="007A13BC"/>
    <w:rsid w:val="007A4DEB"/>
    <w:rsid w:val="007A7B7B"/>
    <w:rsid w:val="007B1610"/>
    <w:rsid w:val="007B3933"/>
    <w:rsid w:val="007C52C5"/>
    <w:rsid w:val="007E4708"/>
    <w:rsid w:val="007F26EB"/>
    <w:rsid w:val="007F598E"/>
    <w:rsid w:val="007F6185"/>
    <w:rsid w:val="0081098D"/>
    <w:rsid w:val="00810FC6"/>
    <w:rsid w:val="00815C96"/>
    <w:rsid w:val="008257A0"/>
    <w:rsid w:val="00836815"/>
    <w:rsid w:val="00846DD6"/>
    <w:rsid w:val="0087000A"/>
    <w:rsid w:val="00891402"/>
    <w:rsid w:val="0089684A"/>
    <w:rsid w:val="008A2D2D"/>
    <w:rsid w:val="008A5263"/>
    <w:rsid w:val="008C0FD5"/>
    <w:rsid w:val="008C42F4"/>
    <w:rsid w:val="008C6B79"/>
    <w:rsid w:val="008D2916"/>
    <w:rsid w:val="008D3969"/>
    <w:rsid w:val="008E3B45"/>
    <w:rsid w:val="008F499D"/>
    <w:rsid w:val="008F5DB9"/>
    <w:rsid w:val="008F6807"/>
    <w:rsid w:val="008F7D77"/>
    <w:rsid w:val="00902CBA"/>
    <w:rsid w:val="00905315"/>
    <w:rsid w:val="0091149D"/>
    <w:rsid w:val="0091153D"/>
    <w:rsid w:val="00916976"/>
    <w:rsid w:val="0092415D"/>
    <w:rsid w:val="00927DD0"/>
    <w:rsid w:val="009368A6"/>
    <w:rsid w:val="00954825"/>
    <w:rsid w:val="0096180A"/>
    <w:rsid w:val="0096186E"/>
    <w:rsid w:val="009700E4"/>
    <w:rsid w:val="00970FFB"/>
    <w:rsid w:val="0098765F"/>
    <w:rsid w:val="00993110"/>
    <w:rsid w:val="00994B68"/>
    <w:rsid w:val="00995323"/>
    <w:rsid w:val="009B4B5A"/>
    <w:rsid w:val="009B621F"/>
    <w:rsid w:val="009C387F"/>
    <w:rsid w:val="009C7CFD"/>
    <w:rsid w:val="009D542C"/>
    <w:rsid w:val="009E4EC4"/>
    <w:rsid w:val="009E6DC1"/>
    <w:rsid w:val="009E7D8B"/>
    <w:rsid w:val="009F4725"/>
    <w:rsid w:val="00A10211"/>
    <w:rsid w:val="00A1492E"/>
    <w:rsid w:val="00A228D1"/>
    <w:rsid w:val="00A33CD5"/>
    <w:rsid w:val="00A36D36"/>
    <w:rsid w:val="00A413FB"/>
    <w:rsid w:val="00A42001"/>
    <w:rsid w:val="00A42783"/>
    <w:rsid w:val="00A44AA6"/>
    <w:rsid w:val="00A50769"/>
    <w:rsid w:val="00A52F1C"/>
    <w:rsid w:val="00A64EDC"/>
    <w:rsid w:val="00A66059"/>
    <w:rsid w:val="00A671DF"/>
    <w:rsid w:val="00A67D0E"/>
    <w:rsid w:val="00A73299"/>
    <w:rsid w:val="00A7345D"/>
    <w:rsid w:val="00A826A1"/>
    <w:rsid w:val="00A86106"/>
    <w:rsid w:val="00A906FE"/>
    <w:rsid w:val="00A948BE"/>
    <w:rsid w:val="00A954E9"/>
    <w:rsid w:val="00AA35C5"/>
    <w:rsid w:val="00AC1BD5"/>
    <w:rsid w:val="00AD01A3"/>
    <w:rsid w:val="00AD6876"/>
    <w:rsid w:val="00AD7574"/>
    <w:rsid w:val="00AD760A"/>
    <w:rsid w:val="00AE04BF"/>
    <w:rsid w:val="00AE751E"/>
    <w:rsid w:val="00AE7CFB"/>
    <w:rsid w:val="00AF569F"/>
    <w:rsid w:val="00AF7276"/>
    <w:rsid w:val="00B02F2D"/>
    <w:rsid w:val="00B0471C"/>
    <w:rsid w:val="00B14213"/>
    <w:rsid w:val="00B220D3"/>
    <w:rsid w:val="00B2305F"/>
    <w:rsid w:val="00B25000"/>
    <w:rsid w:val="00B25DF3"/>
    <w:rsid w:val="00B504AD"/>
    <w:rsid w:val="00B609C6"/>
    <w:rsid w:val="00B60D2C"/>
    <w:rsid w:val="00B63F5F"/>
    <w:rsid w:val="00B67A43"/>
    <w:rsid w:val="00B77FE4"/>
    <w:rsid w:val="00B84D85"/>
    <w:rsid w:val="00B9069A"/>
    <w:rsid w:val="00B958BD"/>
    <w:rsid w:val="00BA011F"/>
    <w:rsid w:val="00BA128A"/>
    <w:rsid w:val="00BA503B"/>
    <w:rsid w:val="00BB4B5B"/>
    <w:rsid w:val="00BB7FF0"/>
    <w:rsid w:val="00BC0491"/>
    <w:rsid w:val="00BC0C6D"/>
    <w:rsid w:val="00BD4CE5"/>
    <w:rsid w:val="00BD6D81"/>
    <w:rsid w:val="00BE015F"/>
    <w:rsid w:val="00BE044E"/>
    <w:rsid w:val="00BE0D8B"/>
    <w:rsid w:val="00BE19CF"/>
    <w:rsid w:val="00C00E25"/>
    <w:rsid w:val="00C028D6"/>
    <w:rsid w:val="00C2159D"/>
    <w:rsid w:val="00C2319E"/>
    <w:rsid w:val="00C375AA"/>
    <w:rsid w:val="00C43528"/>
    <w:rsid w:val="00C50EE7"/>
    <w:rsid w:val="00C64584"/>
    <w:rsid w:val="00C7405E"/>
    <w:rsid w:val="00CA549B"/>
    <w:rsid w:val="00CA5CCE"/>
    <w:rsid w:val="00CB5B58"/>
    <w:rsid w:val="00CB77F1"/>
    <w:rsid w:val="00CD1A68"/>
    <w:rsid w:val="00CD20A7"/>
    <w:rsid w:val="00CD4A98"/>
    <w:rsid w:val="00CF640F"/>
    <w:rsid w:val="00D04691"/>
    <w:rsid w:val="00D0531C"/>
    <w:rsid w:val="00D302DA"/>
    <w:rsid w:val="00D33E37"/>
    <w:rsid w:val="00D370E0"/>
    <w:rsid w:val="00D44D41"/>
    <w:rsid w:val="00D6489A"/>
    <w:rsid w:val="00D74420"/>
    <w:rsid w:val="00D75B10"/>
    <w:rsid w:val="00D83C99"/>
    <w:rsid w:val="00D858A6"/>
    <w:rsid w:val="00D9125F"/>
    <w:rsid w:val="00D91A06"/>
    <w:rsid w:val="00DA1938"/>
    <w:rsid w:val="00DA7F85"/>
    <w:rsid w:val="00DB347A"/>
    <w:rsid w:val="00DB5137"/>
    <w:rsid w:val="00DD1340"/>
    <w:rsid w:val="00DD7398"/>
    <w:rsid w:val="00DD7E17"/>
    <w:rsid w:val="00DE78C0"/>
    <w:rsid w:val="00DF76C2"/>
    <w:rsid w:val="00E00626"/>
    <w:rsid w:val="00E027A9"/>
    <w:rsid w:val="00E03D2C"/>
    <w:rsid w:val="00E07CCD"/>
    <w:rsid w:val="00E105CC"/>
    <w:rsid w:val="00E21544"/>
    <w:rsid w:val="00E30455"/>
    <w:rsid w:val="00E32B12"/>
    <w:rsid w:val="00E43CDD"/>
    <w:rsid w:val="00E4736F"/>
    <w:rsid w:val="00E679B6"/>
    <w:rsid w:val="00E7635D"/>
    <w:rsid w:val="00E82900"/>
    <w:rsid w:val="00E839D2"/>
    <w:rsid w:val="00E93BC2"/>
    <w:rsid w:val="00EA23CD"/>
    <w:rsid w:val="00EB2A6D"/>
    <w:rsid w:val="00EB377F"/>
    <w:rsid w:val="00EB39B3"/>
    <w:rsid w:val="00EB6A05"/>
    <w:rsid w:val="00EC54D9"/>
    <w:rsid w:val="00EE0AED"/>
    <w:rsid w:val="00EE5BE5"/>
    <w:rsid w:val="00EF0629"/>
    <w:rsid w:val="00EF0EE3"/>
    <w:rsid w:val="00EF2F02"/>
    <w:rsid w:val="00F01567"/>
    <w:rsid w:val="00F02D14"/>
    <w:rsid w:val="00F03161"/>
    <w:rsid w:val="00F03935"/>
    <w:rsid w:val="00F0548A"/>
    <w:rsid w:val="00F30BAB"/>
    <w:rsid w:val="00F34119"/>
    <w:rsid w:val="00F40F7E"/>
    <w:rsid w:val="00F428E2"/>
    <w:rsid w:val="00F529B8"/>
    <w:rsid w:val="00F54A7A"/>
    <w:rsid w:val="00F54E6A"/>
    <w:rsid w:val="00F635DA"/>
    <w:rsid w:val="00F75C58"/>
    <w:rsid w:val="00F81981"/>
    <w:rsid w:val="00F84112"/>
    <w:rsid w:val="00F93BD9"/>
    <w:rsid w:val="00FB7635"/>
    <w:rsid w:val="00FC0431"/>
    <w:rsid w:val="00FC7F24"/>
    <w:rsid w:val="00FD464F"/>
    <w:rsid w:val="00FE0BF5"/>
    <w:rsid w:val="00FF5D45"/>
    <w:rsid w:val="00FF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2C19"/>
    <w:pPr>
      <w:spacing w:after="200" w:line="276" w:lineRule="auto"/>
    </w:pPr>
    <w:rPr>
      <w:szCs w:val="20"/>
    </w:rPr>
  </w:style>
  <w:style w:type="paragraph" w:styleId="Heading1">
    <w:name w:val="heading 1"/>
    <w:basedOn w:val="Normal"/>
    <w:link w:val="Heading1Char"/>
    <w:uiPriority w:val="9"/>
    <w:qFormat/>
    <w:rsid w:val="007A4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0B25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B25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qFormat/>
    <w:rsid w:val="002A2C19"/>
    <w:pPr>
      <w:spacing w:after="200" w:line="276" w:lineRule="auto"/>
    </w:pPr>
    <w:rPr>
      <w:rFonts w:ascii="Calibri" w:eastAsia="Calibri" w:hAnsi="Calibri" w:cs="Calibri"/>
      <w:color w:val="000000"/>
      <w:u w:color="000000"/>
      <w:lang w:val="en-GB" w:eastAsia="en-GB"/>
    </w:rPr>
  </w:style>
  <w:style w:type="character" w:customStyle="1" w:styleId="Heading1Char">
    <w:name w:val="Heading 1 Char"/>
    <w:basedOn w:val="DefaultParagraphFont"/>
    <w:link w:val="Heading1"/>
    <w:uiPriority w:val="9"/>
    <w:rsid w:val="007A4DEB"/>
    <w:rPr>
      <w:rFonts w:ascii="Times New Roman" w:eastAsia="Times New Roman" w:hAnsi="Times New Roman" w:cs="Times New Roman"/>
      <w:b/>
      <w:bCs/>
      <w:kern w:val="36"/>
      <w:sz w:val="48"/>
      <w:szCs w:val="48"/>
      <w:lang w:eastAsia="ru-RU"/>
    </w:rPr>
  </w:style>
  <w:style w:type="paragraph" w:customStyle="1" w:styleId="Default">
    <w:name w:val="Default"/>
    <w:rsid w:val="00F02D1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64ED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4EDC"/>
    <w:rPr>
      <w:szCs w:val="20"/>
    </w:rPr>
  </w:style>
  <w:style w:type="paragraph" w:styleId="Footer">
    <w:name w:val="footer"/>
    <w:basedOn w:val="Normal"/>
    <w:link w:val="FooterChar"/>
    <w:uiPriority w:val="99"/>
    <w:unhideWhenUsed/>
    <w:rsid w:val="00A64ED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4EDC"/>
    <w:rPr>
      <w:szCs w:val="20"/>
    </w:rPr>
  </w:style>
  <w:style w:type="table" w:styleId="TableGrid">
    <w:name w:val="Table Grid"/>
    <w:basedOn w:val="TableNormal"/>
    <w:uiPriority w:val="39"/>
    <w:rsid w:val="0082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7A0"/>
    <w:pPr>
      <w:spacing w:after="0" w:line="240" w:lineRule="auto"/>
      <w:ind w:left="720"/>
      <w:contextualSpacing/>
    </w:pPr>
    <w:rPr>
      <w:rFonts w:eastAsiaTheme="minorEastAsia"/>
      <w:szCs w:val="22"/>
      <w:lang w:val="nl-NL" w:eastAsia="nl-NL"/>
    </w:rPr>
  </w:style>
  <w:style w:type="paragraph" w:styleId="BalloonText">
    <w:name w:val="Balloon Text"/>
    <w:basedOn w:val="Normal"/>
    <w:link w:val="BalloonTextChar"/>
    <w:uiPriority w:val="99"/>
    <w:semiHidden/>
    <w:unhideWhenUsed/>
    <w:rsid w:val="00E9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C2"/>
    <w:rPr>
      <w:rFonts w:ascii="Tahoma" w:hAnsi="Tahoma" w:cs="Tahoma"/>
      <w:sz w:val="16"/>
      <w:szCs w:val="16"/>
    </w:rPr>
  </w:style>
  <w:style w:type="character" w:styleId="CommentReference">
    <w:name w:val="annotation reference"/>
    <w:basedOn w:val="DefaultParagraphFont"/>
    <w:uiPriority w:val="99"/>
    <w:semiHidden/>
    <w:unhideWhenUsed/>
    <w:rsid w:val="00F54A7A"/>
    <w:rPr>
      <w:sz w:val="16"/>
      <w:szCs w:val="16"/>
    </w:rPr>
  </w:style>
  <w:style w:type="paragraph" w:styleId="CommentText">
    <w:name w:val="annotation text"/>
    <w:basedOn w:val="Normal"/>
    <w:link w:val="CommentTextChar"/>
    <w:uiPriority w:val="99"/>
    <w:semiHidden/>
    <w:unhideWhenUsed/>
    <w:rsid w:val="00F54A7A"/>
    <w:pPr>
      <w:spacing w:line="240" w:lineRule="auto"/>
    </w:pPr>
    <w:rPr>
      <w:sz w:val="20"/>
      <w:lang w:val="en-US"/>
    </w:rPr>
  </w:style>
  <w:style w:type="character" w:customStyle="1" w:styleId="CommentTextChar">
    <w:name w:val="Comment Text Char"/>
    <w:basedOn w:val="DefaultParagraphFont"/>
    <w:link w:val="CommentText"/>
    <w:uiPriority w:val="99"/>
    <w:semiHidden/>
    <w:rsid w:val="00F54A7A"/>
    <w:rPr>
      <w:sz w:val="20"/>
      <w:szCs w:val="20"/>
      <w:lang w:val="en-US"/>
    </w:rPr>
  </w:style>
  <w:style w:type="paragraph" w:styleId="CommentSubject">
    <w:name w:val="annotation subject"/>
    <w:basedOn w:val="CommentText"/>
    <w:next w:val="CommentText"/>
    <w:link w:val="CommentSubjectChar"/>
    <w:uiPriority w:val="99"/>
    <w:semiHidden/>
    <w:unhideWhenUsed/>
    <w:rsid w:val="004911A7"/>
    <w:rPr>
      <w:b/>
      <w:bCs/>
      <w:lang w:val="ru-RU"/>
    </w:rPr>
  </w:style>
  <w:style w:type="character" w:customStyle="1" w:styleId="CommentSubjectChar">
    <w:name w:val="Comment Subject Char"/>
    <w:basedOn w:val="CommentTextChar"/>
    <w:link w:val="CommentSubject"/>
    <w:uiPriority w:val="99"/>
    <w:semiHidden/>
    <w:rsid w:val="004911A7"/>
    <w:rPr>
      <w:b/>
      <w:bCs/>
      <w:sz w:val="20"/>
      <w:szCs w:val="20"/>
      <w:lang w:val="en-US"/>
    </w:rPr>
  </w:style>
  <w:style w:type="paragraph" w:styleId="NormalWeb">
    <w:name w:val="Normal (Web)"/>
    <w:basedOn w:val="Normal"/>
    <w:uiPriority w:val="99"/>
    <w:unhideWhenUsed/>
    <w:rsid w:val="00B02F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B25D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0B25DC"/>
    <w:rPr>
      <w:rFonts w:asciiTheme="majorHAnsi" w:eastAsiaTheme="majorEastAsia" w:hAnsiTheme="majorHAnsi" w:cstheme="majorBidi"/>
      <w:b/>
      <w:bCs/>
      <w:color w:val="5B9BD5" w:themeColor="accent1"/>
      <w:szCs w:val="20"/>
    </w:rPr>
  </w:style>
  <w:style w:type="paragraph" w:styleId="Caption">
    <w:name w:val="caption"/>
    <w:basedOn w:val="Normal"/>
    <w:next w:val="Normal"/>
    <w:uiPriority w:val="35"/>
    <w:unhideWhenUsed/>
    <w:qFormat/>
    <w:rsid w:val="00AA35C5"/>
    <w:pPr>
      <w:spacing w:line="240" w:lineRule="auto"/>
    </w:pPr>
    <w:rPr>
      <w:i/>
      <w:iCs/>
      <w:color w:val="44546A" w:themeColor="text2"/>
      <w:sz w:val="18"/>
      <w:szCs w:val="18"/>
      <w:lang w:val="en-US"/>
    </w:rPr>
  </w:style>
  <w:style w:type="paragraph" w:styleId="Bibliography">
    <w:name w:val="Bibliography"/>
    <w:basedOn w:val="Normal"/>
    <w:next w:val="Normal"/>
    <w:uiPriority w:val="37"/>
    <w:unhideWhenUsed/>
    <w:rsid w:val="004F7F62"/>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2C19"/>
    <w:pPr>
      <w:spacing w:after="200" w:line="276" w:lineRule="auto"/>
    </w:pPr>
    <w:rPr>
      <w:szCs w:val="20"/>
    </w:rPr>
  </w:style>
  <w:style w:type="paragraph" w:styleId="Heading1">
    <w:name w:val="heading 1"/>
    <w:basedOn w:val="Normal"/>
    <w:link w:val="Heading1Char"/>
    <w:uiPriority w:val="9"/>
    <w:qFormat/>
    <w:rsid w:val="007A4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0B25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B25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qFormat/>
    <w:rsid w:val="002A2C19"/>
    <w:pPr>
      <w:spacing w:after="200" w:line="276" w:lineRule="auto"/>
    </w:pPr>
    <w:rPr>
      <w:rFonts w:ascii="Calibri" w:eastAsia="Calibri" w:hAnsi="Calibri" w:cs="Calibri"/>
      <w:color w:val="000000"/>
      <w:u w:color="000000"/>
      <w:lang w:val="en-GB" w:eastAsia="en-GB"/>
    </w:rPr>
  </w:style>
  <w:style w:type="character" w:customStyle="1" w:styleId="Heading1Char">
    <w:name w:val="Heading 1 Char"/>
    <w:basedOn w:val="DefaultParagraphFont"/>
    <w:link w:val="Heading1"/>
    <w:uiPriority w:val="9"/>
    <w:rsid w:val="007A4DEB"/>
    <w:rPr>
      <w:rFonts w:ascii="Times New Roman" w:eastAsia="Times New Roman" w:hAnsi="Times New Roman" w:cs="Times New Roman"/>
      <w:b/>
      <w:bCs/>
      <w:kern w:val="36"/>
      <w:sz w:val="48"/>
      <w:szCs w:val="48"/>
      <w:lang w:eastAsia="ru-RU"/>
    </w:rPr>
  </w:style>
  <w:style w:type="paragraph" w:customStyle="1" w:styleId="Default">
    <w:name w:val="Default"/>
    <w:rsid w:val="00F02D1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64ED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4EDC"/>
    <w:rPr>
      <w:szCs w:val="20"/>
    </w:rPr>
  </w:style>
  <w:style w:type="paragraph" w:styleId="Footer">
    <w:name w:val="footer"/>
    <w:basedOn w:val="Normal"/>
    <w:link w:val="FooterChar"/>
    <w:uiPriority w:val="99"/>
    <w:unhideWhenUsed/>
    <w:rsid w:val="00A64ED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4EDC"/>
    <w:rPr>
      <w:szCs w:val="20"/>
    </w:rPr>
  </w:style>
  <w:style w:type="table" w:styleId="TableGrid">
    <w:name w:val="Table Grid"/>
    <w:basedOn w:val="TableNormal"/>
    <w:uiPriority w:val="39"/>
    <w:rsid w:val="0082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7A0"/>
    <w:pPr>
      <w:spacing w:after="0" w:line="240" w:lineRule="auto"/>
      <w:ind w:left="720"/>
      <w:contextualSpacing/>
    </w:pPr>
    <w:rPr>
      <w:rFonts w:eastAsiaTheme="minorEastAsia"/>
      <w:szCs w:val="22"/>
      <w:lang w:val="nl-NL" w:eastAsia="nl-NL"/>
    </w:rPr>
  </w:style>
  <w:style w:type="paragraph" w:styleId="BalloonText">
    <w:name w:val="Balloon Text"/>
    <w:basedOn w:val="Normal"/>
    <w:link w:val="BalloonTextChar"/>
    <w:uiPriority w:val="99"/>
    <w:semiHidden/>
    <w:unhideWhenUsed/>
    <w:rsid w:val="00E9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C2"/>
    <w:rPr>
      <w:rFonts w:ascii="Tahoma" w:hAnsi="Tahoma" w:cs="Tahoma"/>
      <w:sz w:val="16"/>
      <w:szCs w:val="16"/>
    </w:rPr>
  </w:style>
  <w:style w:type="character" w:styleId="CommentReference">
    <w:name w:val="annotation reference"/>
    <w:basedOn w:val="DefaultParagraphFont"/>
    <w:uiPriority w:val="99"/>
    <w:semiHidden/>
    <w:unhideWhenUsed/>
    <w:rsid w:val="00F54A7A"/>
    <w:rPr>
      <w:sz w:val="16"/>
      <w:szCs w:val="16"/>
    </w:rPr>
  </w:style>
  <w:style w:type="paragraph" w:styleId="CommentText">
    <w:name w:val="annotation text"/>
    <w:basedOn w:val="Normal"/>
    <w:link w:val="CommentTextChar"/>
    <w:uiPriority w:val="99"/>
    <w:semiHidden/>
    <w:unhideWhenUsed/>
    <w:rsid w:val="00F54A7A"/>
    <w:pPr>
      <w:spacing w:line="240" w:lineRule="auto"/>
    </w:pPr>
    <w:rPr>
      <w:sz w:val="20"/>
      <w:lang w:val="en-US"/>
    </w:rPr>
  </w:style>
  <w:style w:type="character" w:customStyle="1" w:styleId="CommentTextChar">
    <w:name w:val="Comment Text Char"/>
    <w:basedOn w:val="DefaultParagraphFont"/>
    <w:link w:val="CommentText"/>
    <w:uiPriority w:val="99"/>
    <w:semiHidden/>
    <w:rsid w:val="00F54A7A"/>
    <w:rPr>
      <w:sz w:val="20"/>
      <w:szCs w:val="20"/>
      <w:lang w:val="en-US"/>
    </w:rPr>
  </w:style>
  <w:style w:type="paragraph" w:styleId="CommentSubject">
    <w:name w:val="annotation subject"/>
    <w:basedOn w:val="CommentText"/>
    <w:next w:val="CommentText"/>
    <w:link w:val="CommentSubjectChar"/>
    <w:uiPriority w:val="99"/>
    <w:semiHidden/>
    <w:unhideWhenUsed/>
    <w:rsid w:val="004911A7"/>
    <w:rPr>
      <w:b/>
      <w:bCs/>
      <w:lang w:val="ru-RU"/>
    </w:rPr>
  </w:style>
  <w:style w:type="character" w:customStyle="1" w:styleId="CommentSubjectChar">
    <w:name w:val="Comment Subject Char"/>
    <w:basedOn w:val="CommentTextChar"/>
    <w:link w:val="CommentSubject"/>
    <w:uiPriority w:val="99"/>
    <w:semiHidden/>
    <w:rsid w:val="004911A7"/>
    <w:rPr>
      <w:b/>
      <w:bCs/>
      <w:sz w:val="20"/>
      <w:szCs w:val="20"/>
      <w:lang w:val="en-US"/>
    </w:rPr>
  </w:style>
  <w:style w:type="paragraph" w:styleId="NormalWeb">
    <w:name w:val="Normal (Web)"/>
    <w:basedOn w:val="Normal"/>
    <w:uiPriority w:val="99"/>
    <w:unhideWhenUsed/>
    <w:rsid w:val="00B02F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B25D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0B25DC"/>
    <w:rPr>
      <w:rFonts w:asciiTheme="majorHAnsi" w:eastAsiaTheme="majorEastAsia" w:hAnsiTheme="majorHAnsi" w:cstheme="majorBidi"/>
      <w:b/>
      <w:bCs/>
      <w:color w:val="5B9BD5" w:themeColor="accent1"/>
      <w:szCs w:val="20"/>
    </w:rPr>
  </w:style>
  <w:style w:type="paragraph" w:styleId="Caption">
    <w:name w:val="caption"/>
    <w:basedOn w:val="Normal"/>
    <w:next w:val="Normal"/>
    <w:uiPriority w:val="35"/>
    <w:unhideWhenUsed/>
    <w:qFormat/>
    <w:rsid w:val="00AA35C5"/>
    <w:pPr>
      <w:spacing w:line="240" w:lineRule="auto"/>
    </w:pPr>
    <w:rPr>
      <w:i/>
      <w:iCs/>
      <w:color w:val="44546A" w:themeColor="text2"/>
      <w:sz w:val="18"/>
      <w:szCs w:val="18"/>
      <w:lang w:val="en-US"/>
    </w:rPr>
  </w:style>
  <w:style w:type="paragraph" w:styleId="Bibliography">
    <w:name w:val="Bibliography"/>
    <w:basedOn w:val="Normal"/>
    <w:next w:val="Normal"/>
    <w:uiPriority w:val="37"/>
    <w:unhideWhenUsed/>
    <w:rsid w:val="004F7F62"/>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55540">
      <w:bodyDiv w:val="1"/>
      <w:marLeft w:val="0"/>
      <w:marRight w:val="0"/>
      <w:marTop w:val="0"/>
      <w:marBottom w:val="0"/>
      <w:divBdr>
        <w:top w:val="none" w:sz="0" w:space="0" w:color="auto"/>
        <w:left w:val="none" w:sz="0" w:space="0" w:color="auto"/>
        <w:bottom w:val="none" w:sz="0" w:space="0" w:color="auto"/>
        <w:right w:val="none" w:sz="0" w:space="0" w:color="auto"/>
      </w:divBdr>
    </w:div>
    <w:div w:id="1021660782">
      <w:bodyDiv w:val="1"/>
      <w:marLeft w:val="0"/>
      <w:marRight w:val="0"/>
      <w:marTop w:val="0"/>
      <w:marBottom w:val="0"/>
      <w:divBdr>
        <w:top w:val="none" w:sz="0" w:space="0" w:color="auto"/>
        <w:left w:val="none" w:sz="0" w:space="0" w:color="auto"/>
        <w:bottom w:val="none" w:sz="0" w:space="0" w:color="auto"/>
        <w:right w:val="none" w:sz="0" w:space="0" w:color="auto"/>
      </w:divBdr>
    </w:div>
    <w:div w:id="1575696669">
      <w:bodyDiv w:val="1"/>
      <w:marLeft w:val="0"/>
      <w:marRight w:val="0"/>
      <w:marTop w:val="0"/>
      <w:marBottom w:val="0"/>
      <w:divBdr>
        <w:top w:val="none" w:sz="0" w:space="0" w:color="auto"/>
        <w:left w:val="none" w:sz="0" w:space="0" w:color="auto"/>
        <w:bottom w:val="none" w:sz="0" w:space="0" w:color="auto"/>
        <w:right w:val="none" w:sz="0" w:space="0" w:color="auto"/>
      </w:divBdr>
    </w:div>
    <w:div w:id="17026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9C81-74E2-498C-A88D-98154912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10714</Words>
  <Characters>61072</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Tatiana Strekalova</cp:lastModifiedBy>
  <cp:revision>2</cp:revision>
  <dcterms:created xsi:type="dcterms:W3CDTF">2021-03-24T12:00:00Z</dcterms:created>
  <dcterms:modified xsi:type="dcterms:W3CDTF">2021-03-24T12:00:00Z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id="CN8yU7lp"/&gt;&lt;style id="http://www.zotero.org/styles/elsevier-harvard" hasBibliography="1" bibliographyStyleHasBeenSet="1"/&gt;&lt;prefs&gt;&lt;pref name="fieldType" value="Field"/&gt;&lt;/prefs&gt;&lt;/data&gt;</vt:lpwstr>
  </property>
</Properties>
</file>