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480D0" w14:textId="77777777" w:rsidR="0005522F" w:rsidRDefault="00B51AC2">
      <w:pPr>
        <w:pBdr>
          <w:top w:val="nil"/>
          <w:left w:val="nil"/>
          <w:bottom w:val="nil"/>
          <w:right w:val="nil"/>
          <w:between w:val="nil"/>
        </w:pBdr>
        <w:spacing w:before="240" w:after="120"/>
        <w:jc w:val="center"/>
        <w:rPr>
          <w:i/>
          <w:color w:val="000000"/>
          <w:sz w:val="32"/>
          <w:szCs w:val="32"/>
        </w:rPr>
      </w:pPr>
      <w:r>
        <w:rPr>
          <w:b/>
          <w:i/>
          <w:color w:val="000000"/>
          <w:sz w:val="32"/>
          <w:szCs w:val="32"/>
        </w:rPr>
        <w:t>Supplementary Material</w:t>
      </w:r>
    </w:p>
    <w:p w14:paraId="1ECE88A0" w14:textId="77777777" w:rsidR="0005522F" w:rsidRDefault="00B51AC2">
      <w:pPr>
        <w:pStyle w:val="Heading1"/>
        <w:numPr>
          <w:ilvl w:val="0"/>
          <w:numId w:val="1"/>
        </w:numPr>
      </w:pPr>
      <w:r>
        <w:t>Variability</w:t>
      </w:r>
    </w:p>
    <w:p w14:paraId="745C2C87" w14:textId="58A2A6DF" w:rsidR="0005522F" w:rsidRDefault="00B51AC2">
      <w:pPr>
        <w:jc w:val="both"/>
      </w:pPr>
      <w:r>
        <w:t>We expect to have regional variations across the brain cortex (Lerch</w:t>
      </w:r>
      <w:r w:rsidR="00EB14D9">
        <w:t xml:space="preserve"> and Evans</w:t>
      </w:r>
      <w:r>
        <w:t>, 2005) for the unaltered MRIs. The vertex-based Coefficients of Variation (</w:t>
      </w:r>
      <w:proofErr w:type="spellStart"/>
      <w:r>
        <w:t>CoV</w:t>
      </w:r>
      <w:proofErr w:type="spellEnd"/>
      <w:r>
        <w:t xml:space="preserve">) of the cortical thickness are studied for IBIS-Phantom dataset in section 3.2, where there are 21 scans of </w:t>
      </w:r>
      <w:r>
        <w:t xml:space="preserve">one subject. The </w:t>
      </w:r>
      <w:proofErr w:type="spellStart"/>
      <w:r>
        <w:t>CoV</w:t>
      </w:r>
      <w:proofErr w:type="spellEnd"/>
      <w:r>
        <w:t xml:space="preserve"> maps over the brain show symmetric shape for both pipelines and the </w:t>
      </w:r>
      <w:proofErr w:type="spellStart"/>
      <w:r>
        <w:t>CoV</w:t>
      </w:r>
      <w:proofErr w:type="spellEnd"/>
      <w:r>
        <w:t xml:space="preserve"> values are low all over the brain. However, the structure of </w:t>
      </w:r>
      <w:proofErr w:type="spellStart"/>
      <w:r>
        <w:t>CoV</w:t>
      </w:r>
      <w:proofErr w:type="spellEnd"/>
      <w:r>
        <w:t xml:space="preserve"> is different for pipelines. </w:t>
      </w:r>
    </w:p>
    <w:p w14:paraId="0F251F0C" w14:textId="38A78E79" w:rsidR="0005522F" w:rsidRDefault="00B51AC2">
      <w:pPr>
        <w:jc w:val="both"/>
      </w:pPr>
      <w:r>
        <w:t xml:space="preserve">Here, the standard deviation of the measured thickness is calculated </w:t>
      </w:r>
      <w:r>
        <w:t xml:space="preserve">at each vertex for both the repeated scans of one subject (IBIS-phantom) and the ICBM population and are shown in Supplementary Table 1. For CIVET 2.1.1, </w:t>
      </w:r>
      <w:proofErr w:type="spellStart"/>
      <w:r>
        <w:t>tlink</w:t>
      </w:r>
      <w:proofErr w:type="spellEnd"/>
      <w:r>
        <w:t xml:space="preserve"> has the highest and </w:t>
      </w:r>
      <w:proofErr w:type="spellStart"/>
      <w:r>
        <w:t>tfs</w:t>
      </w:r>
      <w:proofErr w:type="spellEnd"/>
      <w:r>
        <w:t xml:space="preserve"> has the lowest standard deviations. All metrics show small </w:t>
      </w:r>
      <w:proofErr w:type="spellStart"/>
      <w:r>
        <w:t>CoV</w:t>
      </w:r>
      <w:proofErr w:type="spellEnd"/>
      <w:r>
        <w:t xml:space="preserve"> values al</w:t>
      </w:r>
      <w:r>
        <w:t xml:space="preserve">l over the brain surface, while CIVET has lower </w:t>
      </w:r>
      <w:proofErr w:type="spellStart"/>
      <w:r>
        <w:t>CoVs</w:t>
      </w:r>
      <w:proofErr w:type="spellEnd"/>
      <w:r>
        <w:t xml:space="preserve">. The mean thickness is differing for different </w:t>
      </w:r>
      <w:proofErr w:type="gramStart"/>
      <w:r>
        <w:t>metrics, since</w:t>
      </w:r>
      <w:proofErr w:type="gramEnd"/>
      <w:r>
        <w:t xml:space="preserve"> each meter has special description. By normalizing the standard deviation, still </w:t>
      </w:r>
      <w:proofErr w:type="spellStart"/>
      <w:r>
        <w:t>tlink</w:t>
      </w:r>
      <w:proofErr w:type="spellEnd"/>
      <w:r>
        <w:t xml:space="preserve"> has the worst performance for CIVET and </w:t>
      </w:r>
      <w:proofErr w:type="spellStart"/>
      <w:r>
        <w:t>FreeSurfer</w:t>
      </w:r>
      <w:proofErr w:type="spellEnd"/>
      <w:r>
        <w:t xml:space="preserve"> 6.0</w:t>
      </w:r>
      <w:r>
        <w:t xml:space="preserve"> has improved from </w:t>
      </w:r>
      <w:proofErr w:type="spellStart"/>
      <w:r>
        <w:t>FreeSurfer</w:t>
      </w:r>
      <w:proofErr w:type="spellEnd"/>
      <w:r>
        <w:t xml:space="preserve"> 5.3. All of these is correct for both 21 repeated scans and </w:t>
      </w:r>
      <w:r w:rsidR="00EB14D9">
        <w:t xml:space="preserve">for </w:t>
      </w:r>
      <w:r>
        <w:t>152 different subjects. The standard deviations are higher for ICBM dataset for all pipelines, which is expected</w:t>
      </w:r>
      <w:r w:rsidR="00EB14D9">
        <w:t xml:space="preserve"> due to interindividual </w:t>
      </w:r>
      <w:proofErr w:type="spellStart"/>
      <w:r w:rsidR="00EB14D9">
        <w:t>variablity</w:t>
      </w:r>
      <w:proofErr w:type="spellEnd"/>
      <w:r>
        <w:t xml:space="preserve">.   </w:t>
      </w:r>
    </w:p>
    <w:tbl>
      <w:tblPr>
        <w:tblStyle w:val="a"/>
        <w:tblW w:w="9679" w:type="dxa"/>
        <w:jc w:val="center"/>
        <w:tblLayout w:type="fixed"/>
        <w:tblLook w:val="0400" w:firstRow="0" w:lastRow="0" w:firstColumn="0" w:lastColumn="0" w:noHBand="0" w:noVBand="1"/>
      </w:tblPr>
      <w:tblGrid>
        <w:gridCol w:w="1824"/>
        <w:gridCol w:w="1255"/>
        <w:gridCol w:w="919"/>
        <w:gridCol w:w="807"/>
        <w:gridCol w:w="1304"/>
        <w:gridCol w:w="270"/>
        <w:gridCol w:w="919"/>
        <w:gridCol w:w="807"/>
        <w:gridCol w:w="1304"/>
        <w:gridCol w:w="270"/>
      </w:tblGrid>
      <w:tr w:rsidR="0005522F" w14:paraId="03FFD5A9" w14:textId="77777777">
        <w:trPr>
          <w:jc w:val="center"/>
        </w:trPr>
        <w:tc>
          <w:tcPr>
            <w:tcW w:w="9679" w:type="dxa"/>
            <w:gridSpan w:val="10"/>
            <w:tcMar>
              <w:top w:w="100" w:type="dxa"/>
              <w:left w:w="100" w:type="dxa"/>
              <w:bottom w:w="100" w:type="dxa"/>
              <w:right w:w="100" w:type="dxa"/>
            </w:tcMar>
          </w:tcPr>
          <w:p w14:paraId="1E24C755" w14:textId="77777777" w:rsidR="0005522F" w:rsidRDefault="00B51AC2">
            <w:pPr>
              <w:spacing w:before="0" w:after="0"/>
            </w:pPr>
            <w:r>
              <w:rPr>
                <w:b/>
                <w:color w:val="000000"/>
                <w:sz w:val="20"/>
                <w:szCs w:val="20"/>
              </w:rPr>
              <w:br/>
            </w:r>
            <w:r>
              <w:rPr>
                <w:b/>
                <w:color w:val="000000"/>
              </w:rPr>
              <w:t>Supplementary Table 1.</w:t>
            </w:r>
            <w:r>
              <w:rPr>
                <w:color w:val="000000"/>
              </w:rPr>
              <w:t xml:space="preserve"> Mean and Standard deviations of cortical thickness for different metrics.</w:t>
            </w:r>
          </w:p>
        </w:tc>
      </w:tr>
      <w:tr w:rsidR="0005522F" w14:paraId="43BC98C0" w14:textId="77777777">
        <w:trPr>
          <w:jc w:val="center"/>
        </w:trPr>
        <w:tc>
          <w:tcPr>
            <w:tcW w:w="1824" w:type="dxa"/>
            <w:tcBorders>
              <w:bottom w:val="single" w:sz="4" w:space="0" w:color="000000"/>
            </w:tcBorders>
            <w:tcMar>
              <w:top w:w="100" w:type="dxa"/>
              <w:left w:w="100" w:type="dxa"/>
              <w:bottom w:w="100" w:type="dxa"/>
              <w:right w:w="100" w:type="dxa"/>
            </w:tcMar>
          </w:tcPr>
          <w:p w14:paraId="08B45657" w14:textId="77777777" w:rsidR="0005522F" w:rsidRDefault="0005522F">
            <w:pPr>
              <w:spacing w:before="0" w:after="0"/>
            </w:pPr>
          </w:p>
        </w:tc>
        <w:tc>
          <w:tcPr>
            <w:tcW w:w="1255" w:type="dxa"/>
            <w:tcBorders>
              <w:bottom w:val="single" w:sz="4" w:space="0" w:color="000000"/>
            </w:tcBorders>
            <w:tcMar>
              <w:top w:w="100" w:type="dxa"/>
              <w:left w:w="100" w:type="dxa"/>
              <w:bottom w:w="100" w:type="dxa"/>
              <w:right w:w="100" w:type="dxa"/>
            </w:tcMar>
          </w:tcPr>
          <w:p w14:paraId="096105F3" w14:textId="77777777" w:rsidR="0005522F" w:rsidRDefault="0005522F">
            <w:pPr>
              <w:spacing w:before="0" w:after="0"/>
            </w:pPr>
          </w:p>
        </w:tc>
        <w:tc>
          <w:tcPr>
            <w:tcW w:w="3300" w:type="dxa"/>
            <w:gridSpan w:val="4"/>
            <w:tcBorders>
              <w:bottom w:val="single" w:sz="4" w:space="0" w:color="000000"/>
            </w:tcBorders>
            <w:tcMar>
              <w:top w:w="100" w:type="dxa"/>
              <w:left w:w="100" w:type="dxa"/>
              <w:bottom w:w="100" w:type="dxa"/>
              <w:right w:w="100" w:type="dxa"/>
            </w:tcMar>
          </w:tcPr>
          <w:p w14:paraId="6A2DF38C" w14:textId="77777777" w:rsidR="0005522F" w:rsidRDefault="00B51AC2">
            <w:pPr>
              <w:spacing w:before="0" w:after="0"/>
              <w:jc w:val="both"/>
            </w:pPr>
            <w:r>
              <w:rPr>
                <w:b/>
                <w:color w:val="000000"/>
                <w:sz w:val="22"/>
                <w:szCs w:val="22"/>
              </w:rPr>
              <w:t>21 scans of the same subject </w:t>
            </w:r>
          </w:p>
          <w:p w14:paraId="7FE52B81" w14:textId="77777777" w:rsidR="0005522F" w:rsidRDefault="00B51AC2">
            <w:pPr>
              <w:spacing w:before="0" w:after="0"/>
              <w:jc w:val="both"/>
            </w:pPr>
            <w:r>
              <w:rPr>
                <w:b/>
                <w:color w:val="000000"/>
                <w:sz w:val="22"/>
                <w:szCs w:val="22"/>
              </w:rPr>
              <w:t>(IBIS-Phantom)</w:t>
            </w:r>
          </w:p>
        </w:tc>
        <w:tc>
          <w:tcPr>
            <w:tcW w:w="3300" w:type="dxa"/>
            <w:gridSpan w:val="4"/>
            <w:tcBorders>
              <w:bottom w:val="single" w:sz="4" w:space="0" w:color="000000"/>
            </w:tcBorders>
            <w:tcMar>
              <w:top w:w="100" w:type="dxa"/>
              <w:left w:w="100" w:type="dxa"/>
              <w:bottom w:w="100" w:type="dxa"/>
              <w:right w:w="100" w:type="dxa"/>
            </w:tcMar>
          </w:tcPr>
          <w:p w14:paraId="15C2F86A" w14:textId="77777777" w:rsidR="0005522F" w:rsidRDefault="00B51AC2">
            <w:pPr>
              <w:spacing w:before="0" w:after="0"/>
              <w:jc w:val="both"/>
            </w:pPr>
            <w:r>
              <w:rPr>
                <w:b/>
                <w:color w:val="000000"/>
                <w:sz w:val="22"/>
                <w:szCs w:val="22"/>
              </w:rPr>
              <w:t>152 normal subjects</w:t>
            </w:r>
          </w:p>
          <w:p w14:paraId="73C0BA6B" w14:textId="77777777" w:rsidR="0005522F" w:rsidRDefault="00B51AC2">
            <w:pPr>
              <w:spacing w:before="0" w:after="0"/>
              <w:jc w:val="both"/>
            </w:pPr>
            <w:r>
              <w:rPr>
                <w:b/>
                <w:color w:val="000000"/>
                <w:sz w:val="22"/>
                <w:szCs w:val="22"/>
              </w:rPr>
              <w:t> (ICBM)</w:t>
            </w:r>
          </w:p>
        </w:tc>
      </w:tr>
      <w:tr w:rsidR="0005522F" w14:paraId="70FF8A2F" w14:textId="77777777">
        <w:trPr>
          <w:jc w:val="center"/>
        </w:trPr>
        <w:tc>
          <w:tcPr>
            <w:tcW w:w="1824" w:type="dxa"/>
            <w:tcBorders>
              <w:top w:val="single" w:sz="4" w:space="0" w:color="000000"/>
            </w:tcBorders>
            <w:tcMar>
              <w:top w:w="100" w:type="dxa"/>
              <w:left w:w="100" w:type="dxa"/>
              <w:bottom w:w="100" w:type="dxa"/>
              <w:right w:w="100" w:type="dxa"/>
            </w:tcMar>
          </w:tcPr>
          <w:p w14:paraId="353CDD96" w14:textId="77777777" w:rsidR="0005522F" w:rsidRDefault="0005522F">
            <w:pPr>
              <w:spacing w:before="0" w:after="0"/>
            </w:pPr>
          </w:p>
        </w:tc>
        <w:tc>
          <w:tcPr>
            <w:tcW w:w="1255" w:type="dxa"/>
            <w:tcBorders>
              <w:top w:val="single" w:sz="4" w:space="0" w:color="000000"/>
            </w:tcBorders>
            <w:tcMar>
              <w:top w:w="100" w:type="dxa"/>
              <w:left w:w="100" w:type="dxa"/>
              <w:bottom w:w="100" w:type="dxa"/>
              <w:right w:w="100" w:type="dxa"/>
            </w:tcMar>
          </w:tcPr>
          <w:p w14:paraId="7B0D832E" w14:textId="77777777" w:rsidR="0005522F" w:rsidRDefault="0005522F">
            <w:pPr>
              <w:spacing w:before="0" w:after="0"/>
            </w:pPr>
          </w:p>
        </w:tc>
        <w:tc>
          <w:tcPr>
            <w:tcW w:w="919" w:type="dxa"/>
            <w:tcBorders>
              <w:top w:val="single" w:sz="4" w:space="0" w:color="000000"/>
              <w:bottom w:val="single" w:sz="4" w:space="0" w:color="000000"/>
            </w:tcBorders>
            <w:tcMar>
              <w:top w:w="100" w:type="dxa"/>
              <w:left w:w="100" w:type="dxa"/>
              <w:bottom w:w="100" w:type="dxa"/>
              <w:right w:w="100" w:type="dxa"/>
            </w:tcMar>
          </w:tcPr>
          <w:p w14:paraId="506E64AF" w14:textId="77777777" w:rsidR="0005522F" w:rsidRDefault="00B51AC2">
            <w:pPr>
              <w:spacing w:before="0" w:after="0"/>
              <w:jc w:val="both"/>
            </w:pPr>
            <w:r>
              <w:rPr>
                <w:color w:val="000000"/>
                <w:sz w:val="22"/>
                <w:szCs w:val="22"/>
              </w:rPr>
              <w:t>Mean</w:t>
            </w:r>
          </w:p>
        </w:tc>
        <w:tc>
          <w:tcPr>
            <w:tcW w:w="807" w:type="dxa"/>
            <w:tcBorders>
              <w:top w:val="single" w:sz="4" w:space="0" w:color="000000"/>
              <w:bottom w:val="single" w:sz="4" w:space="0" w:color="000000"/>
            </w:tcBorders>
            <w:tcMar>
              <w:top w:w="100" w:type="dxa"/>
              <w:left w:w="100" w:type="dxa"/>
              <w:bottom w:w="100" w:type="dxa"/>
              <w:right w:w="100" w:type="dxa"/>
            </w:tcMar>
          </w:tcPr>
          <w:p w14:paraId="361979D9" w14:textId="77777777" w:rsidR="0005522F" w:rsidRDefault="00B51AC2">
            <w:pPr>
              <w:spacing w:before="0" w:after="0"/>
              <w:jc w:val="both"/>
            </w:pPr>
            <w:r>
              <w:rPr>
                <w:color w:val="000000"/>
                <w:sz w:val="22"/>
                <w:szCs w:val="22"/>
              </w:rPr>
              <w:t>STD</w:t>
            </w:r>
          </w:p>
        </w:tc>
        <w:tc>
          <w:tcPr>
            <w:tcW w:w="1304" w:type="dxa"/>
            <w:tcBorders>
              <w:top w:val="single" w:sz="4" w:space="0" w:color="000000"/>
              <w:bottom w:val="single" w:sz="4" w:space="0" w:color="000000"/>
            </w:tcBorders>
            <w:tcMar>
              <w:top w:w="100" w:type="dxa"/>
              <w:left w:w="100" w:type="dxa"/>
              <w:bottom w:w="100" w:type="dxa"/>
              <w:right w:w="100" w:type="dxa"/>
            </w:tcMar>
          </w:tcPr>
          <w:p w14:paraId="0A643F5E" w14:textId="77777777" w:rsidR="0005522F" w:rsidRDefault="00B51AC2">
            <w:pPr>
              <w:spacing w:before="0" w:after="0"/>
              <w:jc w:val="both"/>
            </w:pPr>
            <w:proofErr w:type="spellStart"/>
            <w:r>
              <w:rPr>
                <w:color w:val="000000"/>
                <w:sz w:val="22"/>
                <w:szCs w:val="22"/>
              </w:rPr>
              <w:t>Nrm</w:t>
            </w:r>
            <w:proofErr w:type="spellEnd"/>
            <w:r>
              <w:rPr>
                <w:color w:val="000000"/>
                <w:sz w:val="22"/>
                <w:szCs w:val="22"/>
              </w:rPr>
              <w:t>. SD</w:t>
            </w:r>
          </w:p>
        </w:tc>
        <w:tc>
          <w:tcPr>
            <w:tcW w:w="270" w:type="dxa"/>
            <w:tcBorders>
              <w:top w:val="single" w:sz="4" w:space="0" w:color="000000"/>
              <w:bottom w:val="single" w:sz="4" w:space="0" w:color="000000"/>
            </w:tcBorders>
            <w:tcMar>
              <w:top w:w="100" w:type="dxa"/>
              <w:left w:w="100" w:type="dxa"/>
              <w:bottom w:w="100" w:type="dxa"/>
              <w:right w:w="100" w:type="dxa"/>
            </w:tcMar>
          </w:tcPr>
          <w:p w14:paraId="42DFC234" w14:textId="77777777" w:rsidR="0005522F" w:rsidRDefault="0005522F">
            <w:pPr>
              <w:spacing w:before="0" w:after="0"/>
            </w:pPr>
          </w:p>
        </w:tc>
        <w:tc>
          <w:tcPr>
            <w:tcW w:w="919" w:type="dxa"/>
            <w:tcBorders>
              <w:top w:val="single" w:sz="4" w:space="0" w:color="000000"/>
              <w:bottom w:val="single" w:sz="4" w:space="0" w:color="000000"/>
            </w:tcBorders>
            <w:tcMar>
              <w:top w:w="100" w:type="dxa"/>
              <w:left w:w="100" w:type="dxa"/>
              <w:bottom w:w="100" w:type="dxa"/>
              <w:right w:w="100" w:type="dxa"/>
            </w:tcMar>
          </w:tcPr>
          <w:p w14:paraId="1D2A228E" w14:textId="77777777" w:rsidR="0005522F" w:rsidRDefault="00B51AC2">
            <w:pPr>
              <w:spacing w:before="0" w:after="0"/>
              <w:jc w:val="both"/>
            </w:pPr>
            <w:r>
              <w:rPr>
                <w:color w:val="000000"/>
                <w:sz w:val="22"/>
                <w:szCs w:val="22"/>
              </w:rPr>
              <w:t>Mean</w:t>
            </w:r>
          </w:p>
        </w:tc>
        <w:tc>
          <w:tcPr>
            <w:tcW w:w="807" w:type="dxa"/>
            <w:tcBorders>
              <w:top w:val="single" w:sz="4" w:space="0" w:color="000000"/>
              <w:bottom w:val="single" w:sz="4" w:space="0" w:color="000000"/>
            </w:tcBorders>
            <w:tcMar>
              <w:top w:w="100" w:type="dxa"/>
              <w:left w:w="100" w:type="dxa"/>
              <w:bottom w:w="100" w:type="dxa"/>
              <w:right w:w="100" w:type="dxa"/>
            </w:tcMar>
          </w:tcPr>
          <w:p w14:paraId="747C5702" w14:textId="77777777" w:rsidR="0005522F" w:rsidRDefault="00B51AC2">
            <w:pPr>
              <w:spacing w:before="0" w:after="0"/>
              <w:jc w:val="both"/>
            </w:pPr>
            <w:r>
              <w:rPr>
                <w:color w:val="000000"/>
                <w:sz w:val="22"/>
                <w:szCs w:val="22"/>
              </w:rPr>
              <w:t>STD</w:t>
            </w:r>
          </w:p>
        </w:tc>
        <w:tc>
          <w:tcPr>
            <w:tcW w:w="1304" w:type="dxa"/>
            <w:tcBorders>
              <w:top w:val="single" w:sz="4" w:space="0" w:color="000000"/>
              <w:bottom w:val="single" w:sz="4" w:space="0" w:color="000000"/>
            </w:tcBorders>
            <w:tcMar>
              <w:top w:w="100" w:type="dxa"/>
              <w:left w:w="100" w:type="dxa"/>
              <w:bottom w:w="100" w:type="dxa"/>
              <w:right w:w="100" w:type="dxa"/>
            </w:tcMar>
          </w:tcPr>
          <w:p w14:paraId="6122D51F" w14:textId="77777777" w:rsidR="0005522F" w:rsidRDefault="00B51AC2">
            <w:pPr>
              <w:spacing w:before="0" w:after="0"/>
              <w:jc w:val="both"/>
            </w:pPr>
            <w:proofErr w:type="spellStart"/>
            <w:r>
              <w:rPr>
                <w:color w:val="000000"/>
                <w:sz w:val="22"/>
                <w:szCs w:val="22"/>
              </w:rPr>
              <w:t>Nrm</w:t>
            </w:r>
            <w:proofErr w:type="spellEnd"/>
            <w:r>
              <w:rPr>
                <w:color w:val="000000"/>
                <w:sz w:val="22"/>
                <w:szCs w:val="22"/>
              </w:rPr>
              <w:t>. SD</w:t>
            </w:r>
          </w:p>
        </w:tc>
        <w:tc>
          <w:tcPr>
            <w:tcW w:w="270" w:type="dxa"/>
            <w:tcBorders>
              <w:top w:val="single" w:sz="4" w:space="0" w:color="000000"/>
            </w:tcBorders>
            <w:tcMar>
              <w:top w:w="100" w:type="dxa"/>
              <w:left w:w="100" w:type="dxa"/>
              <w:bottom w:w="100" w:type="dxa"/>
              <w:right w:w="100" w:type="dxa"/>
            </w:tcMar>
          </w:tcPr>
          <w:p w14:paraId="1056E799" w14:textId="77777777" w:rsidR="0005522F" w:rsidRDefault="0005522F">
            <w:pPr>
              <w:spacing w:before="0" w:after="0"/>
            </w:pPr>
          </w:p>
        </w:tc>
      </w:tr>
      <w:tr w:rsidR="0005522F" w14:paraId="5CBD593F" w14:textId="77777777">
        <w:trPr>
          <w:jc w:val="center"/>
        </w:trPr>
        <w:tc>
          <w:tcPr>
            <w:tcW w:w="1824" w:type="dxa"/>
            <w:vMerge w:val="restart"/>
            <w:tcBorders>
              <w:bottom w:val="single" w:sz="4" w:space="0" w:color="000000"/>
            </w:tcBorders>
            <w:tcMar>
              <w:top w:w="100" w:type="dxa"/>
              <w:left w:w="100" w:type="dxa"/>
              <w:bottom w:w="100" w:type="dxa"/>
              <w:right w:w="100" w:type="dxa"/>
            </w:tcMar>
          </w:tcPr>
          <w:p w14:paraId="1665105B" w14:textId="77777777" w:rsidR="0005522F" w:rsidRDefault="00B51AC2">
            <w:pPr>
              <w:spacing w:before="0" w:after="0"/>
              <w:jc w:val="both"/>
            </w:pPr>
            <w:r>
              <w:rPr>
                <w:b/>
                <w:color w:val="000000"/>
                <w:sz w:val="22"/>
                <w:szCs w:val="22"/>
              </w:rPr>
              <w:t>CIVET 2.1.1</w:t>
            </w:r>
          </w:p>
        </w:tc>
        <w:tc>
          <w:tcPr>
            <w:tcW w:w="1255" w:type="dxa"/>
            <w:tcMar>
              <w:top w:w="100" w:type="dxa"/>
              <w:left w:w="100" w:type="dxa"/>
              <w:bottom w:w="100" w:type="dxa"/>
              <w:right w:w="100" w:type="dxa"/>
            </w:tcMar>
          </w:tcPr>
          <w:p w14:paraId="3E314076" w14:textId="77777777" w:rsidR="0005522F" w:rsidRDefault="00B51AC2">
            <w:pPr>
              <w:spacing w:before="0" w:after="0"/>
              <w:jc w:val="both"/>
            </w:pPr>
            <w:proofErr w:type="spellStart"/>
            <w:r>
              <w:rPr>
                <w:color w:val="000000"/>
                <w:sz w:val="22"/>
                <w:szCs w:val="22"/>
              </w:rPr>
              <w:t>Tlaplace</w:t>
            </w:r>
            <w:proofErr w:type="spellEnd"/>
          </w:p>
        </w:tc>
        <w:tc>
          <w:tcPr>
            <w:tcW w:w="919" w:type="dxa"/>
            <w:tcBorders>
              <w:top w:val="single" w:sz="4" w:space="0" w:color="000000"/>
            </w:tcBorders>
            <w:tcMar>
              <w:top w:w="100" w:type="dxa"/>
              <w:left w:w="100" w:type="dxa"/>
              <w:bottom w:w="100" w:type="dxa"/>
              <w:right w:w="100" w:type="dxa"/>
            </w:tcMar>
          </w:tcPr>
          <w:p w14:paraId="0282BAB3" w14:textId="77777777" w:rsidR="0005522F" w:rsidRDefault="00B51AC2">
            <w:pPr>
              <w:spacing w:before="0" w:after="0"/>
              <w:jc w:val="both"/>
            </w:pPr>
            <w:r>
              <w:rPr>
                <w:color w:val="000000"/>
                <w:sz w:val="22"/>
                <w:szCs w:val="22"/>
              </w:rPr>
              <w:t>3.27</w:t>
            </w:r>
          </w:p>
        </w:tc>
        <w:tc>
          <w:tcPr>
            <w:tcW w:w="807" w:type="dxa"/>
            <w:tcBorders>
              <w:top w:val="single" w:sz="4" w:space="0" w:color="000000"/>
            </w:tcBorders>
            <w:tcMar>
              <w:top w:w="100" w:type="dxa"/>
              <w:left w:w="100" w:type="dxa"/>
              <w:bottom w:w="100" w:type="dxa"/>
              <w:right w:w="100" w:type="dxa"/>
            </w:tcMar>
          </w:tcPr>
          <w:p w14:paraId="6C41119B" w14:textId="77777777" w:rsidR="0005522F" w:rsidRDefault="00B51AC2">
            <w:pPr>
              <w:spacing w:before="0" w:after="0"/>
              <w:jc w:val="both"/>
            </w:pPr>
            <w:r>
              <w:rPr>
                <w:color w:val="000000"/>
                <w:sz w:val="22"/>
                <w:szCs w:val="22"/>
              </w:rPr>
              <w:t>0.26</w:t>
            </w:r>
          </w:p>
        </w:tc>
        <w:tc>
          <w:tcPr>
            <w:tcW w:w="1304" w:type="dxa"/>
            <w:tcBorders>
              <w:top w:val="single" w:sz="4" w:space="0" w:color="000000"/>
            </w:tcBorders>
            <w:tcMar>
              <w:top w:w="100" w:type="dxa"/>
              <w:left w:w="100" w:type="dxa"/>
              <w:bottom w:w="100" w:type="dxa"/>
              <w:right w:w="100" w:type="dxa"/>
            </w:tcMar>
          </w:tcPr>
          <w:p w14:paraId="174D6A70" w14:textId="77777777" w:rsidR="0005522F" w:rsidRDefault="00B51AC2">
            <w:pPr>
              <w:spacing w:before="0" w:after="0"/>
              <w:jc w:val="both"/>
            </w:pPr>
            <w:r>
              <w:rPr>
                <w:color w:val="000000"/>
                <w:sz w:val="22"/>
                <w:szCs w:val="22"/>
              </w:rPr>
              <w:t>0.08</w:t>
            </w:r>
          </w:p>
        </w:tc>
        <w:tc>
          <w:tcPr>
            <w:tcW w:w="270" w:type="dxa"/>
            <w:tcBorders>
              <w:top w:val="single" w:sz="4" w:space="0" w:color="000000"/>
            </w:tcBorders>
            <w:tcMar>
              <w:top w:w="100" w:type="dxa"/>
              <w:left w:w="100" w:type="dxa"/>
              <w:bottom w:w="100" w:type="dxa"/>
              <w:right w:w="100" w:type="dxa"/>
            </w:tcMar>
          </w:tcPr>
          <w:p w14:paraId="0FF9104D" w14:textId="77777777" w:rsidR="0005522F" w:rsidRDefault="0005522F">
            <w:pPr>
              <w:spacing w:before="0" w:after="0"/>
            </w:pPr>
          </w:p>
        </w:tc>
        <w:tc>
          <w:tcPr>
            <w:tcW w:w="919" w:type="dxa"/>
            <w:tcBorders>
              <w:top w:val="single" w:sz="4" w:space="0" w:color="000000"/>
            </w:tcBorders>
            <w:tcMar>
              <w:top w:w="100" w:type="dxa"/>
              <w:left w:w="100" w:type="dxa"/>
              <w:bottom w:w="100" w:type="dxa"/>
              <w:right w:w="100" w:type="dxa"/>
            </w:tcMar>
          </w:tcPr>
          <w:p w14:paraId="60F303A2" w14:textId="77777777" w:rsidR="0005522F" w:rsidRDefault="00B51AC2">
            <w:pPr>
              <w:spacing w:before="0" w:after="0"/>
              <w:jc w:val="both"/>
            </w:pPr>
            <w:r>
              <w:rPr>
                <w:color w:val="000000"/>
                <w:sz w:val="22"/>
                <w:szCs w:val="22"/>
              </w:rPr>
              <w:t>3.27</w:t>
            </w:r>
          </w:p>
        </w:tc>
        <w:tc>
          <w:tcPr>
            <w:tcW w:w="807" w:type="dxa"/>
            <w:tcBorders>
              <w:top w:val="single" w:sz="4" w:space="0" w:color="000000"/>
            </w:tcBorders>
            <w:tcMar>
              <w:top w:w="100" w:type="dxa"/>
              <w:left w:w="100" w:type="dxa"/>
              <w:bottom w:w="100" w:type="dxa"/>
              <w:right w:w="100" w:type="dxa"/>
            </w:tcMar>
          </w:tcPr>
          <w:p w14:paraId="65DF3764" w14:textId="77777777" w:rsidR="0005522F" w:rsidRDefault="00B51AC2">
            <w:pPr>
              <w:spacing w:before="0" w:after="0"/>
              <w:jc w:val="both"/>
            </w:pPr>
            <w:r>
              <w:rPr>
                <w:color w:val="000000"/>
                <w:sz w:val="22"/>
                <w:szCs w:val="22"/>
              </w:rPr>
              <w:t>0.53</w:t>
            </w:r>
          </w:p>
        </w:tc>
        <w:tc>
          <w:tcPr>
            <w:tcW w:w="1304" w:type="dxa"/>
            <w:tcBorders>
              <w:top w:val="single" w:sz="4" w:space="0" w:color="000000"/>
            </w:tcBorders>
            <w:tcMar>
              <w:top w:w="100" w:type="dxa"/>
              <w:left w:w="100" w:type="dxa"/>
              <w:bottom w:w="100" w:type="dxa"/>
              <w:right w:w="100" w:type="dxa"/>
            </w:tcMar>
          </w:tcPr>
          <w:p w14:paraId="3F5CD37E" w14:textId="77777777" w:rsidR="0005522F" w:rsidRDefault="00B51AC2">
            <w:pPr>
              <w:spacing w:before="0" w:after="0"/>
              <w:jc w:val="both"/>
            </w:pPr>
            <w:r>
              <w:rPr>
                <w:color w:val="000000"/>
                <w:sz w:val="22"/>
                <w:szCs w:val="22"/>
              </w:rPr>
              <w:t>0.16</w:t>
            </w:r>
          </w:p>
        </w:tc>
        <w:tc>
          <w:tcPr>
            <w:tcW w:w="270" w:type="dxa"/>
            <w:tcMar>
              <w:top w:w="100" w:type="dxa"/>
              <w:left w:w="100" w:type="dxa"/>
              <w:bottom w:w="100" w:type="dxa"/>
              <w:right w:w="100" w:type="dxa"/>
            </w:tcMar>
          </w:tcPr>
          <w:p w14:paraId="672A4C48" w14:textId="77777777" w:rsidR="0005522F" w:rsidRDefault="0005522F">
            <w:pPr>
              <w:spacing w:before="0" w:after="0"/>
            </w:pPr>
          </w:p>
        </w:tc>
      </w:tr>
      <w:tr w:rsidR="0005522F" w14:paraId="7E4E249F" w14:textId="77777777">
        <w:trPr>
          <w:jc w:val="center"/>
        </w:trPr>
        <w:tc>
          <w:tcPr>
            <w:tcW w:w="1824" w:type="dxa"/>
            <w:vMerge/>
            <w:tcBorders>
              <w:bottom w:val="single" w:sz="4" w:space="0" w:color="000000"/>
            </w:tcBorders>
            <w:tcMar>
              <w:top w:w="100" w:type="dxa"/>
              <w:left w:w="100" w:type="dxa"/>
              <w:bottom w:w="100" w:type="dxa"/>
              <w:right w:w="100" w:type="dxa"/>
            </w:tcMar>
          </w:tcPr>
          <w:p w14:paraId="67159FB9" w14:textId="77777777" w:rsidR="0005522F" w:rsidRDefault="0005522F">
            <w:pPr>
              <w:widowControl w:val="0"/>
              <w:pBdr>
                <w:top w:val="nil"/>
                <w:left w:val="nil"/>
                <w:bottom w:val="nil"/>
                <w:right w:val="nil"/>
                <w:between w:val="nil"/>
              </w:pBdr>
              <w:spacing w:before="0" w:after="0" w:line="276" w:lineRule="auto"/>
            </w:pPr>
          </w:p>
        </w:tc>
        <w:tc>
          <w:tcPr>
            <w:tcW w:w="1255" w:type="dxa"/>
            <w:tcMar>
              <w:top w:w="100" w:type="dxa"/>
              <w:left w:w="100" w:type="dxa"/>
              <w:bottom w:w="100" w:type="dxa"/>
              <w:right w:w="100" w:type="dxa"/>
            </w:tcMar>
          </w:tcPr>
          <w:p w14:paraId="439D743E" w14:textId="77777777" w:rsidR="0005522F" w:rsidRDefault="00B51AC2">
            <w:pPr>
              <w:spacing w:before="0" w:after="0"/>
              <w:jc w:val="both"/>
            </w:pPr>
            <w:proofErr w:type="spellStart"/>
            <w:r>
              <w:rPr>
                <w:color w:val="000000"/>
                <w:sz w:val="22"/>
                <w:szCs w:val="22"/>
              </w:rPr>
              <w:t>Tlink</w:t>
            </w:r>
            <w:proofErr w:type="spellEnd"/>
          </w:p>
        </w:tc>
        <w:tc>
          <w:tcPr>
            <w:tcW w:w="919" w:type="dxa"/>
            <w:tcMar>
              <w:top w:w="100" w:type="dxa"/>
              <w:left w:w="100" w:type="dxa"/>
              <w:bottom w:w="100" w:type="dxa"/>
              <w:right w:w="100" w:type="dxa"/>
            </w:tcMar>
          </w:tcPr>
          <w:p w14:paraId="0A8147EB" w14:textId="77777777" w:rsidR="0005522F" w:rsidRDefault="00B51AC2">
            <w:pPr>
              <w:spacing w:before="0" w:after="0"/>
              <w:jc w:val="both"/>
            </w:pPr>
            <w:r>
              <w:rPr>
                <w:color w:val="000000"/>
                <w:sz w:val="22"/>
                <w:szCs w:val="22"/>
              </w:rPr>
              <w:t>3.64</w:t>
            </w:r>
          </w:p>
        </w:tc>
        <w:tc>
          <w:tcPr>
            <w:tcW w:w="807" w:type="dxa"/>
            <w:tcMar>
              <w:top w:w="100" w:type="dxa"/>
              <w:left w:w="100" w:type="dxa"/>
              <w:bottom w:w="100" w:type="dxa"/>
              <w:right w:w="100" w:type="dxa"/>
            </w:tcMar>
          </w:tcPr>
          <w:p w14:paraId="1CB0AA3C" w14:textId="77777777" w:rsidR="0005522F" w:rsidRDefault="00B51AC2">
            <w:pPr>
              <w:spacing w:before="0" w:after="0"/>
              <w:jc w:val="both"/>
            </w:pPr>
            <w:r>
              <w:rPr>
                <w:color w:val="000000"/>
                <w:sz w:val="22"/>
                <w:szCs w:val="22"/>
              </w:rPr>
              <w:t>0.34</w:t>
            </w:r>
          </w:p>
        </w:tc>
        <w:tc>
          <w:tcPr>
            <w:tcW w:w="1304" w:type="dxa"/>
            <w:tcMar>
              <w:top w:w="100" w:type="dxa"/>
              <w:left w:w="100" w:type="dxa"/>
              <w:bottom w:w="100" w:type="dxa"/>
              <w:right w:w="100" w:type="dxa"/>
            </w:tcMar>
          </w:tcPr>
          <w:p w14:paraId="407F8B8D" w14:textId="77777777" w:rsidR="0005522F" w:rsidRDefault="00B51AC2">
            <w:pPr>
              <w:spacing w:before="0" w:after="0"/>
              <w:jc w:val="both"/>
            </w:pPr>
            <w:r>
              <w:rPr>
                <w:color w:val="000000"/>
                <w:sz w:val="22"/>
                <w:szCs w:val="22"/>
              </w:rPr>
              <w:t>0.09</w:t>
            </w:r>
          </w:p>
        </w:tc>
        <w:tc>
          <w:tcPr>
            <w:tcW w:w="270" w:type="dxa"/>
            <w:tcMar>
              <w:top w:w="100" w:type="dxa"/>
              <w:left w:w="100" w:type="dxa"/>
              <w:bottom w:w="100" w:type="dxa"/>
              <w:right w:w="100" w:type="dxa"/>
            </w:tcMar>
          </w:tcPr>
          <w:p w14:paraId="78196C32" w14:textId="77777777" w:rsidR="0005522F" w:rsidRDefault="0005522F">
            <w:pPr>
              <w:spacing w:before="0" w:after="0"/>
            </w:pPr>
          </w:p>
        </w:tc>
        <w:tc>
          <w:tcPr>
            <w:tcW w:w="919" w:type="dxa"/>
            <w:tcMar>
              <w:top w:w="100" w:type="dxa"/>
              <w:left w:w="100" w:type="dxa"/>
              <w:bottom w:w="100" w:type="dxa"/>
              <w:right w:w="100" w:type="dxa"/>
            </w:tcMar>
          </w:tcPr>
          <w:p w14:paraId="0258C16A" w14:textId="77777777" w:rsidR="0005522F" w:rsidRDefault="00B51AC2">
            <w:pPr>
              <w:spacing w:before="0" w:after="0"/>
              <w:jc w:val="both"/>
            </w:pPr>
            <w:r>
              <w:rPr>
                <w:color w:val="000000"/>
                <w:sz w:val="22"/>
                <w:szCs w:val="22"/>
              </w:rPr>
              <w:t>3.65</w:t>
            </w:r>
          </w:p>
        </w:tc>
        <w:tc>
          <w:tcPr>
            <w:tcW w:w="807" w:type="dxa"/>
            <w:tcMar>
              <w:top w:w="100" w:type="dxa"/>
              <w:left w:w="100" w:type="dxa"/>
              <w:bottom w:w="100" w:type="dxa"/>
              <w:right w:w="100" w:type="dxa"/>
            </w:tcMar>
          </w:tcPr>
          <w:p w14:paraId="2200ADBE" w14:textId="77777777" w:rsidR="0005522F" w:rsidRDefault="00B51AC2">
            <w:pPr>
              <w:spacing w:before="0" w:after="0"/>
              <w:jc w:val="both"/>
            </w:pPr>
            <w:r>
              <w:rPr>
                <w:color w:val="000000"/>
                <w:sz w:val="22"/>
                <w:szCs w:val="22"/>
              </w:rPr>
              <w:t>0.72</w:t>
            </w:r>
          </w:p>
        </w:tc>
        <w:tc>
          <w:tcPr>
            <w:tcW w:w="1304" w:type="dxa"/>
            <w:tcMar>
              <w:top w:w="100" w:type="dxa"/>
              <w:left w:w="100" w:type="dxa"/>
              <w:bottom w:w="100" w:type="dxa"/>
              <w:right w:w="100" w:type="dxa"/>
            </w:tcMar>
          </w:tcPr>
          <w:p w14:paraId="0F160847" w14:textId="77777777" w:rsidR="0005522F" w:rsidRDefault="00B51AC2">
            <w:pPr>
              <w:spacing w:before="0" w:after="0"/>
              <w:jc w:val="both"/>
            </w:pPr>
            <w:r>
              <w:rPr>
                <w:color w:val="000000"/>
                <w:sz w:val="22"/>
                <w:szCs w:val="22"/>
              </w:rPr>
              <w:t>0.20</w:t>
            </w:r>
          </w:p>
        </w:tc>
        <w:tc>
          <w:tcPr>
            <w:tcW w:w="270" w:type="dxa"/>
            <w:tcMar>
              <w:top w:w="100" w:type="dxa"/>
              <w:left w:w="100" w:type="dxa"/>
              <w:bottom w:w="100" w:type="dxa"/>
              <w:right w:w="100" w:type="dxa"/>
            </w:tcMar>
          </w:tcPr>
          <w:p w14:paraId="5B484363" w14:textId="77777777" w:rsidR="0005522F" w:rsidRDefault="0005522F">
            <w:pPr>
              <w:spacing w:before="0" w:after="0"/>
            </w:pPr>
          </w:p>
        </w:tc>
      </w:tr>
      <w:tr w:rsidR="0005522F" w14:paraId="15A170A4" w14:textId="77777777">
        <w:trPr>
          <w:jc w:val="center"/>
        </w:trPr>
        <w:tc>
          <w:tcPr>
            <w:tcW w:w="1824" w:type="dxa"/>
            <w:vMerge/>
            <w:tcBorders>
              <w:bottom w:val="single" w:sz="4" w:space="0" w:color="000000"/>
            </w:tcBorders>
            <w:tcMar>
              <w:top w:w="100" w:type="dxa"/>
              <w:left w:w="100" w:type="dxa"/>
              <w:bottom w:w="100" w:type="dxa"/>
              <w:right w:w="100" w:type="dxa"/>
            </w:tcMar>
          </w:tcPr>
          <w:p w14:paraId="16DFEB0A" w14:textId="77777777" w:rsidR="0005522F" w:rsidRDefault="0005522F">
            <w:pPr>
              <w:widowControl w:val="0"/>
              <w:pBdr>
                <w:top w:val="nil"/>
                <w:left w:val="nil"/>
                <w:bottom w:val="nil"/>
                <w:right w:val="nil"/>
                <w:between w:val="nil"/>
              </w:pBdr>
              <w:spacing w:before="0" w:after="0" w:line="276" w:lineRule="auto"/>
            </w:pPr>
          </w:p>
        </w:tc>
        <w:tc>
          <w:tcPr>
            <w:tcW w:w="1255" w:type="dxa"/>
            <w:tcBorders>
              <w:bottom w:val="single" w:sz="4" w:space="0" w:color="000000"/>
            </w:tcBorders>
            <w:tcMar>
              <w:top w:w="100" w:type="dxa"/>
              <w:left w:w="100" w:type="dxa"/>
              <w:bottom w:w="100" w:type="dxa"/>
              <w:right w:w="100" w:type="dxa"/>
            </w:tcMar>
          </w:tcPr>
          <w:p w14:paraId="27489B1A" w14:textId="77777777" w:rsidR="0005522F" w:rsidRDefault="00B51AC2">
            <w:pPr>
              <w:spacing w:before="0" w:after="0"/>
              <w:jc w:val="both"/>
            </w:pPr>
            <w:proofErr w:type="spellStart"/>
            <w:r>
              <w:rPr>
                <w:color w:val="000000"/>
                <w:sz w:val="22"/>
                <w:szCs w:val="22"/>
              </w:rPr>
              <w:t>Tfs</w:t>
            </w:r>
            <w:proofErr w:type="spellEnd"/>
          </w:p>
        </w:tc>
        <w:tc>
          <w:tcPr>
            <w:tcW w:w="919" w:type="dxa"/>
            <w:tcMar>
              <w:top w:w="100" w:type="dxa"/>
              <w:left w:w="100" w:type="dxa"/>
              <w:bottom w:w="100" w:type="dxa"/>
              <w:right w:w="100" w:type="dxa"/>
            </w:tcMar>
          </w:tcPr>
          <w:p w14:paraId="2772FE54" w14:textId="77777777" w:rsidR="0005522F" w:rsidRDefault="00B51AC2">
            <w:pPr>
              <w:spacing w:before="0" w:after="0"/>
              <w:jc w:val="both"/>
            </w:pPr>
            <w:r>
              <w:rPr>
                <w:color w:val="000000"/>
                <w:sz w:val="22"/>
                <w:szCs w:val="22"/>
              </w:rPr>
              <w:t>3.03</w:t>
            </w:r>
          </w:p>
        </w:tc>
        <w:tc>
          <w:tcPr>
            <w:tcW w:w="807" w:type="dxa"/>
            <w:tcMar>
              <w:top w:w="100" w:type="dxa"/>
              <w:left w:w="100" w:type="dxa"/>
              <w:bottom w:w="100" w:type="dxa"/>
              <w:right w:w="100" w:type="dxa"/>
            </w:tcMar>
          </w:tcPr>
          <w:p w14:paraId="019393BE" w14:textId="77777777" w:rsidR="0005522F" w:rsidRDefault="00B51AC2">
            <w:pPr>
              <w:spacing w:before="0" w:after="0"/>
              <w:jc w:val="both"/>
            </w:pPr>
            <w:r>
              <w:rPr>
                <w:color w:val="000000"/>
                <w:sz w:val="22"/>
                <w:szCs w:val="22"/>
              </w:rPr>
              <w:t>0.21</w:t>
            </w:r>
          </w:p>
        </w:tc>
        <w:tc>
          <w:tcPr>
            <w:tcW w:w="1304" w:type="dxa"/>
            <w:tcMar>
              <w:top w:w="100" w:type="dxa"/>
              <w:left w:w="100" w:type="dxa"/>
              <w:bottom w:w="100" w:type="dxa"/>
              <w:right w:w="100" w:type="dxa"/>
            </w:tcMar>
          </w:tcPr>
          <w:p w14:paraId="15978E7B" w14:textId="77777777" w:rsidR="0005522F" w:rsidRDefault="00B51AC2">
            <w:pPr>
              <w:spacing w:before="0" w:after="0"/>
              <w:jc w:val="both"/>
            </w:pPr>
            <w:r>
              <w:rPr>
                <w:color w:val="000000"/>
                <w:sz w:val="22"/>
                <w:szCs w:val="22"/>
              </w:rPr>
              <w:t>0.07</w:t>
            </w:r>
          </w:p>
        </w:tc>
        <w:tc>
          <w:tcPr>
            <w:tcW w:w="270" w:type="dxa"/>
            <w:tcMar>
              <w:top w:w="100" w:type="dxa"/>
              <w:left w:w="100" w:type="dxa"/>
              <w:bottom w:w="100" w:type="dxa"/>
              <w:right w:w="100" w:type="dxa"/>
            </w:tcMar>
          </w:tcPr>
          <w:p w14:paraId="7241CFD6" w14:textId="77777777" w:rsidR="0005522F" w:rsidRDefault="0005522F">
            <w:pPr>
              <w:spacing w:before="0" w:after="0"/>
            </w:pPr>
          </w:p>
        </w:tc>
        <w:tc>
          <w:tcPr>
            <w:tcW w:w="919" w:type="dxa"/>
            <w:tcMar>
              <w:top w:w="100" w:type="dxa"/>
              <w:left w:w="100" w:type="dxa"/>
              <w:bottom w:w="100" w:type="dxa"/>
              <w:right w:w="100" w:type="dxa"/>
            </w:tcMar>
          </w:tcPr>
          <w:p w14:paraId="61CF3133" w14:textId="77777777" w:rsidR="0005522F" w:rsidRDefault="00B51AC2">
            <w:pPr>
              <w:spacing w:before="0" w:after="0"/>
              <w:jc w:val="both"/>
            </w:pPr>
            <w:r>
              <w:rPr>
                <w:color w:val="000000"/>
                <w:sz w:val="22"/>
                <w:szCs w:val="22"/>
              </w:rPr>
              <w:t>2.98</w:t>
            </w:r>
          </w:p>
        </w:tc>
        <w:tc>
          <w:tcPr>
            <w:tcW w:w="807" w:type="dxa"/>
            <w:tcMar>
              <w:top w:w="100" w:type="dxa"/>
              <w:left w:w="100" w:type="dxa"/>
              <w:bottom w:w="100" w:type="dxa"/>
              <w:right w:w="100" w:type="dxa"/>
            </w:tcMar>
          </w:tcPr>
          <w:p w14:paraId="649F5BB3" w14:textId="77777777" w:rsidR="0005522F" w:rsidRDefault="00B51AC2">
            <w:pPr>
              <w:spacing w:before="0" w:after="0"/>
              <w:jc w:val="both"/>
            </w:pPr>
            <w:r>
              <w:rPr>
                <w:color w:val="000000"/>
                <w:sz w:val="22"/>
                <w:szCs w:val="22"/>
              </w:rPr>
              <w:t>0.43</w:t>
            </w:r>
          </w:p>
        </w:tc>
        <w:tc>
          <w:tcPr>
            <w:tcW w:w="1304" w:type="dxa"/>
            <w:tcMar>
              <w:top w:w="100" w:type="dxa"/>
              <w:left w:w="100" w:type="dxa"/>
              <w:bottom w:w="100" w:type="dxa"/>
              <w:right w:w="100" w:type="dxa"/>
            </w:tcMar>
          </w:tcPr>
          <w:p w14:paraId="508DCAA0" w14:textId="77777777" w:rsidR="0005522F" w:rsidRDefault="00B51AC2">
            <w:pPr>
              <w:spacing w:before="0" w:after="0"/>
              <w:jc w:val="both"/>
            </w:pPr>
            <w:r>
              <w:rPr>
                <w:color w:val="000000"/>
                <w:sz w:val="22"/>
                <w:szCs w:val="22"/>
              </w:rPr>
              <w:t>0.14</w:t>
            </w:r>
          </w:p>
        </w:tc>
        <w:tc>
          <w:tcPr>
            <w:tcW w:w="270" w:type="dxa"/>
            <w:tcMar>
              <w:top w:w="100" w:type="dxa"/>
              <w:left w:w="100" w:type="dxa"/>
              <w:bottom w:w="100" w:type="dxa"/>
              <w:right w:w="100" w:type="dxa"/>
            </w:tcMar>
          </w:tcPr>
          <w:p w14:paraId="6AA34BD7" w14:textId="77777777" w:rsidR="0005522F" w:rsidRDefault="0005522F">
            <w:pPr>
              <w:spacing w:before="0" w:after="0"/>
            </w:pPr>
          </w:p>
        </w:tc>
      </w:tr>
      <w:tr w:rsidR="0005522F" w14:paraId="39186D44" w14:textId="77777777">
        <w:trPr>
          <w:jc w:val="center"/>
        </w:trPr>
        <w:tc>
          <w:tcPr>
            <w:tcW w:w="3079" w:type="dxa"/>
            <w:gridSpan w:val="2"/>
            <w:tcBorders>
              <w:top w:val="single" w:sz="4" w:space="0" w:color="000000"/>
              <w:bottom w:val="single" w:sz="4" w:space="0" w:color="000000"/>
            </w:tcBorders>
            <w:tcMar>
              <w:top w:w="100" w:type="dxa"/>
              <w:left w:w="100" w:type="dxa"/>
              <w:bottom w:w="100" w:type="dxa"/>
              <w:right w:w="100" w:type="dxa"/>
            </w:tcMar>
          </w:tcPr>
          <w:p w14:paraId="6D6B0EE1" w14:textId="77777777" w:rsidR="0005522F" w:rsidRDefault="00B51AC2">
            <w:pPr>
              <w:spacing w:before="0" w:after="0"/>
              <w:jc w:val="center"/>
            </w:pPr>
            <w:r>
              <w:rPr>
                <w:b/>
                <w:color w:val="000000"/>
                <w:sz w:val="22"/>
                <w:szCs w:val="22"/>
              </w:rPr>
              <w:t>FS 5.3</w:t>
            </w:r>
          </w:p>
        </w:tc>
        <w:tc>
          <w:tcPr>
            <w:tcW w:w="919" w:type="dxa"/>
            <w:tcMar>
              <w:top w:w="100" w:type="dxa"/>
              <w:left w:w="100" w:type="dxa"/>
              <w:bottom w:w="100" w:type="dxa"/>
              <w:right w:w="100" w:type="dxa"/>
            </w:tcMar>
          </w:tcPr>
          <w:p w14:paraId="3F26BCA2" w14:textId="77777777" w:rsidR="0005522F" w:rsidRDefault="00B51AC2">
            <w:pPr>
              <w:spacing w:before="0" w:after="0"/>
              <w:jc w:val="both"/>
            </w:pPr>
            <w:r>
              <w:rPr>
                <w:color w:val="000000"/>
                <w:sz w:val="22"/>
                <w:szCs w:val="22"/>
              </w:rPr>
              <w:t>2.51</w:t>
            </w:r>
          </w:p>
        </w:tc>
        <w:tc>
          <w:tcPr>
            <w:tcW w:w="807" w:type="dxa"/>
            <w:tcMar>
              <w:top w:w="100" w:type="dxa"/>
              <w:left w:w="100" w:type="dxa"/>
              <w:bottom w:w="100" w:type="dxa"/>
              <w:right w:w="100" w:type="dxa"/>
            </w:tcMar>
          </w:tcPr>
          <w:p w14:paraId="4C1F6619" w14:textId="77777777" w:rsidR="0005522F" w:rsidRDefault="00B51AC2">
            <w:pPr>
              <w:spacing w:before="0" w:after="0"/>
              <w:jc w:val="both"/>
            </w:pPr>
            <w:r>
              <w:rPr>
                <w:color w:val="000000"/>
                <w:sz w:val="22"/>
                <w:szCs w:val="22"/>
              </w:rPr>
              <w:t>0.32</w:t>
            </w:r>
          </w:p>
        </w:tc>
        <w:tc>
          <w:tcPr>
            <w:tcW w:w="1304" w:type="dxa"/>
            <w:tcMar>
              <w:top w:w="100" w:type="dxa"/>
              <w:left w:w="100" w:type="dxa"/>
              <w:bottom w:w="100" w:type="dxa"/>
              <w:right w:w="100" w:type="dxa"/>
            </w:tcMar>
          </w:tcPr>
          <w:p w14:paraId="6B9C9F5A" w14:textId="77777777" w:rsidR="0005522F" w:rsidRDefault="00B51AC2">
            <w:pPr>
              <w:spacing w:before="0" w:after="0"/>
              <w:jc w:val="both"/>
            </w:pPr>
            <w:r>
              <w:rPr>
                <w:color w:val="000000"/>
                <w:sz w:val="22"/>
                <w:szCs w:val="22"/>
              </w:rPr>
              <w:t>0.13</w:t>
            </w:r>
          </w:p>
        </w:tc>
        <w:tc>
          <w:tcPr>
            <w:tcW w:w="270" w:type="dxa"/>
            <w:tcMar>
              <w:top w:w="100" w:type="dxa"/>
              <w:left w:w="100" w:type="dxa"/>
              <w:bottom w:w="100" w:type="dxa"/>
              <w:right w:w="100" w:type="dxa"/>
            </w:tcMar>
          </w:tcPr>
          <w:p w14:paraId="729A2A77" w14:textId="77777777" w:rsidR="0005522F" w:rsidRDefault="0005522F">
            <w:pPr>
              <w:spacing w:before="0" w:after="0"/>
            </w:pPr>
          </w:p>
        </w:tc>
        <w:tc>
          <w:tcPr>
            <w:tcW w:w="919" w:type="dxa"/>
            <w:tcMar>
              <w:top w:w="100" w:type="dxa"/>
              <w:left w:w="100" w:type="dxa"/>
              <w:bottom w:w="100" w:type="dxa"/>
              <w:right w:w="100" w:type="dxa"/>
            </w:tcMar>
          </w:tcPr>
          <w:p w14:paraId="1F5C114A" w14:textId="77777777" w:rsidR="0005522F" w:rsidRDefault="00B51AC2">
            <w:pPr>
              <w:spacing w:before="0" w:after="0"/>
              <w:jc w:val="both"/>
            </w:pPr>
            <w:r>
              <w:rPr>
                <w:color w:val="000000"/>
                <w:sz w:val="22"/>
                <w:szCs w:val="22"/>
              </w:rPr>
              <w:t>2.48</w:t>
            </w:r>
          </w:p>
        </w:tc>
        <w:tc>
          <w:tcPr>
            <w:tcW w:w="807" w:type="dxa"/>
            <w:tcMar>
              <w:top w:w="100" w:type="dxa"/>
              <w:left w:w="100" w:type="dxa"/>
              <w:bottom w:w="100" w:type="dxa"/>
              <w:right w:w="100" w:type="dxa"/>
            </w:tcMar>
          </w:tcPr>
          <w:p w14:paraId="2A1019AD" w14:textId="77777777" w:rsidR="0005522F" w:rsidRDefault="00B51AC2">
            <w:pPr>
              <w:spacing w:before="0" w:after="0"/>
              <w:jc w:val="both"/>
            </w:pPr>
            <w:r>
              <w:rPr>
                <w:color w:val="000000"/>
                <w:sz w:val="22"/>
                <w:szCs w:val="22"/>
              </w:rPr>
              <w:t>0.63</w:t>
            </w:r>
          </w:p>
        </w:tc>
        <w:tc>
          <w:tcPr>
            <w:tcW w:w="1304" w:type="dxa"/>
            <w:tcMar>
              <w:top w:w="100" w:type="dxa"/>
              <w:left w:w="100" w:type="dxa"/>
              <w:bottom w:w="100" w:type="dxa"/>
              <w:right w:w="100" w:type="dxa"/>
            </w:tcMar>
          </w:tcPr>
          <w:p w14:paraId="46B5DADD" w14:textId="77777777" w:rsidR="0005522F" w:rsidRDefault="00B51AC2">
            <w:pPr>
              <w:spacing w:before="0" w:after="0"/>
              <w:jc w:val="both"/>
            </w:pPr>
            <w:r>
              <w:rPr>
                <w:color w:val="000000"/>
                <w:sz w:val="22"/>
                <w:szCs w:val="22"/>
              </w:rPr>
              <w:t>0.25</w:t>
            </w:r>
          </w:p>
        </w:tc>
        <w:tc>
          <w:tcPr>
            <w:tcW w:w="270" w:type="dxa"/>
            <w:tcMar>
              <w:top w:w="100" w:type="dxa"/>
              <w:left w:w="100" w:type="dxa"/>
              <w:bottom w:w="100" w:type="dxa"/>
              <w:right w:w="100" w:type="dxa"/>
            </w:tcMar>
          </w:tcPr>
          <w:p w14:paraId="499A2208" w14:textId="77777777" w:rsidR="0005522F" w:rsidRDefault="0005522F">
            <w:pPr>
              <w:spacing w:before="0" w:after="0"/>
            </w:pPr>
          </w:p>
        </w:tc>
      </w:tr>
      <w:tr w:rsidR="0005522F" w14:paraId="54A8D33B" w14:textId="77777777">
        <w:trPr>
          <w:jc w:val="center"/>
        </w:trPr>
        <w:tc>
          <w:tcPr>
            <w:tcW w:w="3079" w:type="dxa"/>
            <w:gridSpan w:val="2"/>
            <w:tcBorders>
              <w:top w:val="single" w:sz="4" w:space="0" w:color="000000"/>
              <w:bottom w:val="single" w:sz="4" w:space="0" w:color="000000"/>
            </w:tcBorders>
            <w:tcMar>
              <w:top w:w="100" w:type="dxa"/>
              <w:left w:w="100" w:type="dxa"/>
              <w:bottom w:w="100" w:type="dxa"/>
              <w:right w:w="100" w:type="dxa"/>
            </w:tcMar>
          </w:tcPr>
          <w:p w14:paraId="792493CE" w14:textId="77777777" w:rsidR="0005522F" w:rsidRDefault="00B51AC2">
            <w:pPr>
              <w:spacing w:before="0" w:after="0"/>
              <w:jc w:val="center"/>
            </w:pPr>
            <w:r>
              <w:rPr>
                <w:b/>
                <w:color w:val="000000"/>
                <w:sz w:val="22"/>
                <w:szCs w:val="22"/>
              </w:rPr>
              <w:t>FS 6.0</w:t>
            </w:r>
          </w:p>
        </w:tc>
        <w:tc>
          <w:tcPr>
            <w:tcW w:w="919" w:type="dxa"/>
            <w:tcBorders>
              <w:bottom w:val="single" w:sz="4" w:space="0" w:color="000000"/>
            </w:tcBorders>
            <w:tcMar>
              <w:top w:w="100" w:type="dxa"/>
              <w:left w:w="100" w:type="dxa"/>
              <w:bottom w:w="100" w:type="dxa"/>
              <w:right w:w="100" w:type="dxa"/>
            </w:tcMar>
          </w:tcPr>
          <w:p w14:paraId="0B473854" w14:textId="77777777" w:rsidR="0005522F" w:rsidRDefault="00B51AC2">
            <w:pPr>
              <w:spacing w:before="0" w:after="0"/>
              <w:jc w:val="both"/>
            </w:pPr>
            <w:r>
              <w:rPr>
                <w:color w:val="000000"/>
                <w:sz w:val="22"/>
                <w:szCs w:val="22"/>
              </w:rPr>
              <w:t>2.43</w:t>
            </w:r>
          </w:p>
        </w:tc>
        <w:tc>
          <w:tcPr>
            <w:tcW w:w="807" w:type="dxa"/>
            <w:tcBorders>
              <w:bottom w:val="single" w:sz="4" w:space="0" w:color="000000"/>
            </w:tcBorders>
            <w:tcMar>
              <w:top w:w="100" w:type="dxa"/>
              <w:left w:w="100" w:type="dxa"/>
              <w:bottom w:w="100" w:type="dxa"/>
              <w:right w:w="100" w:type="dxa"/>
            </w:tcMar>
          </w:tcPr>
          <w:p w14:paraId="4648B6F9" w14:textId="77777777" w:rsidR="0005522F" w:rsidRDefault="00B51AC2">
            <w:pPr>
              <w:spacing w:before="0" w:after="0"/>
              <w:jc w:val="both"/>
            </w:pPr>
            <w:r>
              <w:rPr>
                <w:color w:val="000000"/>
                <w:sz w:val="22"/>
                <w:szCs w:val="22"/>
              </w:rPr>
              <w:t>0.25</w:t>
            </w:r>
          </w:p>
        </w:tc>
        <w:tc>
          <w:tcPr>
            <w:tcW w:w="1304" w:type="dxa"/>
            <w:tcBorders>
              <w:bottom w:val="single" w:sz="4" w:space="0" w:color="000000"/>
            </w:tcBorders>
            <w:tcMar>
              <w:top w:w="100" w:type="dxa"/>
              <w:left w:w="100" w:type="dxa"/>
              <w:bottom w:w="100" w:type="dxa"/>
              <w:right w:w="100" w:type="dxa"/>
            </w:tcMar>
          </w:tcPr>
          <w:p w14:paraId="6EA03ABB" w14:textId="77777777" w:rsidR="0005522F" w:rsidRDefault="00B51AC2">
            <w:pPr>
              <w:spacing w:before="0" w:after="0"/>
              <w:jc w:val="both"/>
            </w:pPr>
            <w:r>
              <w:rPr>
                <w:color w:val="000000"/>
                <w:sz w:val="22"/>
                <w:szCs w:val="22"/>
              </w:rPr>
              <w:t>0.10</w:t>
            </w:r>
          </w:p>
        </w:tc>
        <w:tc>
          <w:tcPr>
            <w:tcW w:w="270" w:type="dxa"/>
            <w:tcBorders>
              <w:bottom w:val="single" w:sz="4" w:space="0" w:color="000000"/>
            </w:tcBorders>
            <w:tcMar>
              <w:top w:w="100" w:type="dxa"/>
              <w:left w:w="100" w:type="dxa"/>
              <w:bottom w:w="100" w:type="dxa"/>
              <w:right w:w="100" w:type="dxa"/>
            </w:tcMar>
          </w:tcPr>
          <w:p w14:paraId="13FA14B1" w14:textId="77777777" w:rsidR="0005522F" w:rsidRDefault="0005522F">
            <w:pPr>
              <w:spacing w:before="0" w:after="0"/>
            </w:pPr>
          </w:p>
        </w:tc>
        <w:tc>
          <w:tcPr>
            <w:tcW w:w="919" w:type="dxa"/>
            <w:tcBorders>
              <w:bottom w:val="single" w:sz="4" w:space="0" w:color="000000"/>
            </w:tcBorders>
            <w:tcMar>
              <w:top w:w="100" w:type="dxa"/>
              <w:left w:w="100" w:type="dxa"/>
              <w:bottom w:w="100" w:type="dxa"/>
              <w:right w:w="100" w:type="dxa"/>
            </w:tcMar>
          </w:tcPr>
          <w:p w14:paraId="7BF88E68" w14:textId="77777777" w:rsidR="0005522F" w:rsidRDefault="00B51AC2">
            <w:pPr>
              <w:spacing w:before="0" w:after="0"/>
              <w:jc w:val="both"/>
            </w:pPr>
            <w:r>
              <w:rPr>
                <w:color w:val="000000"/>
                <w:sz w:val="22"/>
                <w:szCs w:val="22"/>
              </w:rPr>
              <w:t>2.43</w:t>
            </w:r>
          </w:p>
        </w:tc>
        <w:tc>
          <w:tcPr>
            <w:tcW w:w="807" w:type="dxa"/>
            <w:tcBorders>
              <w:bottom w:val="single" w:sz="4" w:space="0" w:color="000000"/>
            </w:tcBorders>
            <w:tcMar>
              <w:top w:w="100" w:type="dxa"/>
              <w:left w:w="100" w:type="dxa"/>
              <w:bottom w:w="100" w:type="dxa"/>
              <w:right w:w="100" w:type="dxa"/>
            </w:tcMar>
          </w:tcPr>
          <w:p w14:paraId="097C3042" w14:textId="77777777" w:rsidR="0005522F" w:rsidRDefault="00B51AC2">
            <w:pPr>
              <w:spacing w:before="0" w:after="0"/>
              <w:jc w:val="both"/>
            </w:pPr>
            <w:r>
              <w:rPr>
                <w:color w:val="000000"/>
                <w:sz w:val="22"/>
                <w:szCs w:val="22"/>
              </w:rPr>
              <w:t>0.53</w:t>
            </w:r>
          </w:p>
        </w:tc>
        <w:tc>
          <w:tcPr>
            <w:tcW w:w="1304" w:type="dxa"/>
            <w:tcBorders>
              <w:bottom w:val="single" w:sz="4" w:space="0" w:color="000000"/>
            </w:tcBorders>
            <w:tcMar>
              <w:top w:w="100" w:type="dxa"/>
              <w:left w:w="100" w:type="dxa"/>
              <w:bottom w:w="100" w:type="dxa"/>
              <w:right w:w="100" w:type="dxa"/>
            </w:tcMar>
          </w:tcPr>
          <w:p w14:paraId="7C540CD8" w14:textId="77777777" w:rsidR="0005522F" w:rsidRDefault="00B51AC2">
            <w:pPr>
              <w:spacing w:before="0" w:after="0"/>
              <w:jc w:val="both"/>
            </w:pPr>
            <w:r>
              <w:rPr>
                <w:color w:val="000000"/>
                <w:sz w:val="22"/>
                <w:szCs w:val="22"/>
              </w:rPr>
              <w:t>0.22</w:t>
            </w:r>
          </w:p>
        </w:tc>
        <w:tc>
          <w:tcPr>
            <w:tcW w:w="270" w:type="dxa"/>
            <w:tcBorders>
              <w:bottom w:val="single" w:sz="4" w:space="0" w:color="000000"/>
            </w:tcBorders>
            <w:tcMar>
              <w:top w:w="100" w:type="dxa"/>
              <w:left w:w="100" w:type="dxa"/>
              <w:bottom w:w="100" w:type="dxa"/>
              <w:right w:w="100" w:type="dxa"/>
            </w:tcMar>
          </w:tcPr>
          <w:p w14:paraId="3F7DB580" w14:textId="77777777" w:rsidR="0005522F" w:rsidRDefault="0005522F">
            <w:pPr>
              <w:spacing w:before="0" w:after="0"/>
            </w:pPr>
          </w:p>
        </w:tc>
      </w:tr>
    </w:tbl>
    <w:p w14:paraId="6BBC4F34" w14:textId="77777777" w:rsidR="0005522F" w:rsidRDefault="0005522F">
      <w:pPr>
        <w:spacing w:before="0" w:after="0"/>
      </w:pPr>
    </w:p>
    <w:p w14:paraId="323776C0" w14:textId="77777777" w:rsidR="0005522F" w:rsidRDefault="00B51AC2">
      <w:pPr>
        <w:jc w:val="both"/>
      </w:pPr>
      <w:r>
        <w:t>The normalized standard deviation is calculated for different smoothing kernel values and are plotted in Supplementary Figure 1. Results indicate the decline of normalized standard deviations by increasing the smoothing kernel increase.</w:t>
      </w:r>
    </w:p>
    <w:p w14:paraId="14D37D24" w14:textId="77777777" w:rsidR="0005522F" w:rsidRDefault="00B51AC2">
      <w:pPr>
        <w:spacing w:before="0" w:after="0"/>
        <w:jc w:val="center"/>
      </w:pPr>
      <w:r>
        <w:rPr>
          <w:b/>
          <w:noProof/>
        </w:rPr>
        <w:lastRenderedPageBreak/>
        <w:drawing>
          <wp:inline distT="19050" distB="19050" distL="19050" distR="19050" wp14:anchorId="3E2F6D8F" wp14:editId="3C8AD301">
            <wp:extent cx="4675505" cy="3506629"/>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75505" cy="3506629"/>
                    </a:xfrm>
                    <a:prstGeom prst="rect">
                      <a:avLst/>
                    </a:prstGeom>
                    <a:ln/>
                  </pic:spPr>
                </pic:pic>
              </a:graphicData>
            </a:graphic>
          </wp:inline>
        </w:drawing>
      </w:r>
    </w:p>
    <w:p w14:paraId="10749C4E" w14:textId="77777777" w:rsidR="0005522F" w:rsidRDefault="00B51AC2">
      <w:pPr>
        <w:keepNext/>
        <w:rPr>
          <w:b/>
        </w:rPr>
      </w:pPr>
      <w:r>
        <w:rPr>
          <w:b/>
        </w:rPr>
        <w:t>Supplementary Fig</w:t>
      </w:r>
      <w:r>
        <w:rPr>
          <w:b/>
        </w:rPr>
        <w:t xml:space="preserve">ure 1. </w:t>
      </w:r>
      <w:r>
        <w:t xml:space="preserve">Normalized standard deviation versus blurring kernel. IBIS-Phantom, original scans, n=21, CIVET </w:t>
      </w:r>
      <w:proofErr w:type="gramStart"/>
      <w:r>
        <w:t>2.1.1:</w:t>
      </w:r>
      <w:r>
        <w:rPr>
          <w:i/>
        </w:rPr>
        <w:t>tlaplace</w:t>
      </w:r>
      <w:proofErr w:type="gramEnd"/>
      <w:r>
        <w:t xml:space="preserve"> and </w:t>
      </w:r>
      <w:proofErr w:type="spellStart"/>
      <w:r>
        <w:t>FreeSurfer</w:t>
      </w:r>
      <w:proofErr w:type="spellEnd"/>
      <w:r>
        <w:t xml:space="preserve"> 6.0 and 5.3..</w:t>
      </w:r>
    </w:p>
    <w:p w14:paraId="649D2816" w14:textId="77777777" w:rsidR="0005522F" w:rsidRDefault="0005522F">
      <w:pPr>
        <w:spacing w:before="240"/>
      </w:pPr>
    </w:p>
    <w:p w14:paraId="7C17C654" w14:textId="77777777" w:rsidR="0005522F" w:rsidRDefault="0005522F">
      <w:pPr>
        <w:jc w:val="both"/>
      </w:pPr>
    </w:p>
    <w:p w14:paraId="37208BC3" w14:textId="77777777" w:rsidR="0005522F" w:rsidRDefault="00B51AC2">
      <w:pPr>
        <w:pStyle w:val="Heading1"/>
        <w:numPr>
          <w:ilvl w:val="0"/>
          <w:numId w:val="1"/>
        </w:numPr>
      </w:pPr>
      <w:r>
        <w:t>Effect of Blurring Kernel on the Accuracy of Lesion Detection</w:t>
      </w:r>
    </w:p>
    <w:p w14:paraId="769E8C6E" w14:textId="173F9E24" w:rsidR="0005522F" w:rsidRDefault="00B51AC2">
      <w:pPr>
        <w:jc w:val="both"/>
      </w:pPr>
      <w:r>
        <w:t xml:space="preserve">The sensitivity versus specificity curves </w:t>
      </w:r>
      <w:proofErr w:type="gramStart"/>
      <w:r>
        <w:t>are</w:t>
      </w:r>
      <w:proofErr w:type="gramEnd"/>
      <w:r>
        <w:t xml:space="preserve"> plotted in </w:t>
      </w:r>
      <w:r w:rsidR="00EA67E6">
        <w:t xml:space="preserve">Supplementary </w:t>
      </w:r>
      <w:r>
        <w:t xml:space="preserve">Figure </w:t>
      </w:r>
      <w:r w:rsidR="00EA67E6">
        <w:t>2</w:t>
      </w:r>
      <w:r>
        <w:t xml:space="preserve">.a and </w:t>
      </w:r>
      <w:r w:rsidR="00EA67E6">
        <w:t>2</w:t>
      </w:r>
      <w:r>
        <w:t xml:space="preserve">.b for two different smoothing kernels (0mm and 15mm). As it is seen from the plots, </w:t>
      </w:r>
      <w:proofErr w:type="spellStart"/>
      <w:r w:rsidRPr="00EA67E6">
        <w:rPr>
          <w:i/>
          <w:iCs/>
        </w:rPr>
        <w:t>tlaplace</w:t>
      </w:r>
      <w:proofErr w:type="spellEnd"/>
      <w:r>
        <w:t xml:space="preserve"> has the best results for CIVET 2.1.1. The specificity is high for all the metrics for CIVET and both versions of </w:t>
      </w:r>
      <w:proofErr w:type="spellStart"/>
      <w:r>
        <w:t>FreeSurfer</w:t>
      </w:r>
      <w:proofErr w:type="spellEnd"/>
      <w:r>
        <w:t xml:space="preserve"> pipelines </w:t>
      </w:r>
      <w:r>
        <w:t>and applying the smoothing increases the sensitivity for both pipelines. It means that there are quite a high number of statistically significant vertices in both methods so that this number increases by the smoothing. The sensitivity versus smoothing kern</w:t>
      </w:r>
      <w:r>
        <w:t xml:space="preserve">el is depicted in Supplementary Figure 2.c and it indicates that there is a peak for each method, where 10mm is the best for all methods and metrics except </w:t>
      </w:r>
      <w:r w:rsidR="00EA67E6">
        <w:t>FS</w:t>
      </w:r>
      <w:r>
        <w:t xml:space="preserve"> 6.0 which has the maximum sensitivity at 20mm.</w:t>
      </w:r>
    </w:p>
    <w:p w14:paraId="3B7E5AF0" w14:textId="77777777" w:rsidR="0005522F" w:rsidRDefault="0005522F">
      <w:pPr>
        <w:jc w:val="both"/>
      </w:pPr>
    </w:p>
    <w:tbl>
      <w:tblPr>
        <w:tblStyle w:val="a0"/>
        <w:tblW w:w="9777" w:type="dxa"/>
        <w:tblBorders>
          <w:top w:val="nil"/>
          <w:left w:val="nil"/>
          <w:bottom w:val="nil"/>
          <w:right w:val="nil"/>
          <w:insideH w:val="nil"/>
          <w:insideV w:val="nil"/>
        </w:tblBorders>
        <w:tblLayout w:type="fixed"/>
        <w:tblLook w:val="0400" w:firstRow="0" w:lastRow="0" w:firstColumn="0" w:lastColumn="0" w:noHBand="0" w:noVBand="1"/>
      </w:tblPr>
      <w:tblGrid>
        <w:gridCol w:w="4783"/>
        <w:gridCol w:w="4994"/>
      </w:tblGrid>
      <w:tr w:rsidR="0005522F" w14:paraId="512B5C12" w14:textId="77777777">
        <w:tc>
          <w:tcPr>
            <w:tcW w:w="4783" w:type="dxa"/>
          </w:tcPr>
          <w:p w14:paraId="79737024" w14:textId="77777777" w:rsidR="0005522F" w:rsidRDefault="00B51AC2">
            <w:pPr>
              <w:spacing w:before="0" w:after="0"/>
              <w:rPr>
                <w:rFonts w:eastAsia="Times New Roman" w:cs="Times New Roman"/>
              </w:rPr>
            </w:pPr>
            <w:r>
              <w:rPr>
                <w:noProof/>
                <w:sz w:val="22"/>
                <w:szCs w:val="22"/>
              </w:rPr>
              <w:lastRenderedPageBreak/>
              <w:drawing>
                <wp:inline distT="19050" distB="19050" distL="19050" distR="19050" wp14:anchorId="34CD8EDA" wp14:editId="4CEE1198">
                  <wp:extent cx="3162618" cy="2499793"/>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162618" cy="2499793"/>
                          </a:xfrm>
                          <a:prstGeom prst="rect">
                            <a:avLst/>
                          </a:prstGeom>
                          <a:ln/>
                        </pic:spPr>
                      </pic:pic>
                    </a:graphicData>
                  </a:graphic>
                </wp:inline>
              </w:drawing>
            </w:r>
          </w:p>
        </w:tc>
        <w:tc>
          <w:tcPr>
            <w:tcW w:w="4994" w:type="dxa"/>
          </w:tcPr>
          <w:p w14:paraId="5CA215CE" w14:textId="77777777" w:rsidR="0005522F" w:rsidRDefault="00B51AC2">
            <w:pPr>
              <w:spacing w:before="0" w:after="0"/>
              <w:rPr>
                <w:rFonts w:eastAsia="Times New Roman" w:cs="Times New Roman"/>
              </w:rPr>
            </w:pPr>
            <w:r>
              <w:rPr>
                <w:noProof/>
              </w:rPr>
              <w:drawing>
                <wp:inline distT="19050" distB="19050" distL="19050" distR="19050" wp14:anchorId="6425CA3C" wp14:editId="18CC4DB8">
                  <wp:extent cx="3123803" cy="2499043"/>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23803" cy="2499043"/>
                          </a:xfrm>
                          <a:prstGeom prst="rect">
                            <a:avLst/>
                          </a:prstGeom>
                          <a:ln/>
                        </pic:spPr>
                      </pic:pic>
                    </a:graphicData>
                  </a:graphic>
                </wp:inline>
              </w:drawing>
            </w:r>
          </w:p>
        </w:tc>
      </w:tr>
      <w:tr w:rsidR="0005522F" w14:paraId="39362A78" w14:textId="77777777">
        <w:tc>
          <w:tcPr>
            <w:tcW w:w="4783" w:type="dxa"/>
          </w:tcPr>
          <w:p w14:paraId="07780F63" w14:textId="77777777" w:rsidR="0005522F" w:rsidRDefault="00B51AC2">
            <w:pPr>
              <w:jc w:val="center"/>
              <w:rPr>
                <w:rFonts w:eastAsia="Times New Roman" w:cs="Times New Roman"/>
              </w:rPr>
            </w:pPr>
            <w:r>
              <w:rPr>
                <w:rFonts w:eastAsia="Times New Roman" w:cs="Times New Roman"/>
                <w:b/>
                <w:color w:val="000000"/>
              </w:rPr>
              <w:t>(a)</w:t>
            </w:r>
          </w:p>
        </w:tc>
        <w:tc>
          <w:tcPr>
            <w:tcW w:w="4994" w:type="dxa"/>
          </w:tcPr>
          <w:p w14:paraId="23F2EB36" w14:textId="77777777" w:rsidR="0005522F" w:rsidRDefault="00B51AC2">
            <w:pPr>
              <w:jc w:val="center"/>
              <w:rPr>
                <w:rFonts w:eastAsia="Times New Roman" w:cs="Times New Roman"/>
              </w:rPr>
            </w:pPr>
            <w:r>
              <w:rPr>
                <w:rFonts w:eastAsia="Times New Roman" w:cs="Times New Roman"/>
                <w:b/>
                <w:color w:val="000000"/>
              </w:rPr>
              <w:t xml:space="preserve"> (b)</w:t>
            </w:r>
          </w:p>
        </w:tc>
      </w:tr>
      <w:tr w:rsidR="0005522F" w14:paraId="45B7632C" w14:textId="77777777">
        <w:trPr>
          <w:trHeight w:val="240"/>
        </w:trPr>
        <w:tc>
          <w:tcPr>
            <w:tcW w:w="9777" w:type="dxa"/>
            <w:gridSpan w:val="2"/>
          </w:tcPr>
          <w:p w14:paraId="6E080BBE" w14:textId="77777777" w:rsidR="0005522F" w:rsidRDefault="00B51AC2">
            <w:pPr>
              <w:jc w:val="center"/>
              <w:rPr>
                <w:rFonts w:eastAsia="Times New Roman" w:cs="Times New Roman"/>
              </w:rPr>
            </w:pPr>
            <w:r>
              <w:rPr>
                <w:noProof/>
              </w:rPr>
              <w:drawing>
                <wp:inline distT="19050" distB="19050" distL="19050" distR="19050" wp14:anchorId="70CE513A" wp14:editId="360EFF8E">
                  <wp:extent cx="3399525" cy="2727643"/>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399525" cy="2727643"/>
                          </a:xfrm>
                          <a:prstGeom prst="rect">
                            <a:avLst/>
                          </a:prstGeom>
                          <a:ln/>
                        </pic:spPr>
                      </pic:pic>
                    </a:graphicData>
                  </a:graphic>
                </wp:inline>
              </w:drawing>
            </w:r>
          </w:p>
        </w:tc>
      </w:tr>
      <w:tr w:rsidR="0005522F" w14:paraId="50A648E1" w14:textId="77777777">
        <w:tc>
          <w:tcPr>
            <w:tcW w:w="9777" w:type="dxa"/>
            <w:gridSpan w:val="2"/>
          </w:tcPr>
          <w:p w14:paraId="27645F3C" w14:textId="77777777" w:rsidR="0005522F" w:rsidRDefault="00B51AC2">
            <w:pPr>
              <w:jc w:val="center"/>
              <w:rPr>
                <w:rFonts w:eastAsia="Times New Roman" w:cs="Times New Roman"/>
                <w:b/>
              </w:rPr>
            </w:pPr>
            <w:r>
              <w:rPr>
                <w:rFonts w:eastAsia="Times New Roman" w:cs="Times New Roman"/>
                <w:b/>
              </w:rPr>
              <w:t>(c)</w:t>
            </w:r>
          </w:p>
        </w:tc>
      </w:tr>
      <w:tr w:rsidR="0005522F" w14:paraId="2AEF18BB" w14:textId="77777777">
        <w:tc>
          <w:tcPr>
            <w:tcW w:w="9777" w:type="dxa"/>
            <w:gridSpan w:val="2"/>
          </w:tcPr>
          <w:p w14:paraId="1646AF8A" w14:textId="77777777" w:rsidR="0005522F" w:rsidRDefault="00B51AC2">
            <w:pPr>
              <w:spacing w:before="0" w:after="0"/>
              <w:jc w:val="both"/>
              <w:rPr>
                <w:rFonts w:eastAsia="Times New Roman" w:cs="Times New Roman"/>
              </w:rPr>
            </w:pPr>
            <w:bookmarkStart w:id="0" w:name="_heading=h.gjdgxs" w:colFirst="0" w:colLast="0"/>
            <w:bookmarkEnd w:id="0"/>
            <w:r>
              <w:rPr>
                <w:rFonts w:eastAsia="Times New Roman" w:cs="Times New Roman"/>
                <w:b/>
              </w:rPr>
              <w:t xml:space="preserve">Supplementary Figure 2. </w:t>
            </w:r>
            <w:r>
              <w:rPr>
                <w:rFonts w:eastAsia="Times New Roman" w:cs="Times New Roman"/>
                <w:color w:val="000000"/>
              </w:rPr>
              <w:t xml:space="preserve">Within subject analysis results. (a) </w:t>
            </w:r>
            <w:r>
              <w:rPr>
                <w:rFonts w:eastAsia="Times New Roman" w:cs="Times New Roman"/>
                <w:i/>
                <w:color w:val="000000"/>
              </w:rPr>
              <w:t>ROC</w:t>
            </w:r>
            <w:r>
              <w:rPr>
                <w:rFonts w:eastAsia="Times New Roman" w:cs="Times New Roman"/>
                <w:color w:val="000000"/>
              </w:rPr>
              <w:t xml:space="preserve"> curves – Blurring kernel: 0</w:t>
            </w:r>
            <w:r>
              <w:rPr>
                <w:rFonts w:eastAsia="Times New Roman" w:cs="Times New Roman"/>
                <w:i/>
                <w:color w:val="000000"/>
              </w:rPr>
              <w:t xml:space="preserve">mm, </w:t>
            </w:r>
            <w:r>
              <w:rPr>
                <w:rFonts w:eastAsia="Times New Roman" w:cs="Times New Roman"/>
                <w:color w:val="000000"/>
              </w:rPr>
              <w:t xml:space="preserve">(b) </w:t>
            </w:r>
            <w:r>
              <w:rPr>
                <w:rFonts w:eastAsia="Times New Roman" w:cs="Times New Roman"/>
                <w:i/>
                <w:color w:val="000000"/>
              </w:rPr>
              <w:t>ROC</w:t>
            </w:r>
            <w:r>
              <w:rPr>
                <w:rFonts w:eastAsia="Times New Roman" w:cs="Times New Roman"/>
                <w:color w:val="000000"/>
              </w:rPr>
              <w:t xml:space="preserve"> curves – Blurring kernel: 15</w:t>
            </w:r>
            <w:r>
              <w:rPr>
                <w:rFonts w:eastAsia="Times New Roman" w:cs="Times New Roman"/>
                <w:i/>
                <w:color w:val="000000"/>
              </w:rPr>
              <w:t>mm,</w:t>
            </w:r>
            <w:r>
              <w:rPr>
                <w:rFonts w:eastAsia="Times New Roman" w:cs="Times New Roman"/>
                <w:color w:val="000000"/>
              </w:rPr>
              <w:t xml:space="preserve"> (c) Sensitivity and specificity versus smoothing kernel. IBIS-Phantom </w:t>
            </w:r>
            <w:r>
              <w:rPr>
                <w:rFonts w:eastAsia="Times New Roman" w:cs="Times New Roman"/>
              </w:rPr>
              <w:t>(</w:t>
            </w:r>
            <w:r>
              <w:rPr>
                <w:rFonts w:eastAsia="Times New Roman" w:cs="Times New Roman"/>
                <w:color w:val="000000"/>
              </w:rPr>
              <w:t>N=21)</w:t>
            </w:r>
            <w:r>
              <w:rPr>
                <w:rFonts w:eastAsia="Times New Roman" w:cs="Times New Roman"/>
              </w:rPr>
              <w:t xml:space="preserve">, CIVET </w:t>
            </w:r>
            <w:proofErr w:type="gramStart"/>
            <w:r>
              <w:rPr>
                <w:rFonts w:eastAsia="Times New Roman" w:cs="Times New Roman"/>
              </w:rPr>
              <w:t>2.1.1:</w:t>
            </w:r>
            <w:r>
              <w:rPr>
                <w:rFonts w:eastAsia="Times New Roman" w:cs="Times New Roman"/>
                <w:i/>
              </w:rPr>
              <w:t>tlaplace</w:t>
            </w:r>
            <w:proofErr w:type="gramEnd"/>
            <w:r>
              <w:rPr>
                <w:rFonts w:eastAsia="Times New Roman" w:cs="Times New Roman"/>
              </w:rPr>
              <w:t xml:space="preserve"> and </w:t>
            </w:r>
            <w:proofErr w:type="spellStart"/>
            <w:r>
              <w:rPr>
                <w:rFonts w:eastAsia="Times New Roman" w:cs="Times New Roman"/>
              </w:rPr>
              <w:t>FreeSurfer</w:t>
            </w:r>
            <w:proofErr w:type="spellEnd"/>
            <w:r>
              <w:rPr>
                <w:rFonts w:eastAsia="Times New Roman" w:cs="Times New Roman"/>
              </w:rPr>
              <w:t xml:space="preserve"> 6.0</w:t>
            </w:r>
            <w:r>
              <w:rPr>
                <w:rFonts w:eastAsia="Times New Roman" w:cs="Times New Roman"/>
                <w:color w:val="000000"/>
              </w:rPr>
              <w:t>.</w:t>
            </w:r>
          </w:p>
          <w:p w14:paraId="0A504AA2" w14:textId="77777777" w:rsidR="0005522F" w:rsidRDefault="0005522F">
            <w:pPr>
              <w:jc w:val="both"/>
              <w:rPr>
                <w:rFonts w:eastAsia="Times New Roman" w:cs="Times New Roman"/>
              </w:rPr>
            </w:pPr>
          </w:p>
          <w:p w14:paraId="6FCFE9ED" w14:textId="0A4DB0D7" w:rsidR="00EA67E6" w:rsidRDefault="00EA67E6">
            <w:pPr>
              <w:jc w:val="both"/>
              <w:rPr>
                <w:rFonts w:eastAsia="Times New Roman" w:cs="Times New Roman"/>
                <w:b/>
                <w:bCs/>
              </w:rPr>
            </w:pPr>
            <w:r w:rsidRPr="00EA67E6">
              <w:rPr>
                <w:rFonts w:eastAsia="Times New Roman" w:cs="Times New Roman"/>
                <w:b/>
                <w:bCs/>
              </w:rPr>
              <w:t>3. Effect of Lesion Shape on Statistical Parametric Mapping</w:t>
            </w:r>
          </w:p>
          <w:p w14:paraId="6185CB8B" w14:textId="46239CDE" w:rsidR="00EA67E6" w:rsidRDefault="00EB14D9">
            <w:pPr>
              <w:jc w:val="both"/>
              <w:rPr>
                <w:rFonts w:eastAsia="Times New Roman" w:cs="Times New Roman"/>
                <w:b/>
                <w:bCs/>
              </w:rPr>
            </w:pPr>
            <w:r>
              <w:t xml:space="preserve">For simplicity, we chose cubic lesions for testing the simulation pipeline, </w:t>
            </w:r>
            <w:proofErr w:type="gramStart"/>
            <w:r>
              <w:t>but in reality, lesion</w:t>
            </w:r>
            <w:proofErr w:type="gramEnd"/>
            <w:r>
              <w:t xml:space="preserve"> shapes are not cubical. </w:t>
            </w:r>
            <w:proofErr w:type="gramStart"/>
            <w:r>
              <w:t>Therefore</w:t>
            </w:r>
            <w:proofErr w:type="gramEnd"/>
            <w:r>
              <w:t xml:space="preserve"> we also created an ellipsoidal lesion along the cortical curvature to examine the e</w:t>
            </w:r>
            <w:r w:rsidR="00EA67E6" w:rsidRPr="00EA67E6">
              <w:t xml:space="preserve">ffects of lesion shape on the accuracy of lesion detection and statistical detectability. </w:t>
            </w:r>
            <w:r w:rsidR="00EA67E6" w:rsidRPr="00EA67E6">
              <w:rPr>
                <w:lang w:val="en-CA"/>
              </w:rPr>
              <w:t xml:space="preserve">Comparisons are performed in ROI-4 (FWHM=0mm, 15.66% deformation in each direction) in the IBIS-Phantom (N=21, single subject). Scattergrams illustrate the Euclidean distance of detected </w:t>
            </w:r>
            <w:r w:rsidR="00EA67E6" w:rsidRPr="00EA67E6">
              <w:rPr>
                <w:lang w:val="en-CA"/>
              </w:rPr>
              <w:lastRenderedPageBreak/>
              <w:t xml:space="preserve">lesions from the ROI's coordinate. Euclidean distance is measured between the distortion centre to each vertex of the mid surface. The size of the cubic ROI is 10 mm in each direction, and the radius of the ellipsoidal ROI is 5x5x9mm (x, </w:t>
            </w:r>
            <w:proofErr w:type="gramStart"/>
            <w:r w:rsidR="00EA67E6" w:rsidRPr="00EA67E6">
              <w:rPr>
                <w:lang w:val="en-CA"/>
              </w:rPr>
              <w:t>y</w:t>
            </w:r>
            <w:proofErr w:type="gramEnd"/>
            <w:r w:rsidR="00EA67E6" w:rsidRPr="00EA67E6">
              <w:rPr>
                <w:lang w:val="en-CA"/>
              </w:rPr>
              <w:t xml:space="preserve"> and z directions, respectively), so the volumes of the deformation area are almost the same for both cubic and ellipsoid ROIs. Higher t-values are expected near the deformation point (near zero on the x-axis). The scattergrams show the vertices that fall within the statistically significant thresholds in blue and the vertical black line illustrates the ROI boundary, CIVET </w:t>
            </w:r>
            <w:proofErr w:type="gramStart"/>
            <w:r w:rsidR="00EA67E6" w:rsidRPr="00EA67E6">
              <w:rPr>
                <w:lang w:val="en-CA"/>
              </w:rPr>
              <w:t>2.1.1:tlaplace</w:t>
            </w:r>
            <w:proofErr w:type="gramEnd"/>
            <w:r w:rsidR="00EA67E6" w:rsidRPr="00EA67E6">
              <w:rPr>
                <w:lang w:val="en-CA"/>
              </w:rPr>
              <w:t xml:space="preserve"> and </w:t>
            </w:r>
            <w:proofErr w:type="spellStart"/>
            <w:r w:rsidR="00EA67E6" w:rsidRPr="00EA67E6">
              <w:rPr>
                <w:lang w:val="en-CA"/>
              </w:rPr>
              <w:t>FreeSurfer</w:t>
            </w:r>
            <w:proofErr w:type="spellEnd"/>
            <w:r w:rsidR="00EA67E6" w:rsidRPr="00EA67E6">
              <w:rPr>
                <w:lang w:val="en-CA"/>
              </w:rPr>
              <w:t xml:space="preserve"> 6.0.</w:t>
            </w:r>
          </w:p>
          <w:p w14:paraId="30C905C5" w14:textId="38931DBA" w:rsidR="00EA67E6" w:rsidRPr="00EA67E6" w:rsidRDefault="00EA67E6">
            <w:pPr>
              <w:jc w:val="both"/>
              <w:rPr>
                <w:rFonts w:eastAsia="Times New Roman" w:cs="Times New Roman"/>
                <w:b/>
                <w:bCs/>
              </w:rPr>
            </w:pPr>
            <w:r w:rsidRPr="00EA67E6">
              <w:rPr>
                <w:rFonts w:eastAsia="Times New Roman" w:cs="Times New Roman"/>
                <w:b/>
                <w:bCs/>
              </w:rPr>
              <w:drawing>
                <wp:inline distT="0" distB="0" distL="0" distR="0" wp14:anchorId="7EE832AC" wp14:editId="2CECE2FA">
                  <wp:extent cx="6071235" cy="2313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1235" cy="2313305"/>
                          </a:xfrm>
                          <a:prstGeom prst="rect">
                            <a:avLst/>
                          </a:prstGeom>
                        </pic:spPr>
                      </pic:pic>
                    </a:graphicData>
                  </a:graphic>
                </wp:inline>
              </w:drawing>
            </w:r>
          </w:p>
        </w:tc>
      </w:tr>
    </w:tbl>
    <w:p w14:paraId="290BA115" w14:textId="12BED5E9" w:rsidR="0005522F" w:rsidRDefault="00EA67E6" w:rsidP="00EA67E6">
      <w:pPr>
        <w:spacing w:before="200" w:after="0"/>
      </w:pPr>
      <w:r>
        <w:rPr>
          <w:b/>
        </w:rPr>
        <w:lastRenderedPageBreak/>
        <w:t xml:space="preserve">Supplementary Figure </w:t>
      </w:r>
      <w:r>
        <w:rPr>
          <w:b/>
        </w:rPr>
        <w:t>3</w:t>
      </w:r>
      <w:r>
        <w:rPr>
          <w:b/>
        </w:rPr>
        <w:t>.</w:t>
      </w:r>
      <w:r>
        <w:rPr>
          <w:b/>
        </w:rPr>
        <w:t xml:space="preserve"> </w:t>
      </w:r>
      <w:r w:rsidRPr="00EA67E6">
        <w:rPr>
          <w:bCs/>
        </w:rPr>
        <w:t>Effect of lesion shape on lesion detection accuracy. To choose a more realistic lesion shape (ellipsoidal versus cubic) increases the accuracy of detecting the lesion</w:t>
      </w:r>
      <w:r w:rsidR="00EB14D9">
        <w:rPr>
          <w:bCs/>
        </w:rPr>
        <w:t>s, especially for CIVET.</w:t>
      </w:r>
    </w:p>
    <w:sectPr w:rsidR="0005522F">
      <w:headerReference w:type="even" r:id="rId13"/>
      <w:footerReference w:type="even" r:id="rId14"/>
      <w:footerReference w:type="default" r:id="rId15"/>
      <w:headerReference w:type="first" r:id="rId16"/>
      <w:pgSz w:w="12240" w:h="15840"/>
      <w:pgMar w:top="1138" w:right="1181" w:bottom="1138" w:left="128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A4483" w14:textId="77777777" w:rsidR="00B51AC2" w:rsidRDefault="00B51AC2">
      <w:pPr>
        <w:spacing w:before="0" w:after="0"/>
      </w:pPr>
      <w:r>
        <w:separator/>
      </w:r>
    </w:p>
  </w:endnote>
  <w:endnote w:type="continuationSeparator" w:id="0">
    <w:p w14:paraId="6EEA744A" w14:textId="77777777" w:rsidR="00B51AC2" w:rsidRDefault="00B51A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C8243" w14:textId="77777777" w:rsidR="0005522F" w:rsidRDefault="00B51AC2">
    <w:pPr>
      <w:rPr>
        <w:color w:val="C00000"/>
      </w:rPr>
    </w:pPr>
    <w:r>
      <w:rPr>
        <w:noProof/>
      </w:rPr>
      <mc:AlternateContent>
        <mc:Choice Requires="wpg">
          <w:drawing>
            <wp:anchor distT="0" distB="0" distL="114300" distR="114300" simplePos="0" relativeHeight="251659264" behindDoc="0" locked="0" layoutInCell="1" hidden="0" allowOverlap="1" wp14:anchorId="7C9F960C" wp14:editId="114C3BA7">
              <wp:simplePos x="0" y="0"/>
              <wp:positionH relativeFrom="column">
                <wp:posOffset>4686300</wp:posOffset>
              </wp:positionH>
              <wp:positionV relativeFrom="paragraph">
                <wp:posOffset>0</wp:posOffset>
              </wp:positionV>
              <wp:extent cx="1518285" cy="405130"/>
              <wp:effectExtent l="0" t="0" r="0" b="0"/>
              <wp:wrapNone/>
              <wp:docPr id="57" name="Rectangle 57"/>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4098099D" w14:textId="77777777" w:rsidR="0005522F" w:rsidRDefault="00B51AC2">
                          <w:pPr>
                            <w:jc w:val="right"/>
                            <w:textDirection w:val="btLr"/>
                          </w:pPr>
                          <w:r>
                            <w:rPr>
                              <w:color w:val="000000"/>
                            </w:rPr>
                            <w:t xml:space="preserve"> </w:t>
                          </w:r>
                          <w:proofErr w:type="gramStart"/>
                          <w:r>
                            <w:rPr>
                              <w:color w:val="000000"/>
                            </w:rPr>
                            <w:t>PAGE  \</w:t>
                          </w:r>
                          <w:proofErr w:type="gramEnd"/>
                          <w:r>
                            <w:rPr>
                              <w:color w:val="000000"/>
                            </w:rPr>
                            <w:t>* Arabic  \* MERGEFORMAT 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0</wp:posOffset>
              </wp:positionV>
              <wp:extent cx="1518285" cy="405130"/>
              <wp:effectExtent b="0" l="0" r="0" t="0"/>
              <wp:wrapNone/>
              <wp:docPr id="5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518285" cy="40513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86AB9" w14:textId="77777777" w:rsidR="0005522F" w:rsidRDefault="00B51AC2">
    <w:pPr>
      <w:rPr>
        <w:b/>
        <w:sz w:val="20"/>
        <w:szCs w:val="20"/>
      </w:rPr>
    </w:pPr>
    <w:r>
      <w:rPr>
        <w:noProof/>
      </w:rPr>
      <mc:AlternateContent>
        <mc:Choice Requires="wpg">
          <w:drawing>
            <wp:anchor distT="0" distB="0" distL="114300" distR="114300" simplePos="0" relativeHeight="251658240" behindDoc="0" locked="0" layoutInCell="1" hidden="0" allowOverlap="1" wp14:anchorId="349941B9" wp14:editId="767B17B1">
              <wp:simplePos x="0" y="0"/>
              <wp:positionH relativeFrom="column">
                <wp:posOffset>4686300</wp:posOffset>
              </wp:positionH>
              <wp:positionV relativeFrom="paragraph">
                <wp:posOffset>0</wp:posOffset>
              </wp:positionV>
              <wp:extent cx="1518285" cy="405130"/>
              <wp:effectExtent l="0" t="0" r="0" b="0"/>
              <wp:wrapNone/>
              <wp:docPr id="58" name="Rectangle 58"/>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5E2399E1" w14:textId="77777777" w:rsidR="0005522F" w:rsidRDefault="00B51AC2">
                          <w:pPr>
                            <w:jc w:val="right"/>
                            <w:textDirection w:val="btLr"/>
                          </w:pPr>
                          <w:r>
                            <w:rPr>
                              <w:color w:val="000000"/>
                            </w:rPr>
                            <w:t xml:space="preserve"> </w:t>
                          </w:r>
                          <w:proofErr w:type="gramStart"/>
                          <w:r>
                            <w:rPr>
                              <w:color w:val="000000"/>
                            </w:rPr>
                            <w:t>PAGE  \</w:t>
                          </w:r>
                          <w:proofErr w:type="gramEnd"/>
                          <w:r>
                            <w:rPr>
                              <w:color w:val="000000"/>
                            </w:rPr>
                            <w:t>* Arabic  \* MERGEFORMAT 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4686300</wp:posOffset>
              </wp:positionH>
              <wp:positionV relativeFrom="paragraph">
                <wp:posOffset>0</wp:posOffset>
              </wp:positionV>
              <wp:extent cx="1518285" cy="405130"/>
              <wp:effectExtent b="0" l="0" r="0" t="0"/>
              <wp:wrapNone/>
              <wp:docPr id="5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518285" cy="40513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B938C" w14:textId="77777777" w:rsidR="00B51AC2" w:rsidRDefault="00B51AC2">
      <w:pPr>
        <w:spacing w:before="0" w:after="0"/>
      </w:pPr>
      <w:r>
        <w:separator/>
      </w:r>
    </w:p>
  </w:footnote>
  <w:footnote w:type="continuationSeparator" w:id="0">
    <w:p w14:paraId="2696B86E" w14:textId="77777777" w:rsidR="00B51AC2" w:rsidRDefault="00B51AC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317BC" w14:textId="77777777" w:rsidR="0005522F" w:rsidRDefault="00B51AC2">
    <w: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A105D" w14:textId="77777777" w:rsidR="0005522F" w:rsidRDefault="00B51AC2">
    <w:r>
      <w:rPr>
        <w:b/>
        <w:noProof/>
        <w:color w:val="A6A6A6"/>
      </w:rPr>
      <w:drawing>
        <wp:inline distT="0" distB="0" distL="0" distR="0" wp14:anchorId="6B48D80F" wp14:editId="6495B3E7">
          <wp:extent cx="1534909" cy="551877"/>
          <wp:effectExtent l="0" t="0" r="0" b="0"/>
          <wp:docPr id="62" name="image1.jp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1.jp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07A6E"/>
    <w:multiLevelType w:val="multilevel"/>
    <w:tmpl w:val="507894FC"/>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 w15:restartNumberingAfterBreak="0">
    <w:nsid w:val="7702638C"/>
    <w:multiLevelType w:val="multilevel"/>
    <w:tmpl w:val="9B3820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22F"/>
    <w:rsid w:val="0005522F"/>
    <w:rsid w:val="00B51AC2"/>
    <w:rsid w:val="00EA67E6"/>
    <w:rsid w:val="00EB14D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4:docId w14:val="3269C11B"/>
  <w15:docId w15:val="{0E738BA8-212A-B446-B576-D3CC6413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style>
  <w:style w:type="paragraph" w:styleId="Heading1">
    <w:name w:val="heading 1"/>
    <w:basedOn w:val="ListParagraph"/>
    <w:next w:val="Normal"/>
    <w:link w:val="Heading1Char"/>
    <w:uiPriority w:val="9"/>
    <w:qFormat/>
    <w:rsid w:val="00AB6715"/>
    <w:pPr>
      <w:numPr>
        <w:numId w:val="2"/>
      </w:numPr>
      <w:spacing w:before="240"/>
      <w:contextualSpacing w:val="0"/>
      <w:outlineLvl w:val="0"/>
    </w:pPr>
    <w:rPr>
      <w:b/>
    </w:rPr>
  </w:style>
  <w:style w:type="paragraph" w:styleId="Heading2">
    <w:name w:val="heading 2"/>
    <w:basedOn w:val="Heading1"/>
    <w:next w:val="Normal"/>
    <w:link w:val="Heading2Char"/>
    <w:uiPriority w:val="9"/>
    <w:semiHidden/>
    <w:unhideWhenUsed/>
    <w:qFormat/>
    <w:rsid w:val="00AB6715"/>
    <w:pPr>
      <w:numPr>
        <w:ilvl w:val="1"/>
      </w:numPr>
      <w:spacing w:after="200"/>
      <w:outlineLvl w:val="1"/>
    </w:pPr>
  </w:style>
  <w:style w:type="paragraph" w:styleId="Heading3">
    <w:name w:val="heading 3"/>
    <w:basedOn w:val="Normal"/>
    <w:next w:val="Normal"/>
    <w:link w:val="Heading3Char"/>
    <w:uiPriority w:val="9"/>
    <w:semiHidden/>
    <w:unhideWhenUsed/>
    <w:qFormat/>
    <w:rsid w:val="00AB6715"/>
    <w:pPr>
      <w:keepNext/>
      <w:keepLines/>
      <w:numPr>
        <w:ilvl w:val="2"/>
        <w:numId w:val="2"/>
      </w:numPr>
      <w:spacing w:before="40" w:after="120"/>
      <w:outlineLvl w:val="2"/>
    </w:pPr>
    <w:rPr>
      <w:rFonts w:eastAsiaTheme="majorEastAsia" w:cstheme="majorBidi"/>
      <w:b/>
    </w:rPr>
  </w:style>
  <w:style w:type="paragraph" w:styleId="Heading4">
    <w:name w:val="heading 4"/>
    <w:basedOn w:val="Heading3"/>
    <w:next w:val="Normal"/>
    <w:link w:val="Heading4Char"/>
    <w:uiPriority w:val="9"/>
    <w:semiHidden/>
    <w:unhideWhenUsed/>
    <w:qFormat/>
    <w:rsid w:val="00AB6715"/>
    <w:pPr>
      <w:numPr>
        <w:ilvl w:val="3"/>
      </w:numPr>
      <w:outlineLvl w:val="3"/>
    </w:pPr>
    <w:rPr>
      <w:iCs/>
    </w:rPr>
  </w:style>
  <w:style w:type="paragraph" w:styleId="Heading5">
    <w:name w:val="heading 5"/>
    <w:basedOn w:val="Heading4"/>
    <w:next w:val="Normal"/>
    <w:link w:val="Heading5Char"/>
    <w:uiPriority w:val="9"/>
    <w:semiHidden/>
    <w:unhideWhenUsed/>
    <w:qFormat/>
    <w:rsid w:val="00AB6715"/>
    <w:pPr>
      <w:numPr>
        <w:ilvl w:val="4"/>
      </w:num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6715"/>
    <w:pPr>
      <w:suppressLineNumbers/>
      <w:spacing w:before="240" w:after="360"/>
      <w:jc w:val="center"/>
    </w:pPr>
    <w:rPr>
      <w:b/>
      <w:sz w:val="32"/>
      <w:szCs w:val="32"/>
    </w:rPr>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qFormat/>
    <w:pPr>
      <w:spacing w:before="240"/>
    </w:pPr>
    <w:rPr>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b/>
      <w:bCs/>
    </w:rPr>
  </w:style>
  <w:style w:type="paragraph" w:styleId="NoSpacing">
    <w:name w:val="No Spacing"/>
    <w:uiPriority w:val="99"/>
    <w:unhideWhenUsed/>
    <w:qFormat/>
    <w:rsid w:val="00AB6715"/>
    <w:pPr>
      <w:spacing w:after="0"/>
    </w:p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tabs>
        <w:tab w:val="num" w:pos="720"/>
      </w:tabs>
      <w:ind w:left="720" w:hanging="720"/>
      <w:contextualSpacing/>
    </w:pPr>
    <w:rPr>
      <w:rFonts w:eastAsia="Cambria"/>
    </w:rPr>
  </w:style>
  <w:style w:type="numbering" w:customStyle="1" w:styleId="Headings">
    <w:name w:val="Headings"/>
    <w:uiPriority w:val="99"/>
    <w:rsid w:val="00AB6715"/>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cPcNOh58gwprWggmPo16aqi0VA==">AMUW2mXia88y1hHl6ISqdjykSljR1s08ftwl1+mN9jRuM7L00jxgrnojn0oVKjNNYTqjmhVD3M9XMmqBHMcMIIEZuxipwj0eZDnPQV/BFPo4BwNUhXsSnnDTBiGOoTRmbW5xQqxcWqV/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699</Words>
  <Characters>3987</Characters>
  <Application>Microsoft Office Word</Application>
  <DocSecurity>0</DocSecurity>
  <Lines>33</Lines>
  <Paragraphs>9</Paragraphs>
  <ScaleCrop>false</ScaleCrop>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Najmeh Khalili-Mahani, Dr</cp:lastModifiedBy>
  <cp:revision>4</cp:revision>
  <dcterms:created xsi:type="dcterms:W3CDTF">2019-10-15T16:35:00Z</dcterms:created>
  <dcterms:modified xsi:type="dcterms:W3CDTF">2021-06-16T01:35:00Z</dcterms:modified>
</cp:coreProperties>
</file>