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2D65ED" w14:textId="4D63F714" w:rsidR="00F52C27" w:rsidRPr="00653B79" w:rsidRDefault="00F52C27" w:rsidP="00F52C27">
      <w:pPr>
        <w:pStyle w:val="Heading1"/>
        <w:rPr>
          <w:lang w:val="en-US"/>
        </w:rPr>
      </w:pPr>
      <w:r w:rsidRPr="00653B79">
        <w:rPr>
          <w:lang w:val="en-US"/>
        </w:rPr>
        <w:t>Appendi</w:t>
      </w:r>
      <w:r w:rsidR="00C25B52" w:rsidRPr="00653B79">
        <w:rPr>
          <w:lang w:val="en-US"/>
        </w:rPr>
        <w:t>x</w:t>
      </w:r>
    </w:p>
    <w:p w14:paraId="6C126442" w14:textId="4EDED2D4" w:rsidR="00F52C27" w:rsidRPr="00653B79" w:rsidRDefault="00076A0F" w:rsidP="007A0077">
      <w:pPr>
        <w:rPr>
          <w:lang w:val="en-US"/>
        </w:rPr>
      </w:pPr>
      <w:r w:rsidRPr="00880EB7">
        <w:rPr>
          <w:lang w:val="en-US"/>
        </w:rPr>
        <w:t>A</w:t>
      </w:r>
      <w:r w:rsidR="00C25B52" w:rsidRPr="00880EB7">
        <w:rPr>
          <w:lang w:val="en-US"/>
        </w:rPr>
        <w:t xml:space="preserve"> detailed indoor multizone model developed by Li et al. (2005). </w:t>
      </w:r>
      <w:r w:rsidR="00D17389" w:rsidRPr="00880EB7">
        <w:rPr>
          <w:lang w:val="en-US"/>
        </w:rPr>
        <w:t>The model account</w:t>
      </w:r>
      <w:r w:rsidRPr="00880EB7">
        <w:rPr>
          <w:lang w:val="en-US"/>
        </w:rPr>
        <w:t>s</w:t>
      </w:r>
      <w:r w:rsidR="00D17389" w:rsidRPr="00880EB7">
        <w:rPr>
          <w:lang w:val="en-US"/>
        </w:rPr>
        <w:t xml:space="preserve"> for external wind speed and directions derived from a CFD </w:t>
      </w:r>
      <w:r w:rsidRPr="00880EB7">
        <w:rPr>
          <w:lang w:val="en-US"/>
        </w:rPr>
        <w:t>simulation</w:t>
      </w:r>
      <w:r w:rsidR="00D17389" w:rsidRPr="00880EB7">
        <w:rPr>
          <w:lang w:val="en-US"/>
        </w:rPr>
        <w:t xml:space="preserve">. The buoyancy effect of the indoor air, considered to be 0.5 C higher than the outdoor environment, is accounted for. Each apartment is considered as a zone connected with each other by flow paths, such as cracks, windows, </w:t>
      </w:r>
      <w:r w:rsidR="008C441A" w:rsidRPr="00880EB7">
        <w:rPr>
          <w:lang w:val="en-US"/>
        </w:rPr>
        <w:t>doors,</w:t>
      </w:r>
      <w:r w:rsidR="00D17389" w:rsidRPr="00880EB7">
        <w:rPr>
          <w:lang w:val="en-US"/>
        </w:rPr>
        <w:t xml:space="preserve"> and shafts, to form a flow network. The effective leakage area (ELA) of a close window or a door is assumed to be 0.4-1.8% of the window or door area. The virus-contain</w:t>
      </w:r>
      <w:r w:rsidRPr="00880EB7">
        <w:rPr>
          <w:lang w:val="en-US"/>
        </w:rPr>
        <w:t>ing</w:t>
      </w:r>
      <w:r w:rsidR="00D17389" w:rsidRPr="00880EB7">
        <w:rPr>
          <w:lang w:val="en-US"/>
        </w:rPr>
        <w:t xml:space="preserve"> bio-</w:t>
      </w:r>
      <w:r w:rsidRPr="00880EB7">
        <w:rPr>
          <w:lang w:val="en-US"/>
        </w:rPr>
        <w:t>aerosols</w:t>
      </w:r>
      <w:r w:rsidR="00D17389" w:rsidRPr="00880EB7">
        <w:rPr>
          <w:lang w:val="en-US"/>
        </w:rPr>
        <w:t xml:space="preserve"> were </w:t>
      </w:r>
      <w:r w:rsidRPr="00880EB7">
        <w:rPr>
          <w:lang w:val="en-US"/>
        </w:rPr>
        <w:t>model</w:t>
      </w:r>
      <w:r w:rsidR="00D17389" w:rsidRPr="00880EB7">
        <w:rPr>
          <w:lang w:val="en-US"/>
        </w:rPr>
        <w:t xml:space="preserve"> as a passive tracer</w:t>
      </w:r>
      <w:r w:rsidRPr="00880EB7">
        <w:rPr>
          <w:lang w:val="en-US"/>
        </w:rPr>
        <w:t xml:space="preserve">, discharged from the source at a constant strengthen at 150 </w:t>
      </w:r>
      <w:r w:rsidRPr="00880EB7">
        <w:rPr>
          <w:rFonts w:cs="Times New Roman"/>
          <w:lang w:val="en-US"/>
        </w:rPr>
        <w:t>µ</w:t>
      </w:r>
      <w:r w:rsidRPr="00880EB7">
        <w:rPr>
          <w:lang w:val="en-US"/>
        </w:rPr>
        <w:t xml:space="preserve">g/s. </w:t>
      </w:r>
      <w:r w:rsidRPr="00653B79">
        <w:rPr>
          <w:lang w:val="en-US"/>
        </w:rPr>
        <w:t>The model was used to predict hourly viral concentration under changing wind speed and directions, for a period of 30 hour between 8:00 AM on March 19 and 14:00 on March 20, in which the average viral concentration values were computed for each apartment.</w:t>
      </w:r>
      <w:r w:rsidR="009510A1">
        <w:rPr>
          <w:lang w:val="en-US"/>
        </w:rPr>
        <w:t xml:space="preserve"> (Table A1)</w:t>
      </w:r>
    </w:p>
    <w:p w14:paraId="737DF1A0" w14:textId="1DA8F7AA" w:rsidR="00076A0F" w:rsidRDefault="00076A0F" w:rsidP="007A0077">
      <w:pPr>
        <w:rPr>
          <w:lang w:val="en-US"/>
        </w:rPr>
      </w:pPr>
    </w:p>
    <w:p w14:paraId="6CFA8D42" w14:textId="665A0EC9" w:rsidR="00076A0F" w:rsidRPr="00653B79" w:rsidRDefault="0086039C">
      <w:pPr>
        <w:pStyle w:val="Caption"/>
      </w:pPr>
      <w:r>
        <w:rPr>
          <w:lang w:val="en-US"/>
        </w:rPr>
        <w:t xml:space="preserve">Table A1 </w:t>
      </w:r>
      <w:r w:rsidR="00BB510D" w:rsidRPr="00880EB7">
        <w:t>Simulated average hourly viral concentration (</w:t>
      </w:r>
      <w:r w:rsidR="00BB510D" w:rsidRPr="00880EB7">
        <w:rPr>
          <w:rFonts w:cs="Times New Roman"/>
        </w:rPr>
        <w:t>µ</w:t>
      </w:r>
      <w:r w:rsidR="00BB510D" w:rsidRPr="00880EB7">
        <w:t>g/m</w:t>
      </w:r>
      <w:r w:rsidR="00BB510D" w:rsidRPr="00880EB7">
        <w:rPr>
          <w:vertAlign w:val="superscript"/>
        </w:rPr>
        <w:t>3</w:t>
      </w:r>
      <w:r w:rsidR="00BB510D" w:rsidRPr="00880EB7">
        <w:t xml:space="preserve">) over the 30-hour period </w:t>
      </w:r>
      <w:r w:rsidR="009019AD">
        <w:t>for Amoy Gardens during the SARS outbreak. Source (Li et al., 2005)</w:t>
      </w:r>
    </w:p>
    <w:p w14:paraId="16CE9837" w14:textId="78714320" w:rsidR="00076A0F" w:rsidRPr="00653B79" w:rsidRDefault="00076A0F" w:rsidP="007A0077">
      <w:pPr>
        <w:rPr>
          <w:lang w:val="en-US"/>
        </w:rPr>
      </w:pPr>
      <w:r w:rsidRPr="00653B79">
        <w:rPr>
          <w:noProof/>
          <w:lang w:val="en-US"/>
        </w:rPr>
        <w:drawing>
          <wp:inline distT="0" distB="0" distL="0" distR="0" wp14:anchorId="545B55D2" wp14:editId="41385B0B">
            <wp:extent cx="4025900" cy="2683934"/>
            <wp:effectExtent l="0" t="0" r="0" b="254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cstate="print">
                      <a:extLst>
                        <a:ext uri="{28A0092B-C50C-407E-A947-70E740481C1C}">
                          <a14:useLocalDpi xmlns:a14="http://schemas.microsoft.com/office/drawing/2010/main"/>
                        </a:ext>
                      </a:extLst>
                    </a:blip>
                    <a:srcRect/>
                    <a:stretch/>
                  </pic:blipFill>
                  <pic:spPr bwMode="auto">
                    <a:xfrm>
                      <a:off x="0" y="0"/>
                      <a:ext cx="4029705" cy="2686470"/>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p w14:paraId="3AD608FF" w14:textId="29ABCC45" w:rsidR="006B4AEF" w:rsidRDefault="006B4AEF" w:rsidP="007A0077">
      <w:pPr>
        <w:rPr>
          <w:lang w:val="en-US"/>
        </w:rPr>
      </w:pPr>
    </w:p>
    <w:p w14:paraId="22DF8D1D" w14:textId="0768D258" w:rsidR="00864D6B" w:rsidRPr="00E64586" w:rsidRDefault="00864D6B" w:rsidP="00864D6B">
      <w:pPr>
        <w:rPr>
          <w:lang w:val="en-US"/>
        </w:rPr>
      </w:pPr>
      <w:r w:rsidRPr="00D76A31">
        <w:rPr>
          <w:iCs/>
          <w:lang w:val="en-US"/>
        </w:rPr>
        <w:t>To account for possible tertiary or higher order infections that occurred during the Amoy Gardens SARS outbreak, logistic regression</w:t>
      </w:r>
      <w:r w:rsidRPr="00F040F6">
        <w:rPr>
          <w:iCs/>
          <w:lang w:val="en-US"/>
        </w:rPr>
        <w:t xml:space="preserve"> </w:t>
      </w:r>
      <w:r w:rsidRPr="00653B79">
        <w:rPr>
          <w:iCs/>
          <w:lang w:val="en-US"/>
        </w:rPr>
        <w:t xml:space="preserve">was </w:t>
      </w:r>
      <w:r w:rsidRPr="00653B79">
        <w:rPr>
          <w:lang w:val="en-US"/>
        </w:rPr>
        <w:t xml:space="preserve">run using a subset of 52 apartments (62 infected individuals) with early symptom onset on or before March.24, within five days of the disease incubation period, which are less likely to be tertiary or higher order infections. The results are presented in </w:t>
      </w:r>
      <w:r>
        <w:rPr>
          <w:lang w:val="en-US"/>
        </w:rPr>
        <w:t>Table A2</w:t>
      </w:r>
      <w:r w:rsidRPr="00653B79">
        <w:rPr>
          <w:lang w:val="en-US"/>
        </w:rPr>
        <w:t>. The dependent variable was the SARS infection in apartments (binar</w:t>
      </w:r>
      <w:r w:rsidRPr="00D76A31">
        <w:rPr>
          <w:lang w:val="en-US"/>
        </w:rPr>
        <w:t xml:space="preserve">y) with symptom onset on or before March 24, 2003. The independent variables were </w:t>
      </w:r>
      <w:r w:rsidRPr="00F040F6">
        <w:rPr>
          <w:lang w:val="en-US"/>
        </w:rPr>
        <w:t xml:space="preserve">the predicted viral exposure (quanta) and the dummy variable of intra-building transmission, in this case only eligible for the </w:t>
      </w:r>
      <w:r>
        <w:rPr>
          <w:lang w:val="en-US"/>
        </w:rPr>
        <w:t>regression</w:t>
      </w:r>
      <w:r w:rsidRPr="00F040F6">
        <w:rPr>
          <w:lang w:val="en-US"/>
        </w:rPr>
        <w:t xml:space="preserve"> model</w:t>
      </w:r>
      <w:r>
        <w:rPr>
          <w:lang w:val="en-US"/>
        </w:rPr>
        <w:t xml:space="preserve"> for all four buildings</w:t>
      </w:r>
      <w:r w:rsidRPr="00653B79">
        <w:rPr>
          <w:lang w:val="en-US"/>
        </w:rPr>
        <w:t xml:space="preserve">. It was found that the predicted viral exposure was positively associated with SARS infection in all four buildings (p&lt;0.001) and in </w:t>
      </w:r>
      <w:r w:rsidRPr="00D76A31">
        <w:rPr>
          <w:iCs/>
          <w:lang w:val="en-US"/>
        </w:rPr>
        <w:t xml:space="preserve">block B (p&lt;0.001) with consistently high odds ratio. </w:t>
      </w:r>
      <w:r w:rsidRPr="00D76A31">
        <w:rPr>
          <w:lang w:val="en-US"/>
        </w:rPr>
        <w:t>Additionally, being in the same building with the primary patient inflict</w:t>
      </w:r>
      <w:r w:rsidRPr="00F040F6">
        <w:rPr>
          <w:lang w:val="en-US"/>
        </w:rPr>
        <w:t xml:space="preserve">s an additional risk of SARS infection (p&lt;0.001), suggesting that intra-building transmission route have played a role. </w:t>
      </w:r>
    </w:p>
    <w:p w14:paraId="753559FD" w14:textId="77777777" w:rsidR="00864D6B" w:rsidRPr="007010BC" w:rsidRDefault="00864D6B" w:rsidP="00864D6B">
      <w:pPr>
        <w:rPr>
          <w:iCs/>
          <w:lang w:val="en-US"/>
        </w:rPr>
      </w:pPr>
    </w:p>
    <w:p w14:paraId="1ACA318E" w14:textId="09DF8270" w:rsidR="00864D6B" w:rsidRPr="00D76A31" w:rsidRDefault="00864D6B" w:rsidP="00864D6B">
      <w:pPr>
        <w:pStyle w:val="Caption"/>
        <w:rPr>
          <w:lang w:val="en-US"/>
        </w:rPr>
      </w:pPr>
      <w:r w:rsidRPr="007010BC">
        <w:rPr>
          <w:lang w:val="en-US"/>
        </w:rPr>
        <w:t xml:space="preserve">Table </w:t>
      </w:r>
      <w:r>
        <w:rPr>
          <w:lang w:val="en-US"/>
        </w:rPr>
        <w:t>A2</w:t>
      </w:r>
      <w:r w:rsidRPr="00653B79">
        <w:rPr>
          <w:lang w:val="en-US"/>
        </w:rPr>
        <w:t xml:space="preserve"> Logistic regression of diagnosed SARS infection (on or before March 24, 2003) in apartments versus predicted viral exposure</w:t>
      </w:r>
    </w:p>
    <w:tbl>
      <w:tblPr>
        <w:tblW w:w="8078" w:type="dxa"/>
        <w:tblLook w:val="04A0" w:firstRow="1" w:lastRow="0" w:firstColumn="1" w:lastColumn="0" w:noHBand="0" w:noVBand="1"/>
      </w:tblPr>
      <w:tblGrid>
        <w:gridCol w:w="2035"/>
        <w:gridCol w:w="797"/>
        <w:gridCol w:w="1140"/>
        <w:gridCol w:w="662"/>
        <w:gridCol w:w="1391"/>
        <w:gridCol w:w="2053"/>
      </w:tblGrid>
      <w:tr w:rsidR="00864D6B" w:rsidRPr="00E64586" w14:paraId="509C0F86" w14:textId="77777777" w:rsidTr="00173B83">
        <w:trPr>
          <w:trHeight w:val="263"/>
        </w:trPr>
        <w:tc>
          <w:tcPr>
            <w:tcW w:w="2035" w:type="dxa"/>
            <w:tcBorders>
              <w:bottom w:val="single" w:sz="4" w:space="0" w:color="auto"/>
            </w:tcBorders>
            <w:shd w:val="clear" w:color="auto" w:fill="auto"/>
            <w:noWrap/>
            <w:vAlign w:val="center"/>
            <w:hideMark/>
          </w:tcPr>
          <w:p w14:paraId="59DBC4C3" w14:textId="77777777" w:rsidR="00864D6B" w:rsidRPr="00F040F6" w:rsidRDefault="00864D6B" w:rsidP="00173B83">
            <w:pPr>
              <w:jc w:val="center"/>
              <w:rPr>
                <w:rFonts w:eastAsia="Times New Roman" w:cs="Times New Roman"/>
                <w:i/>
                <w:iCs/>
                <w:sz w:val="20"/>
                <w:szCs w:val="20"/>
                <w:lang w:val="en-US"/>
              </w:rPr>
            </w:pPr>
          </w:p>
        </w:tc>
        <w:tc>
          <w:tcPr>
            <w:tcW w:w="1937" w:type="dxa"/>
            <w:gridSpan w:val="2"/>
            <w:tcBorders>
              <w:bottom w:val="single" w:sz="4" w:space="0" w:color="auto"/>
            </w:tcBorders>
            <w:shd w:val="clear" w:color="auto" w:fill="auto"/>
            <w:noWrap/>
            <w:vAlign w:val="center"/>
            <w:hideMark/>
          </w:tcPr>
          <w:p w14:paraId="5F18652C" w14:textId="77777777" w:rsidR="00864D6B" w:rsidRPr="00E64586" w:rsidRDefault="00864D6B" w:rsidP="00173B83">
            <w:pPr>
              <w:ind w:left="-107"/>
              <w:jc w:val="center"/>
              <w:rPr>
                <w:rFonts w:eastAsia="Times New Roman" w:cs="Times New Roman"/>
                <w:b/>
                <w:bCs/>
                <w:i/>
                <w:iCs/>
                <w:color w:val="000000"/>
                <w:sz w:val="20"/>
                <w:szCs w:val="20"/>
                <w:lang w:val="en-US"/>
              </w:rPr>
            </w:pPr>
            <w:r w:rsidRPr="00E64586">
              <w:rPr>
                <w:rFonts w:eastAsia="Times New Roman" w:cs="Times New Roman"/>
                <w:b/>
                <w:bCs/>
                <w:i/>
                <w:iCs/>
                <w:color w:val="000000"/>
                <w:sz w:val="20"/>
                <w:szCs w:val="20"/>
                <w:lang w:val="en-US"/>
              </w:rPr>
              <w:t>All Buildings</w:t>
            </w:r>
          </w:p>
        </w:tc>
        <w:tc>
          <w:tcPr>
            <w:tcW w:w="2053" w:type="dxa"/>
            <w:gridSpan w:val="2"/>
            <w:tcBorders>
              <w:bottom w:val="single" w:sz="4" w:space="0" w:color="auto"/>
            </w:tcBorders>
            <w:shd w:val="clear" w:color="auto" w:fill="auto"/>
            <w:noWrap/>
            <w:vAlign w:val="center"/>
            <w:hideMark/>
          </w:tcPr>
          <w:p w14:paraId="45EE3E3F" w14:textId="77777777" w:rsidR="00864D6B" w:rsidRPr="00E64586" w:rsidRDefault="00864D6B" w:rsidP="00173B83">
            <w:pPr>
              <w:jc w:val="center"/>
              <w:rPr>
                <w:rFonts w:eastAsia="Times New Roman" w:cs="Times New Roman"/>
                <w:b/>
                <w:bCs/>
                <w:i/>
                <w:iCs/>
                <w:color w:val="000000"/>
                <w:sz w:val="20"/>
                <w:szCs w:val="20"/>
                <w:lang w:val="en-US"/>
              </w:rPr>
            </w:pPr>
            <w:r w:rsidRPr="00E64586">
              <w:rPr>
                <w:rFonts w:eastAsia="Times New Roman" w:cs="Times New Roman"/>
                <w:b/>
                <w:bCs/>
                <w:i/>
                <w:iCs/>
                <w:color w:val="000000"/>
                <w:sz w:val="20"/>
                <w:szCs w:val="20"/>
                <w:lang w:val="en-US"/>
              </w:rPr>
              <w:t>Block E</w:t>
            </w:r>
          </w:p>
        </w:tc>
        <w:tc>
          <w:tcPr>
            <w:tcW w:w="2053" w:type="dxa"/>
            <w:tcBorders>
              <w:bottom w:val="single" w:sz="4" w:space="0" w:color="auto"/>
            </w:tcBorders>
            <w:vAlign w:val="center"/>
          </w:tcPr>
          <w:p w14:paraId="5FD6DAFD" w14:textId="77777777" w:rsidR="00864D6B" w:rsidRPr="00E64586" w:rsidRDefault="00864D6B" w:rsidP="00173B83">
            <w:pPr>
              <w:jc w:val="center"/>
              <w:rPr>
                <w:rFonts w:eastAsia="Times New Roman" w:cs="Times New Roman"/>
                <w:b/>
                <w:bCs/>
                <w:i/>
                <w:iCs/>
                <w:color w:val="000000"/>
                <w:sz w:val="20"/>
                <w:szCs w:val="20"/>
                <w:lang w:val="en-US"/>
              </w:rPr>
            </w:pPr>
            <w:r>
              <w:rPr>
                <w:rFonts w:eastAsia="Times New Roman" w:cs="Times New Roman"/>
                <w:b/>
                <w:bCs/>
                <w:i/>
                <w:iCs/>
                <w:color w:val="000000"/>
                <w:sz w:val="20"/>
                <w:szCs w:val="20"/>
                <w:lang w:val="en-US"/>
              </w:rPr>
              <w:t>Block C</w:t>
            </w:r>
          </w:p>
        </w:tc>
      </w:tr>
      <w:tr w:rsidR="00864D6B" w:rsidRPr="00E64586" w14:paraId="18215F93" w14:textId="77777777" w:rsidTr="00173B83">
        <w:trPr>
          <w:trHeight w:val="53"/>
        </w:trPr>
        <w:tc>
          <w:tcPr>
            <w:tcW w:w="2035" w:type="dxa"/>
            <w:tcBorders>
              <w:top w:val="single" w:sz="4" w:space="0" w:color="auto"/>
            </w:tcBorders>
            <w:shd w:val="clear" w:color="auto" w:fill="auto"/>
            <w:noWrap/>
            <w:vAlign w:val="center"/>
            <w:hideMark/>
          </w:tcPr>
          <w:p w14:paraId="0E0C6BF0" w14:textId="77777777" w:rsidR="00864D6B" w:rsidRPr="00653B79" w:rsidRDefault="00864D6B" w:rsidP="00173B83">
            <w:pPr>
              <w:rPr>
                <w:rFonts w:eastAsia="Times New Roman" w:cs="Times New Roman"/>
                <w:i/>
                <w:iCs/>
                <w:color w:val="000000"/>
                <w:sz w:val="20"/>
                <w:szCs w:val="20"/>
                <w:lang w:val="en-US"/>
              </w:rPr>
            </w:pPr>
            <w:r w:rsidRPr="00653B79">
              <w:rPr>
                <w:rFonts w:eastAsia="Times New Roman" w:cs="Times New Roman"/>
                <w:i/>
                <w:iCs/>
                <w:color w:val="000000"/>
                <w:sz w:val="20"/>
                <w:szCs w:val="20"/>
                <w:lang w:val="en-US"/>
              </w:rPr>
              <w:t>N</w:t>
            </w:r>
          </w:p>
        </w:tc>
        <w:tc>
          <w:tcPr>
            <w:tcW w:w="1937" w:type="dxa"/>
            <w:gridSpan w:val="2"/>
            <w:tcBorders>
              <w:top w:val="single" w:sz="4" w:space="0" w:color="auto"/>
            </w:tcBorders>
            <w:shd w:val="clear" w:color="auto" w:fill="auto"/>
            <w:noWrap/>
            <w:vAlign w:val="center"/>
            <w:hideMark/>
          </w:tcPr>
          <w:p w14:paraId="0D958B04" w14:textId="77777777" w:rsidR="00864D6B" w:rsidRPr="00653B79" w:rsidRDefault="00864D6B" w:rsidP="00173B83">
            <w:pPr>
              <w:ind w:left="-107"/>
              <w:jc w:val="center"/>
              <w:rPr>
                <w:rFonts w:eastAsia="Times New Roman" w:cs="Times New Roman"/>
                <w:i/>
                <w:iCs/>
                <w:color w:val="000000"/>
                <w:sz w:val="20"/>
                <w:szCs w:val="20"/>
                <w:lang w:val="en-US"/>
              </w:rPr>
            </w:pPr>
            <w:r w:rsidRPr="00653B79">
              <w:rPr>
                <w:rFonts w:eastAsia="Times New Roman" w:cs="Times New Roman"/>
                <w:i/>
                <w:iCs/>
                <w:color w:val="000000"/>
                <w:sz w:val="20"/>
                <w:szCs w:val="20"/>
                <w:lang w:val="en-US"/>
              </w:rPr>
              <w:t>1,056</w:t>
            </w:r>
          </w:p>
        </w:tc>
        <w:tc>
          <w:tcPr>
            <w:tcW w:w="2053" w:type="dxa"/>
            <w:gridSpan w:val="2"/>
            <w:tcBorders>
              <w:top w:val="single" w:sz="4" w:space="0" w:color="auto"/>
            </w:tcBorders>
            <w:shd w:val="clear" w:color="auto" w:fill="auto"/>
            <w:noWrap/>
            <w:vAlign w:val="center"/>
            <w:hideMark/>
          </w:tcPr>
          <w:p w14:paraId="3D02CE1A" w14:textId="77777777" w:rsidR="00864D6B" w:rsidRPr="00D76A31" w:rsidRDefault="00864D6B" w:rsidP="00173B83">
            <w:pPr>
              <w:jc w:val="center"/>
              <w:rPr>
                <w:rFonts w:eastAsia="Times New Roman" w:cs="Times New Roman"/>
                <w:i/>
                <w:iCs/>
                <w:color w:val="000000"/>
                <w:sz w:val="20"/>
                <w:szCs w:val="20"/>
                <w:lang w:val="en-US"/>
              </w:rPr>
            </w:pPr>
            <w:r w:rsidRPr="00D76A31">
              <w:rPr>
                <w:rFonts w:eastAsia="Times New Roman" w:cs="Times New Roman"/>
                <w:i/>
                <w:iCs/>
                <w:color w:val="000000"/>
                <w:sz w:val="20"/>
                <w:szCs w:val="20"/>
                <w:lang w:val="en-US"/>
              </w:rPr>
              <w:t>264</w:t>
            </w:r>
          </w:p>
        </w:tc>
        <w:tc>
          <w:tcPr>
            <w:tcW w:w="2053" w:type="dxa"/>
            <w:tcBorders>
              <w:top w:val="single" w:sz="4" w:space="0" w:color="auto"/>
            </w:tcBorders>
          </w:tcPr>
          <w:p w14:paraId="2FA99762" w14:textId="77777777" w:rsidR="00864D6B" w:rsidRPr="00D76A31" w:rsidRDefault="00864D6B" w:rsidP="00173B83">
            <w:pPr>
              <w:jc w:val="center"/>
              <w:rPr>
                <w:rFonts w:eastAsia="Times New Roman" w:cs="Times New Roman"/>
                <w:i/>
                <w:iCs/>
                <w:color w:val="000000"/>
                <w:sz w:val="20"/>
                <w:szCs w:val="20"/>
                <w:lang w:val="en-US"/>
              </w:rPr>
            </w:pPr>
            <w:r w:rsidRPr="00E64586">
              <w:rPr>
                <w:rFonts w:eastAsia="Times New Roman" w:cs="Times New Roman"/>
                <w:i/>
                <w:iCs/>
                <w:color w:val="000000"/>
                <w:sz w:val="20"/>
                <w:szCs w:val="20"/>
                <w:lang w:val="en-US"/>
              </w:rPr>
              <w:t>264</w:t>
            </w:r>
          </w:p>
        </w:tc>
      </w:tr>
      <w:tr w:rsidR="00864D6B" w:rsidRPr="00E64586" w14:paraId="4DDFF0B3" w14:textId="77777777" w:rsidTr="00173B83">
        <w:trPr>
          <w:trHeight w:val="64"/>
        </w:trPr>
        <w:tc>
          <w:tcPr>
            <w:tcW w:w="2035" w:type="dxa"/>
            <w:shd w:val="clear" w:color="auto" w:fill="auto"/>
            <w:noWrap/>
            <w:vAlign w:val="center"/>
            <w:hideMark/>
          </w:tcPr>
          <w:p w14:paraId="535C3D21" w14:textId="77777777" w:rsidR="00864D6B" w:rsidRPr="00653B79" w:rsidRDefault="00864D6B" w:rsidP="00173B83">
            <w:pPr>
              <w:rPr>
                <w:rFonts w:eastAsia="Times New Roman" w:cs="Times New Roman"/>
                <w:i/>
                <w:iCs/>
                <w:color w:val="000000"/>
                <w:sz w:val="20"/>
                <w:szCs w:val="20"/>
                <w:lang w:val="en-US"/>
              </w:rPr>
            </w:pPr>
            <w:r w:rsidRPr="00653B79">
              <w:rPr>
                <w:rFonts w:eastAsia="Times New Roman" w:cs="Times New Roman"/>
                <w:i/>
                <w:iCs/>
                <w:color w:val="000000"/>
                <w:sz w:val="20"/>
                <w:szCs w:val="20"/>
                <w:lang w:val="en-US"/>
              </w:rPr>
              <w:t>LR chi</w:t>
            </w:r>
            <w:r w:rsidRPr="00653B79">
              <w:rPr>
                <w:rFonts w:eastAsia="Times New Roman" w:cs="Times New Roman"/>
                <w:i/>
                <w:iCs/>
                <w:color w:val="000000"/>
                <w:sz w:val="20"/>
                <w:szCs w:val="20"/>
                <w:vertAlign w:val="superscript"/>
                <w:lang w:val="en-US"/>
              </w:rPr>
              <w:t>2</w:t>
            </w:r>
            <w:r w:rsidRPr="00653B79">
              <w:rPr>
                <w:rFonts w:eastAsia="Times New Roman" w:cs="Times New Roman"/>
                <w:i/>
                <w:iCs/>
                <w:color w:val="000000"/>
                <w:sz w:val="20"/>
                <w:szCs w:val="20"/>
                <w:lang w:val="en-US"/>
              </w:rPr>
              <w:t>(1)</w:t>
            </w:r>
          </w:p>
        </w:tc>
        <w:tc>
          <w:tcPr>
            <w:tcW w:w="1937" w:type="dxa"/>
            <w:gridSpan w:val="2"/>
            <w:shd w:val="clear" w:color="auto" w:fill="auto"/>
            <w:noWrap/>
            <w:vAlign w:val="center"/>
            <w:hideMark/>
          </w:tcPr>
          <w:p w14:paraId="14A1F3B5" w14:textId="77777777" w:rsidR="00864D6B" w:rsidRPr="00D76A31" w:rsidRDefault="00864D6B" w:rsidP="00173B83">
            <w:pPr>
              <w:ind w:left="-107"/>
              <w:jc w:val="center"/>
              <w:rPr>
                <w:rFonts w:eastAsia="Times New Roman" w:cs="Times New Roman"/>
                <w:i/>
                <w:iCs/>
                <w:color w:val="000000"/>
                <w:sz w:val="20"/>
                <w:szCs w:val="20"/>
                <w:lang w:val="en-US"/>
              </w:rPr>
            </w:pPr>
            <w:r w:rsidRPr="00E64586">
              <w:rPr>
                <w:rFonts w:eastAsia="Times New Roman" w:cs="Times New Roman"/>
                <w:i/>
                <w:iCs/>
                <w:color w:val="000000"/>
                <w:sz w:val="20"/>
                <w:szCs w:val="20"/>
                <w:lang w:val="en-US"/>
              </w:rPr>
              <w:t>76.11</w:t>
            </w:r>
          </w:p>
        </w:tc>
        <w:tc>
          <w:tcPr>
            <w:tcW w:w="2053" w:type="dxa"/>
            <w:gridSpan w:val="2"/>
            <w:shd w:val="clear" w:color="auto" w:fill="auto"/>
            <w:noWrap/>
            <w:vAlign w:val="center"/>
            <w:hideMark/>
          </w:tcPr>
          <w:p w14:paraId="240F1CA1" w14:textId="77777777" w:rsidR="00864D6B" w:rsidRPr="00F040F6" w:rsidRDefault="00864D6B" w:rsidP="00173B83">
            <w:pPr>
              <w:jc w:val="center"/>
              <w:rPr>
                <w:rFonts w:eastAsia="Times New Roman" w:cs="Times New Roman"/>
                <w:i/>
                <w:iCs/>
                <w:color w:val="000000"/>
                <w:sz w:val="20"/>
                <w:szCs w:val="20"/>
                <w:lang w:val="en-US"/>
              </w:rPr>
            </w:pPr>
            <w:r w:rsidRPr="00E64586">
              <w:rPr>
                <w:rFonts w:eastAsia="Times New Roman" w:cs="Times New Roman"/>
                <w:i/>
                <w:iCs/>
                <w:color w:val="000000"/>
                <w:sz w:val="20"/>
                <w:szCs w:val="20"/>
                <w:lang w:val="en-US"/>
              </w:rPr>
              <w:t>32.87</w:t>
            </w:r>
          </w:p>
        </w:tc>
        <w:tc>
          <w:tcPr>
            <w:tcW w:w="2053" w:type="dxa"/>
          </w:tcPr>
          <w:p w14:paraId="72CA16F7" w14:textId="77777777" w:rsidR="00864D6B" w:rsidRPr="00E64586" w:rsidRDefault="00864D6B" w:rsidP="00173B83">
            <w:pPr>
              <w:jc w:val="center"/>
              <w:rPr>
                <w:rFonts w:eastAsia="Times New Roman" w:cs="Times New Roman"/>
                <w:i/>
                <w:iCs/>
                <w:color w:val="000000"/>
                <w:sz w:val="20"/>
                <w:szCs w:val="20"/>
                <w:lang w:val="en-US"/>
              </w:rPr>
            </w:pPr>
            <w:r w:rsidRPr="00E64586">
              <w:rPr>
                <w:rFonts w:eastAsia="Times New Roman" w:cs="Times New Roman"/>
                <w:i/>
                <w:iCs/>
                <w:color w:val="000000"/>
                <w:sz w:val="20"/>
                <w:szCs w:val="20"/>
                <w:lang w:val="en-US"/>
              </w:rPr>
              <w:t>12.92</w:t>
            </w:r>
          </w:p>
        </w:tc>
      </w:tr>
      <w:tr w:rsidR="00864D6B" w:rsidRPr="00E64586" w14:paraId="715BFE27" w14:textId="77777777" w:rsidTr="00173B83">
        <w:trPr>
          <w:trHeight w:val="64"/>
        </w:trPr>
        <w:tc>
          <w:tcPr>
            <w:tcW w:w="2035" w:type="dxa"/>
            <w:shd w:val="clear" w:color="auto" w:fill="auto"/>
            <w:noWrap/>
            <w:vAlign w:val="center"/>
            <w:hideMark/>
          </w:tcPr>
          <w:p w14:paraId="2321DD51" w14:textId="77777777" w:rsidR="00864D6B" w:rsidRPr="00653B79" w:rsidRDefault="00864D6B" w:rsidP="00173B83">
            <w:pPr>
              <w:rPr>
                <w:rFonts w:eastAsia="Times New Roman" w:cs="Times New Roman"/>
                <w:i/>
                <w:iCs/>
                <w:color w:val="000000"/>
                <w:sz w:val="20"/>
                <w:szCs w:val="20"/>
                <w:lang w:val="en-US"/>
              </w:rPr>
            </w:pPr>
            <w:r w:rsidRPr="00653B79">
              <w:rPr>
                <w:rFonts w:eastAsia="Times New Roman" w:cs="Times New Roman"/>
                <w:i/>
                <w:iCs/>
                <w:color w:val="000000"/>
                <w:sz w:val="20"/>
                <w:szCs w:val="20"/>
                <w:lang w:val="en-US"/>
              </w:rPr>
              <w:lastRenderedPageBreak/>
              <w:t>Prob &gt; chi</w:t>
            </w:r>
            <w:r w:rsidRPr="00653B79">
              <w:rPr>
                <w:rFonts w:eastAsia="Times New Roman" w:cs="Times New Roman"/>
                <w:i/>
                <w:iCs/>
                <w:color w:val="000000"/>
                <w:sz w:val="20"/>
                <w:szCs w:val="20"/>
                <w:vertAlign w:val="superscript"/>
                <w:lang w:val="en-US"/>
              </w:rPr>
              <w:t>2</w:t>
            </w:r>
          </w:p>
        </w:tc>
        <w:tc>
          <w:tcPr>
            <w:tcW w:w="1937" w:type="dxa"/>
            <w:gridSpan w:val="2"/>
            <w:shd w:val="clear" w:color="auto" w:fill="auto"/>
            <w:noWrap/>
            <w:vAlign w:val="center"/>
            <w:hideMark/>
          </w:tcPr>
          <w:p w14:paraId="6534418B" w14:textId="77777777" w:rsidR="00864D6B" w:rsidRPr="00D76A31" w:rsidRDefault="00864D6B" w:rsidP="00173B83">
            <w:pPr>
              <w:ind w:left="-107"/>
              <w:jc w:val="center"/>
              <w:rPr>
                <w:rFonts w:eastAsia="Times New Roman" w:cs="Times New Roman"/>
                <w:i/>
                <w:iCs/>
                <w:color w:val="000000"/>
                <w:sz w:val="20"/>
                <w:szCs w:val="20"/>
                <w:lang w:val="en-US"/>
              </w:rPr>
            </w:pPr>
            <w:r w:rsidRPr="00D76A31">
              <w:rPr>
                <w:rFonts w:eastAsia="Times New Roman" w:cs="Times New Roman"/>
                <w:i/>
                <w:iCs/>
                <w:color w:val="000000"/>
                <w:sz w:val="20"/>
                <w:szCs w:val="20"/>
                <w:lang w:val="en-US"/>
              </w:rPr>
              <w:t>0.000</w:t>
            </w:r>
          </w:p>
        </w:tc>
        <w:tc>
          <w:tcPr>
            <w:tcW w:w="2053" w:type="dxa"/>
            <w:gridSpan w:val="2"/>
            <w:shd w:val="clear" w:color="auto" w:fill="auto"/>
            <w:noWrap/>
            <w:vAlign w:val="center"/>
            <w:hideMark/>
          </w:tcPr>
          <w:p w14:paraId="20C35886" w14:textId="77777777" w:rsidR="00864D6B" w:rsidRPr="00F040F6" w:rsidRDefault="00864D6B" w:rsidP="00173B83">
            <w:pPr>
              <w:jc w:val="center"/>
              <w:rPr>
                <w:rFonts w:eastAsia="Times New Roman" w:cs="Times New Roman"/>
                <w:i/>
                <w:iCs/>
                <w:color w:val="000000"/>
                <w:sz w:val="20"/>
                <w:szCs w:val="20"/>
                <w:lang w:val="en-US"/>
              </w:rPr>
            </w:pPr>
            <w:r w:rsidRPr="00F040F6">
              <w:rPr>
                <w:rFonts w:eastAsia="Times New Roman" w:cs="Times New Roman"/>
                <w:i/>
                <w:iCs/>
                <w:color w:val="000000"/>
                <w:sz w:val="20"/>
                <w:szCs w:val="20"/>
                <w:lang w:val="en-US"/>
              </w:rPr>
              <w:t>0.000</w:t>
            </w:r>
          </w:p>
        </w:tc>
        <w:tc>
          <w:tcPr>
            <w:tcW w:w="2053" w:type="dxa"/>
          </w:tcPr>
          <w:p w14:paraId="0127DD28" w14:textId="77777777" w:rsidR="00864D6B" w:rsidRPr="00F040F6" w:rsidRDefault="00864D6B" w:rsidP="00173B83">
            <w:pPr>
              <w:jc w:val="center"/>
              <w:rPr>
                <w:rFonts w:eastAsia="Times New Roman" w:cs="Times New Roman"/>
                <w:i/>
                <w:iCs/>
                <w:color w:val="000000"/>
                <w:sz w:val="20"/>
                <w:szCs w:val="20"/>
                <w:lang w:val="en-US"/>
              </w:rPr>
            </w:pPr>
            <w:r w:rsidRPr="00E64586">
              <w:rPr>
                <w:rFonts w:eastAsia="Times New Roman" w:cs="Times New Roman"/>
                <w:i/>
                <w:iCs/>
                <w:color w:val="000000"/>
                <w:sz w:val="20"/>
                <w:szCs w:val="20"/>
                <w:lang w:val="en-US"/>
              </w:rPr>
              <w:t>0.000</w:t>
            </w:r>
          </w:p>
        </w:tc>
      </w:tr>
      <w:tr w:rsidR="00864D6B" w:rsidRPr="00E64586" w14:paraId="442A710B" w14:textId="77777777" w:rsidTr="00173B83">
        <w:trPr>
          <w:trHeight w:val="64"/>
        </w:trPr>
        <w:tc>
          <w:tcPr>
            <w:tcW w:w="2035" w:type="dxa"/>
            <w:shd w:val="clear" w:color="auto" w:fill="auto"/>
            <w:noWrap/>
            <w:vAlign w:val="center"/>
            <w:hideMark/>
          </w:tcPr>
          <w:p w14:paraId="713207F7" w14:textId="77777777" w:rsidR="00864D6B" w:rsidRPr="00653B79" w:rsidRDefault="00864D6B" w:rsidP="00173B83">
            <w:pPr>
              <w:rPr>
                <w:rFonts w:eastAsia="Times New Roman" w:cs="Times New Roman"/>
                <w:i/>
                <w:iCs/>
                <w:color w:val="000000"/>
                <w:sz w:val="20"/>
                <w:szCs w:val="20"/>
                <w:lang w:val="en-US"/>
              </w:rPr>
            </w:pPr>
            <w:r w:rsidRPr="00653B79">
              <w:rPr>
                <w:rFonts w:eastAsia="Times New Roman" w:cs="Times New Roman"/>
                <w:i/>
                <w:iCs/>
                <w:color w:val="000000"/>
                <w:sz w:val="20"/>
                <w:szCs w:val="20"/>
                <w:lang w:val="en-US"/>
              </w:rPr>
              <w:t>Pseudo R</w:t>
            </w:r>
            <w:r w:rsidRPr="00653B79">
              <w:rPr>
                <w:rFonts w:eastAsia="Times New Roman" w:cs="Times New Roman"/>
                <w:i/>
                <w:iCs/>
                <w:color w:val="000000"/>
                <w:sz w:val="20"/>
                <w:szCs w:val="20"/>
                <w:vertAlign w:val="superscript"/>
                <w:lang w:val="en-US"/>
              </w:rPr>
              <w:t>2</w:t>
            </w:r>
          </w:p>
        </w:tc>
        <w:tc>
          <w:tcPr>
            <w:tcW w:w="1937" w:type="dxa"/>
            <w:gridSpan w:val="2"/>
            <w:shd w:val="clear" w:color="auto" w:fill="auto"/>
            <w:noWrap/>
            <w:vAlign w:val="center"/>
            <w:hideMark/>
          </w:tcPr>
          <w:p w14:paraId="27688665" w14:textId="77777777" w:rsidR="00864D6B" w:rsidRPr="00D76A31" w:rsidRDefault="00864D6B" w:rsidP="00173B83">
            <w:pPr>
              <w:ind w:left="-107"/>
              <w:jc w:val="center"/>
              <w:rPr>
                <w:rFonts w:eastAsia="Times New Roman" w:cs="Times New Roman"/>
                <w:i/>
                <w:iCs/>
                <w:color w:val="000000"/>
                <w:sz w:val="20"/>
                <w:szCs w:val="20"/>
                <w:lang w:val="en-US"/>
              </w:rPr>
            </w:pPr>
            <w:r w:rsidRPr="00D76A31">
              <w:rPr>
                <w:rFonts w:eastAsia="Times New Roman" w:cs="Times New Roman"/>
                <w:i/>
                <w:iCs/>
                <w:color w:val="000000"/>
                <w:sz w:val="20"/>
                <w:szCs w:val="20"/>
                <w:lang w:val="en-US"/>
              </w:rPr>
              <w:t>0.1</w:t>
            </w:r>
            <w:r>
              <w:rPr>
                <w:rFonts w:eastAsia="Times New Roman" w:cs="Times New Roman"/>
                <w:i/>
                <w:iCs/>
                <w:color w:val="000000"/>
                <w:sz w:val="20"/>
                <w:szCs w:val="20"/>
                <w:lang w:val="en-US"/>
              </w:rPr>
              <w:t>81</w:t>
            </w:r>
          </w:p>
        </w:tc>
        <w:tc>
          <w:tcPr>
            <w:tcW w:w="2053" w:type="dxa"/>
            <w:gridSpan w:val="2"/>
            <w:shd w:val="clear" w:color="auto" w:fill="auto"/>
            <w:noWrap/>
            <w:vAlign w:val="center"/>
            <w:hideMark/>
          </w:tcPr>
          <w:p w14:paraId="6FF88750" w14:textId="77777777" w:rsidR="00864D6B" w:rsidRPr="00F040F6" w:rsidRDefault="00864D6B" w:rsidP="00173B83">
            <w:pPr>
              <w:jc w:val="center"/>
              <w:rPr>
                <w:rFonts w:eastAsia="Times New Roman" w:cs="Times New Roman"/>
                <w:i/>
                <w:iCs/>
                <w:color w:val="000000"/>
                <w:sz w:val="20"/>
                <w:szCs w:val="20"/>
                <w:lang w:val="en-US"/>
              </w:rPr>
            </w:pPr>
            <w:r w:rsidRPr="00E64586">
              <w:rPr>
                <w:rFonts w:eastAsia="Times New Roman" w:cs="Times New Roman"/>
                <w:i/>
                <w:iCs/>
                <w:color w:val="000000"/>
                <w:sz w:val="20"/>
                <w:szCs w:val="20"/>
                <w:lang w:val="en-US"/>
              </w:rPr>
              <w:t>0.159</w:t>
            </w:r>
          </w:p>
        </w:tc>
        <w:tc>
          <w:tcPr>
            <w:tcW w:w="2053" w:type="dxa"/>
          </w:tcPr>
          <w:p w14:paraId="2C6BF1DD" w14:textId="77777777" w:rsidR="00864D6B" w:rsidRPr="00E64586" w:rsidRDefault="00864D6B" w:rsidP="00173B83">
            <w:pPr>
              <w:jc w:val="center"/>
              <w:rPr>
                <w:rFonts w:eastAsia="Times New Roman" w:cs="Times New Roman"/>
                <w:i/>
                <w:iCs/>
                <w:color w:val="000000"/>
                <w:sz w:val="20"/>
                <w:szCs w:val="20"/>
                <w:lang w:val="en-US"/>
              </w:rPr>
            </w:pPr>
            <w:r w:rsidRPr="00E64586">
              <w:rPr>
                <w:rFonts w:eastAsia="Times New Roman" w:cs="Times New Roman"/>
                <w:i/>
                <w:iCs/>
                <w:color w:val="000000"/>
                <w:sz w:val="20"/>
                <w:szCs w:val="20"/>
                <w:lang w:val="en-US"/>
              </w:rPr>
              <w:t>0.31</w:t>
            </w:r>
            <w:r>
              <w:rPr>
                <w:rFonts w:eastAsia="Times New Roman" w:cs="Times New Roman"/>
                <w:i/>
                <w:iCs/>
                <w:color w:val="000000"/>
                <w:sz w:val="20"/>
                <w:szCs w:val="20"/>
                <w:lang w:val="en-US"/>
              </w:rPr>
              <w:t>2</w:t>
            </w:r>
          </w:p>
        </w:tc>
      </w:tr>
      <w:tr w:rsidR="00864D6B" w:rsidRPr="00E64586" w14:paraId="032EA8B5" w14:textId="77777777" w:rsidTr="00173B83">
        <w:trPr>
          <w:trHeight w:val="64"/>
        </w:trPr>
        <w:tc>
          <w:tcPr>
            <w:tcW w:w="2035" w:type="dxa"/>
            <w:shd w:val="clear" w:color="auto" w:fill="auto"/>
            <w:noWrap/>
            <w:vAlign w:val="center"/>
            <w:hideMark/>
          </w:tcPr>
          <w:p w14:paraId="2B3F90F5" w14:textId="77777777" w:rsidR="00864D6B" w:rsidRPr="00653B79" w:rsidRDefault="00864D6B" w:rsidP="00173B83">
            <w:pPr>
              <w:rPr>
                <w:rFonts w:eastAsia="Times New Roman" w:cs="Times New Roman"/>
                <w:i/>
                <w:iCs/>
                <w:color w:val="000000"/>
                <w:sz w:val="20"/>
                <w:szCs w:val="20"/>
                <w:lang w:val="en-US"/>
              </w:rPr>
            </w:pPr>
            <w:r w:rsidRPr="00653B79">
              <w:rPr>
                <w:rFonts w:eastAsia="Times New Roman" w:cs="Times New Roman"/>
                <w:i/>
                <w:iCs/>
                <w:color w:val="000000"/>
                <w:sz w:val="20"/>
                <w:szCs w:val="20"/>
                <w:lang w:val="en-US"/>
              </w:rPr>
              <w:t>Log likelihood</w:t>
            </w:r>
          </w:p>
        </w:tc>
        <w:tc>
          <w:tcPr>
            <w:tcW w:w="1937" w:type="dxa"/>
            <w:gridSpan w:val="2"/>
            <w:shd w:val="clear" w:color="auto" w:fill="auto"/>
            <w:noWrap/>
            <w:vAlign w:val="center"/>
            <w:hideMark/>
          </w:tcPr>
          <w:p w14:paraId="40A8D84D" w14:textId="77777777" w:rsidR="00864D6B" w:rsidRPr="00653B79" w:rsidRDefault="00864D6B" w:rsidP="00173B83">
            <w:pPr>
              <w:ind w:left="-107"/>
              <w:jc w:val="center"/>
              <w:rPr>
                <w:rFonts w:eastAsia="Times New Roman" w:cs="Times New Roman"/>
                <w:i/>
                <w:iCs/>
                <w:color w:val="000000"/>
                <w:sz w:val="20"/>
                <w:szCs w:val="20"/>
                <w:lang w:val="en-US"/>
              </w:rPr>
            </w:pPr>
            <w:r w:rsidRPr="00E64586">
              <w:rPr>
                <w:rFonts w:eastAsia="Times New Roman" w:cs="Times New Roman"/>
                <w:i/>
                <w:iCs/>
                <w:color w:val="000000"/>
                <w:sz w:val="20"/>
                <w:szCs w:val="20"/>
                <w:lang w:val="en-US"/>
              </w:rPr>
              <w:t>-172.16</w:t>
            </w:r>
            <w:r>
              <w:rPr>
                <w:rFonts w:eastAsia="Times New Roman" w:cs="Times New Roman"/>
                <w:i/>
                <w:iCs/>
                <w:color w:val="000000"/>
                <w:sz w:val="20"/>
                <w:szCs w:val="20"/>
                <w:lang w:val="en-US"/>
              </w:rPr>
              <w:t>7</w:t>
            </w:r>
          </w:p>
        </w:tc>
        <w:tc>
          <w:tcPr>
            <w:tcW w:w="2053" w:type="dxa"/>
            <w:gridSpan w:val="2"/>
            <w:shd w:val="clear" w:color="auto" w:fill="auto"/>
            <w:noWrap/>
            <w:vAlign w:val="center"/>
            <w:hideMark/>
          </w:tcPr>
          <w:p w14:paraId="287EDEE3" w14:textId="77777777" w:rsidR="00864D6B" w:rsidRPr="00D76A31" w:rsidRDefault="00864D6B" w:rsidP="00173B83">
            <w:pPr>
              <w:jc w:val="center"/>
              <w:rPr>
                <w:rFonts w:eastAsia="Times New Roman" w:cs="Times New Roman"/>
                <w:i/>
                <w:iCs/>
                <w:color w:val="000000"/>
                <w:sz w:val="20"/>
                <w:szCs w:val="20"/>
                <w:lang w:val="en-US"/>
              </w:rPr>
            </w:pPr>
            <w:r w:rsidRPr="00E64586">
              <w:rPr>
                <w:rFonts w:eastAsia="Times New Roman" w:cs="Times New Roman"/>
                <w:i/>
                <w:iCs/>
                <w:color w:val="000000"/>
                <w:sz w:val="20"/>
                <w:szCs w:val="20"/>
                <w:lang w:val="en-US"/>
              </w:rPr>
              <w:t>-86.85</w:t>
            </w:r>
            <w:r>
              <w:rPr>
                <w:rFonts w:eastAsia="Times New Roman" w:cs="Times New Roman"/>
                <w:i/>
                <w:iCs/>
                <w:color w:val="000000"/>
                <w:sz w:val="20"/>
                <w:szCs w:val="20"/>
                <w:lang w:val="en-US"/>
              </w:rPr>
              <w:t>6</w:t>
            </w:r>
          </w:p>
        </w:tc>
        <w:tc>
          <w:tcPr>
            <w:tcW w:w="2053" w:type="dxa"/>
          </w:tcPr>
          <w:p w14:paraId="263966EF" w14:textId="77777777" w:rsidR="00864D6B" w:rsidRPr="00E64586" w:rsidRDefault="00864D6B" w:rsidP="00173B83">
            <w:pPr>
              <w:jc w:val="center"/>
              <w:rPr>
                <w:rFonts w:eastAsia="Times New Roman" w:cs="Times New Roman"/>
                <w:i/>
                <w:iCs/>
                <w:color w:val="000000"/>
                <w:sz w:val="20"/>
                <w:szCs w:val="20"/>
                <w:lang w:val="en-US"/>
              </w:rPr>
            </w:pPr>
            <w:r w:rsidRPr="00E64586">
              <w:rPr>
                <w:rFonts w:eastAsia="Times New Roman" w:cs="Times New Roman"/>
                <w:i/>
                <w:iCs/>
                <w:color w:val="000000"/>
                <w:sz w:val="20"/>
                <w:szCs w:val="20"/>
                <w:lang w:val="en-US"/>
              </w:rPr>
              <w:t>-14.268</w:t>
            </w:r>
          </w:p>
        </w:tc>
      </w:tr>
      <w:tr w:rsidR="00864D6B" w:rsidRPr="00E64586" w14:paraId="4E2113C0" w14:textId="77777777" w:rsidTr="00173B83">
        <w:trPr>
          <w:trHeight w:val="64"/>
        </w:trPr>
        <w:tc>
          <w:tcPr>
            <w:tcW w:w="2035" w:type="dxa"/>
            <w:tcBorders>
              <w:bottom w:val="single" w:sz="4" w:space="0" w:color="auto"/>
            </w:tcBorders>
            <w:shd w:val="clear" w:color="auto" w:fill="auto"/>
            <w:noWrap/>
            <w:vAlign w:val="bottom"/>
          </w:tcPr>
          <w:p w14:paraId="300ADEFA" w14:textId="77777777" w:rsidR="00864D6B" w:rsidRPr="00653B79" w:rsidRDefault="00864D6B" w:rsidP="00173B83">
            <w:pPr>
              <w:rPr>
                <w:rFonts w:eastAsia="Times New Roman" w:cs="Times New Roman"/>
                <w:i/>
                <w:iCs/>
                <w:color w:val="000000"/>
                <w:sz w:val="20"/>
                <w:szCs w:val="20"/>
                <w:lang w:val="en-US"/>
              </w:rPr>
            </w:pPr>
            <w:r w:rsidRPr="00653B79">
              <w:rPr>
                <w:rStyle w:val="IntenseEmphasis"/>
                <w:rFonts w:cs="Times New Roman"/>
                <w:i/>
                <w:sz w:val="20"/>
                <w:szCs w:val="20"/>
                <w:lang w:val="en-US"/>
              </w:rPr>
              <w:t>Infection</w:t>
            </w:r>
          </w:p>
        </w:tc>
        <w:tc>
          <w:tcPr>
            <w:tcW w:w="1937" w:type="dxa"/>
            <w:gridSpan w:val="2"/>
            <w:tcBorders>
              <w:bottom w:val="single" w:sz="4" w:space="0" w:color="auto"/>
            </w:tcBorders>
            <w:shd w:val="clear" w:color="auto" w:fill="auto"/>
            <w:noWrap/>
            <w:vAlign w:val="center"/>
          </w:tcPr>
          <w:p w14:paraId="2C18F1A5" w14:textId="77777777" w:rsidR="00864D6B" w:rsidRPr="00653B79" w:rsidRDefault="00864D6B" w:rsidP="00173B83">
            <w:pPr>
              <w:ind w:left="-107"/>
              <w:jc w:val="center"/>
              <w:rPr>
                <w:rFonts w:eastAsia="Times New Roman" w:cs="Times New Roman"/>
                <w:i/>
                <w:iCs/>
                <w:color w:val="000000"/>
                <w:sz w:val="20"/>
                <w:szCs w:val="20"/>
                <w:lang w:val="en-US"/>
              </w:rPr>
            </w:pPr>
            <w:r w:rsidRPr="00653B79">
              <w:rPr>
                <w:rFonts w:eastAsia="Times New Roman" w:cs="Times New Roman"/>
                <w:i/>
                <w:iCs/>
                <w:color w:val="000000"/>
                <w:sz w:val="20"/>
                <w:szCs w:val="20"/>
                <w:lang w:val="en-US"/>
              </w:rPr>
              <w:t>Odds Ratio (p-value)</w:t>
            </w:r>
          </w:p>
        </w:tc>
        <w:tc>
          <w:tcPr>
            <w:tcW w:w="2053" w:type="dxa"/>
            <w:gridSpan w:val="2"/>
            <w:tcBorders>
              <w:bottom w:val="single" w:sz="4" w:space="0" w:color="auto"/>
            </w:tcBorders>
            <w:shd w:val="clear" w:color="auto" w:fill="auto"/>
            <w:noWrap/>
            <w:vAlign w:val="center"/>
          </w:tcPr>
          <w:p w14:paraId="53FB02BC" w14:textId="77777777" w:rsidR="00864D6B" w:rsidRPr="00D76A31" w:rsidRDefault="00864D6B" w:rsidP="00173B83">
            <w:pPr>
              <w:jc w:val="center"/>
              <w:rPr>
                <w:rFonts w:eastAsia="Times New Roman" w:cs="Times New Roman"/>
                <w:i/>
                <w:iCs/>
                <w:color w:val="000000"/>
                <w:sz w:val="20"/>
                <w:szCs w:val="20"/>
                <w:lang w:val="en-US"/>
              </w:rPr>
            </w:pPr>
            <w:r w:rsidRPr="00D76A31">
              <w:rPr>
                <w:rFonts w:eastAsia="Times New Roman" w:cs="Times New Roman"/>
                <w:i/>
                <w:iCs/>
                <w:color w:val="000000"/>
                <w:sz w:val="20"/>
                <w:szCs w:val="20"/>
                <w:lang w:val="en-US"/>
              </w:rPr>
              <w:t>Odds Ratio (p-value)</w:t>
            </w:r>
          </w:p>
        </w:tc>
        <w:tc>
          <w:tcPr>
            <w:tcW w:w="2053" w:type="dxa"/>
            <w:tcBorders>
              <w:bottom w:val="single" w:sz="4" w:space="0" w:color="auto"/>
            </w:tcBorders>
          </w:tcPr>
          <w:p w14:paraId="5FA4BE30" w14:textId="77777777" w:rsidR="00864D6B" w:rsidRPr="00D76A31" w:rsidRDefault="00864D6B" w:rsidP="00173B83">
            <w:pPr>
              <w:jc w:val="center"/>
              <w:rPr>
                <w:rFonts w:eastAsia="Times New Roman" w:cs="Times New Roman"/>
                <w:i/>
                <w:iCs/>
                <w:color w:val="000000"/>
                <w:sz w:val="20"/>
                <w:szCs w:val="20"/>
                <w:lang w:val="en-US"/>
              </w:rPr>
            </w:pPr>
            <w:r w:rsidRPr="00D76A31">
              <w:rPr>
                <w:rFonts w:eastAsia="Times New Roman" w:cs="Times New Roman"/>
                <w:i/>
                <w:iCs/>
                <w:color w:val="000000"/>
                <w:sz w:val="20"/>
                <w:szCs w:val="20"/>
                <w:lang w:val="en-US"/>
              </w:rPr>
              <w:t>Odds Ratio (p-value)</w:t>
            </w:r>
          </w:p>
        </w:tc>
      </w:tr>
      <w:tr w:rsidR="00864D6B" w:rsidRPr="00E64586" w14:paraId="16A72D47" w14:textId="77777777" w:rsidTr="00173B83">
        <w:trPr>
          <w:trHeight w:val="53"/>
        </w:trPr>
        <w:tc>
          <w:tcPr>
            <w:tcW w:w="2035" w:type="dxa"/>
            <w:tcBorders>
              <w:top w:val="single" w:sz="4" w:space="0" w:color="auto"/>
            </w:tcBorders>
            <w:shd w:val="clear" w:color="auto" w:fill="auto"/>
            <w:noWrap/>
            <w:vAlign w:val="bottom"/>
            <w:hideMark/>
          </w:tcPr>
          <w:p w14:paraId="65FF7E32" w14:textId="77777777" w:rsidR="00864D6B" w:rsidRPr="00653B79" w:rsidRDefault="00864D6B" w:rsidP="00173B83">
            <w:pPr>
              <w:rPr>
                <w:rFonts w:eastAsia="Times New Roman" w:cs="Times New Roman"/>
                <w:i/>
                <w:iCs/>
                <w:color w:val="000000"/>
                <w:sz w:val="20"/>
                <w:szCs w:val="20"/>
                <w:lang w:val="en-US"/>
              </w:rPr>
            </w:pPr>
            <w:r w:rsidRPr="00653B79">
              <w:rPr>
                <w:rStyle w:val="IntenseEmphasis"/>
                <w:rFonts w:cs="Times New Roman"/>
                <w:i/>
                <w:sz w:val="20"/>
                <w:szCs w:val="20"/>
                <w:lang w:val="en-US"/>
              </w:rPr>
              <w:t>Viral Exposure (quanta)</w:t>
            </w:r>
          </w:p>
        </w:tc>
        <w:tc>
          <w:tcPr>
            <w:tcW w:w="797" w:type="dxa"/>
            <w:tcBorders>
              <w:top w:val="single" w:sz="4" w:space="0" w:color="auto"/>
            </w:tcBorders>
            <w:shd w:val="clear" w:color="auto" w:fill="auto"/>
            <w:noWrap/>
            <w:vAlign w:val="center"/>
            <w:hideMark/>
          </w:tcPr>
          <w:p w14:paraId="15992F04" w14:textId="77777777" w:rsidR="00864D6B" w:rsidRPr="00653B79" w:rsidRDefault="00864D6B" w:rsidP="00173B83">
            <w:pPr>
              <w:ind w:left="-78" w:right="-98"/>
              <w:jc w:val="right"/>
              <w:rPr>
                <w:rFonts w:eastAsia="Times New Roman" w:cs="Times New Roman"/>
                <w:i/>
                <w:iCs/>
                <w:color w:val="000000"/>
                <w:sz w:val="20"/>
                <w:szCs w:val="20"/>
                <w:lang w:val="en-US"/>
              </w:rPr>
            </w:pPr>
            <w:r w:rsidRPr="00E64586">
              <w:rPr>
                <w:rFonts w:eastAsia="Times New Roman" w:cs="Times New Roman"/>
                <w:i/>
                <w:iCs/>
                <w:color w:val="000000"/>
                <w:sz w:val="20"/>
                <w:szCs w:val="20"/>
                <w:lang w:val="en-US"/>
              </w:rPr>
              <w:t>11.6</w:t>
            </w:r>
            <w:r>
              <w:rPr>
                <w:rFonts w:eastAsia="Times New Roman" w:cs="Times New Roman"/>
                <w:i/>
                <w:iCs/>
                <w:color w:val="000000"/>
                <w:sz w:val="20"/>
                <w:szCs w:val="20"/>
                <w:lang w:val="en-US"/>
              </w:rPr>
              <w:t>20</w:t>
            </w:r>
          </w:p>
        </w:tc>
        <w:tc>
          <w:tcPr>
            <w:tcW w:w="1140" w:type="dxa"/>
            <w:tcBorders>
              <w:top w:val="single" w:sz="4" w:space="0" w:color="auto"/>
            </w:tcBorders>
            <w:shd w:val="clear" w:color="auto" w:fill="auto"/>
            <w:noWrap/>
            <w:vAlign w:val="center"/>
            <w:hideMark/>
          </w:tcPr>
          <w:p w14:paraId="30AD60AE" w14:textId="77777777" w:rsidR="00864D6B" w:rsidRPr="00D76A31" w:rsidRDefault="00864D6B" w:rsidP="00173B83">
            <w:pPr>
              <w:ind w:left="-107" w:right="-133"/>
              <w:rPr>
                <w:rFonts w:eastAsia="Times New Roman" w:cs="Times New Roman"/>
                <w:i/>
                <w:iCs/>
                <w:color w:val="000000"/>
                <w:sz w:val="20"/>
                <w:szCs w:val="20"/>
                <w:lang w:val="en-US"/>
              </w:rPr>
            </w:pPr>
            <w:r w:rsidRPr="00D76A31">
              <w:rPr>
                <w:rFonts w:eastAsia="Times New Roman" w:cs="Times New Roman"/>
                <w:i/>
                <w:iCs/>
                <w:color w:val="000000"/>
                <w:sz w:val="20"/>
                <w:szCs w:val="20"/>
                <w:lang w:val="en-US"/>
              </w:rPr>
              <w:t>(0.00</w:t>
            </w:r>
            <w:r>
              <w:rPr>
                <w:rFonts w:eastAsia="Times New Roman" w:cs="Times New Roman"/>
                <w:i/>
                <w:iCs/>
                <w:color w:val="000000"/>
                <w:sz w:val="20"/>
                <w:szCs w:val="20"/>
                <w:lang w:val="en-US"/>
              </w:rPr>
              <w:t>0</w:t>
            </w:r>
            <w:r w:rsidRPr="00D76A31">
              <w:rPr>
                <w:rFonts w:eastAsia="Times New Roman" w:cs="Times New Roman"/>
                <w:i/>
                <w:iCs/>
                <w:color w:val="000000"/>
                <w:sz w:val="20"/>
                <w:szCs w:val="20"/>
                <w:lang w:val="en-US"/>
              </w:rPr>
              <w:t>)***</w:t>
            </w:r>
          </w:p>
        </w:tc>
        <w:tc>
          <w:tcPr>
            <w:tcW w:w="2053" w:type="dxa"/>
            <w:gridSpan w:val="2"/>
            <w:tcBorders>
              <w:top w:val="single" w:sz="4" w:space="0" w:color="auto"/>
            </w:tcBorders>
            <w:shd w:val="clear" w:color="auto" w:fill="auto"/>
            <w:noWrap/>
            <w:vAlign w:val="center"/>
            <w:hideMark/>
          </w:tcPr>
          <w:p w14:paraId="0662BDD8" w14:textId="77777777" w:rsidR="00864D6B" w:rsidRPr="00F040F6" w:rsidRDefault="00864D6B" w:rsidP="00173B83">
            <w:pPr>
              <w:ind w:right="-112"/>
              <w:rPr>
                <w:rFonts w:eastAsia="Times New Roman" w:cs="Times New Roman"/>
                <w:i/>
                <w:iCs/>
                <w:color w:val="000000"/>
                <w:sz w:val="20"/>
                <w:szCs w:val="20"/>
                <w:lang w:val="en-US"/>
              </w:rPr>
            </w:pPr>
            <w:r w:rsidRPr="00E64586">
              <w:rPr>
                <w:rFonts w:eastAsia="Times New Roman" w:cs="Times New Roman"/>
                <w:i/>
                <w:iCs/>
                <w:color w:val="000000"/>
                <w:sz w:val="20"/>
                <w:szCs w:val="20"/>
                <w:lang w:val="en-US"/>
              </w:rPr>
              <w:t>12.648</w:t>
            </w:r>
            <w:r w:rsidRPr="00E64586" w:rsidDel="00E64586">
              <w:rPr>
                <w:rFonts w:eastAsia="Times New Roman" w:cs="Times New Roman"/>
                <w:i/>
                <w:iCs/>
                <w:color w:val="000000"/>
                <w:sz w:val="20"/>
                <w:szCs w:val="20"/>
                <w:lang w:val="en-US"/>
              </w:rPr>
              <w:t xml:space="preserve"> </w:t>
            </w:r>
            <w:r w:rsidRPr="00F040F6">
              <w:rPr>
                <w:rFonts w:eastAsia="Times New Roman" w:cs="Times New Roman"/>
                <w:i/>
                <w:iCs/>
                <w:color w:val="000000"/>
                <w:sz w:val="20"/>
                <w:szCs w:val="20"/>
                <w:lang w:val="en-US"/>
              </w:rPr>
              <w:t>(0.00</w:t>
            </w:r>
            <w:r>
              <w:rPr>
                <w:rFonts w:eastAsia="Times New Roman" w:cs="Times New Roman"/>
                <w:i/>
                <w:iCs/>
                <w:color w:val="000000"/>
                <w:sz w:val="20"/>
                <w:szCs w:val="20"/>
                <w:lang w:val="en-US"/>
              </w:rPr>
              <w:t>0</w:t>
            </w:r>
            <w:r w:rsidRPr="00F040F6">
              <w:rPr>
                <w:rFonts w:eastAsia="Times New Roman" w:cs="Times New Roman"/>
                <w:i/>
                <w:iCs/>
                <w:color w:val="000000"/>
                <w:sz w:val="20"/>
                <w:szCs w:val="20"/>
                <w:lang w:val="en-US"/>
              </w:rPr>
              <w:t>)***</w:t>
            </w:r>
          </w:p>
        </w:tc>
        <w:tc>
          <w:tcPr>
            <w:tcW w:w="2053" w:type="dxa"/>
            <w:tcBorders>
              <w:top w:val="single" w:sz="4" w:space="0" w:color="auto"/>
            </w:tcBorders>
            <w:vAlign w:val="center"/>
          </w:tcPr>
          <w:p w14:paraId="1519B7A7" w14:textId="77777777" w:rsidR="00864D6B" w:rsidRPr="00E64586" w:rsidRDefault="00864D6B" w:rsidP="00173B83">
            <w:pPr>
              <w:ind w:right="-112"/>
              <w:jc w:val="center"/>
              <w:rPr>
                <w:rFonts w:eastAsia="Times New Roman" w:cs="Times New Roman"/>
                <w:i/>
                <w:iCs/>
                <w:color w:val="000000"/>
                <w:sz w:val="20"/>
                <w:szCs w:val="20"/>
                <w:lang w:val="en-US"/>
              </w:rPr>
            </w:pPr>
            <w:r w:rsidRPr="00E64586">
              <w:rPr>
                <w:rFonts w:eastAsia="Times New Roman" w:cs="Times New Roman"/>
                <w:i/>
                <w:iCs/>
                <w:color w:val="000000"/>
                <w:sz w:val="20"/>
                <w:szCs w:val="20"/>
                <w:lang w:val="en-US"/>
              </w:rPr>
              <w:t>1.27</w:t>
            </w:r>
            <m:oMath>
              <m:r>
                <w:rPr>
                  <w:rFonts w:ascii="Cambria Math" w:eastAsia="Times New Roman" w:hAnsi="Cambria Math" w:cs="Times New Roman"/>
                  <w:color w:val="000000"/>
                  <w:sz w:val="20"/>
                  <w:szCs w:val="20"/>
                  <w:lang w:val="en-US"/>
                </w:rPr>
                <m:t>×</m:t>
              </m:r>
            </m:oMath>
            <w:r>
              <w:rPr>
                <w:rFonts w:eastAsia="Times New Roman" w:cs="Times New Roman"/>
                <w:i/>
                <w:iCs/>
                <w:color w:val="000000"/>
                <w:sz w:val="20"/>
                <w:szCs w:val="20"/>
                <w:lang w:val="en-US"/>
              </w:rPr>
              <w:t>10</w:t>
            </w:r>
            <w:r w:rsidRPr="00880EB7">
              <w:rPr>
                <w:rFonts w:eastAsia="Times New Roman" w:cs="Times New Roman"/>
                <w:i/>
                <w:iCs/>
                <w:color w:val="000000"/>
                <w:sz w:val="20"/>
                <w:szCs w:val="20"/>
                <w:vertAlign w:val="superscript"/>
                <w:lang w:val="en-US"/>
              </w:rPr>
              <w:t>7</w:t>
            </w:r>
            <w:r>
              <w:rPr>
                <w:rFonts w:eastAsia="Times New Roman" w:cs="Times New Roman"/>
                <w:i/>
                <w:iCs/>
                <w:color w:val="000000"/>
                <w:sz w:val="20"/>
                <w:szCs w:val="20"/>
                <w:lang w:val="en-US"/>
              </w:rPr>
              <w:t>(0.002)**</w:t>
            </w:r>
          </w:p>
        </w:tc>
      </w:tr>
      <w:tr w:rsidR="00864D6B" w:rsidRPr="00E64586" w14:paraId="5A0B78A4" w14:textId="77777777" w:rsidTr="00173B83">
        <w:trPr>
          <w:trHeight w:val="64"/>
        </w:trPr>
        <w:tc>
          <w:tcPr>
            <w:tcW w:w="2035" w:type="dxa"/>
            <w:shd w:val="clear" w:color="auto" w:fill="auto"/>
            <w:noWrap/>
            <w:vAlign w:val="bottom"/>
          </w:tcPr>
          <w:p w14:paraId="2680CBB2" w14:textId="77777777" w:rsidR="00864D6B" w:rsidRPr="00653B79" w:rsidRDefault="00864D6B" w:rsidP="00173B83">
            <w:pPr>
              <w:rPr>
                <w:rStyle w:val="IntenseEmphasis"/>
                <w:rFonts w:cs="Times New Roman"/>
                <w:i/>
                <w:sz w:val="20"/>
                <w:szCs w:val="20"/>
                <w:lang w:val="en-US"/>
              </w:rPr>
            </w:pPr>
            <w:r w:rsidRPr="00653B79">
              <w:rPr>
                <w:rStyle w:val="IntenseEmphasis"/>
                <w:rFonts w:cs="Times New Roman"/>
                <w:i/>
                <w:sz w:val="20"/>
                <w:szCs w:val="20"/>
                <w:lang w:val="en-US"/>
              </w:rPr>
              <w:t>Indoor Route</w:t>
            </w:r>
          </w:p>
        </w:tc>
        <w:tc>
          <w:tcPr>
            <w:tcW w:w="797" w:type="dxa"/>
            <w:shd w:val="clear" w:color="auto" w:fill="auto"/>
            <w:noWrap/>
            <w:vAlign w:val="bottom"/>
          </w:tcPr>
          <w:p w14:paraId="36132968" w14:textId="77777777" w:rsidR="00864D6B" w:rsidRPr="00653B79" w:rsidRDefault="00864D6B" w:rsidP="00173B83">
            <w:pPr>
              <w:ind w:left="-78" w:right="-98"/>
              <w:jc w:val="right"/>
              <w:rPr>
                <w:rFonts w:eastAsia="Times New Roman" w:cs="Times New Roman"/>
                <w:i/>
                <w:iCs/>
                <w:color w:val="000000"/>
                <w:sz w:val="20"/>
                <w:szCs w:val="20"/>
                <w:lang w:val="en-US"/>
              </w:rPr>
            </w:pPr>
            <w:r w:rsidRPr="00E64586">
              <w:rPr>
                <w:rFonts w:eastAsia="Times New Roman" w:cs="Times New Roman"/>
                <w:i/>
                <w:iCs/>
                <w:color w:val="000000"/>
                <w:sz w:val="20"/>
                <w:szCs w:val="20"/>
                <w:lang w:val="en-US"/>
              </w:rPr>
              <w:t>4.288</w:t>
            </w:r>
          </w:p>
        </w:tc>
        <w:tc>
          <w:tcPr>
            <w:tcW w:w="1140" w:type="dxa"/>
            <w:shd w:val="clear" w:color="auto" w:fill="auto"/>
            <w:noWrap/>
            <w:vAlign w:val="center"/>
          </w:tcPr>
          <w:p w14:paraId="18284809" w14:textId="77777777" w:rsidR="00864D6B" w:rsidRPr="00D76A31" w:rsidRDefault="00864D6B" w:rsidP="00173B83">
            <w:pPr>
              <w:ind w:left="-107" w:right="-133"/>
              <w:rPr>
                <w:rFonts w:eastAsia="Times New Roman" w:cs="Times New Roman"/>
                <w:i/>
                <w:iCs/>
                <w:color w:val="000000"/>
                <w:sz w:val="20"/>
                <w:szCs w:val="20"/>
                <w:lang w:val="en-US"/>
              </w:rPr>
            </w:pPr>
            <w:r w:rsidRPr="00D76A31">
              <w:rPr>
                <w:rFonts w:eastAsia="Times New Roman" w:cs="Times New Roman"/>
                <w:i/>
                <w:iCs/>
                <w:color w:val="000000"/>
                <w:sz w:val="20"/>
                <w:szCs w:val="20"/>
                <w:lang w:val="en-US"/>
              </w:rPr>
              <w:t>(0.00</w:t>
            </w:r>
            <w:r>
              <w:rPr>
                <w:rFonts w:eastAsia="Times New Roman" w:cs="Times New Roman"/>
                <w:i/>
                <w:iCs/>
                <w:color w:val="000000"/>
                <w:sz w:val="20"/>
                <w:szCs w:val="20"/>
                <w:lang w:val="en-US"/>
              </w:rPr>
              <w:t>0</w:t>
            </w:r>
            <w:r w:rsidRPr="00D76A31">
              <w:rPr>
                <w:rFonts w:eastAsia="Times New Roman" w:cs="Times New Roman"/>
                <w:i/>
                <w:iCs/>
                <w:color w:val="000000"/>
                <w:sz w:val="20"/>
                <w:szCs w:val="20"/>
                <w:lang w:val="en-US"/>
              </w:rPr>
              <w:t>)***</w:t>
            </w:r>
          </w:p>
        </w:tc>
        <w:tc>
          <w:tcPr>
            <w:tcW w:w="2053" w:type="dxa"/>
            <w:gridSpan w:val="2"/>
            <w:shd w:val="clear" w:color="auto" w:fill="auto"/>
            <w:noWrap/>
            <w:vAlign w:val="bottom"/>
          </w:tcPr>
          <w:p w14:paraId="5C603F29" w14:textId="77777777" w:rsidR="00864D6B" w:rsidRPr="00F040F6" w:rsidRDefault="00864D6B" w:rsidP="00173B83">
            <w:pPr>
              <w:ind w:left="-97"/>
              <w:jc w:val="center"/>
              <w:rPr>
                <w:rFonts w:eastAsia="Times New Roman" w:cs="Times New Roman"/>
                <w:i/>
                <w:iCs/>
                <w:color w:val="000000"/>
                <w:sz w:val="20"/>
                <w:szCs w:val="20"/>
                <w:lang w:val="en-US"/>
              </w:rPr>
            </w:pPr>
            <w:r w:rsidRPr="00F040F6">
              <w:rPr>
                <w:rFonts w:eastAsia="Times New Roman" w:cs="Times New Roman"/>
                <w:i/>
                <w:iCs/>
                <w:color w:val="000000"/>
                <w:sz w:val="20"/>
                <w:szCs w:val="20"/>
                <w:lang w:val="en-US"/>
              </w:rPr>
              <w:t xml:space="preserve">      n.a.</w:t>
            </w:r>
          </w:p>
        </w:tc>
        <w:tc>
          <w:tcPr>
            <w:tcW w:w="2053" w:type="dxa"/>
          </w:tcPr>
          <w:p w14:paraId="7363E314" w14:textId="77777777" w:rsidR="00864D6B" w:rsidRPr="00F040F6" w:rsidRDefault="00864D6B" w:rsidP="00173B83">
            <w:pPr>
              <w:ind w:left="-97"/>
              <w:jc w:val="center"/>
              <w:rPr>
                <w:rFonts w:eastAsia="Times New Roman" w:cs="Times New Roman"/>
                <w:i/>
                <w:iCs/>
                <w:color w:val="000000"/>
                <w:sz w:val="20"/>
                <w:szCs w:val="20"/>
                <w:lang w:val="en-US"/>
              </w:rPr>
            </w:pPr>
            <w:r>
              <w:rPr>
                <w:rFonts w:eastAsia="Times New Roman" w:cs="Times New Roman"/>
                <w:i/>
                <w:iCs/>
                <w:color w:val="000000"/>
                <w:sz w:val="20"/>
                <w:szCs w:val="20"/>
                <w:lang w:val="en-US"/>
              </w:rPr>
              <w:t>n.a.</w:t>
            </w:r>
          </w:p>
        </w:tc>
      </w:tr>
      <w:tr w:rsidR="00864D6B" w:rsidRPr="00E64586" w14:paraId="3B368405" w14:textId="77777777" w:rsidTr="00173B83">
        <w:trPr>
          <w:trHeight w:val="53"/>
        </w:trPr>
        <w:tc>
          <w:tcPr>
            <w:tcW w:w="2035" w:type="dxa"/>
            <w:tcBorders>
              <w:bottom w:val="single" w:sz="4" w:space="0" w:color="auto"/>
            </w:tcBorders>
            <w:shd w:val="clear" w:color="auto" w:fill="auto"/>
            <w:noWrap/>
            <w:vAlign w:val="bottom"/>
            <w:hideMark/>
          </w:tcPr>
          <w:p w14:paraId="05200785" w14:textId="77777777" w:rsidR="00864D6B" w:rsidRPr="00653B79" w:rsidRDefault="00864D6B" w:rsidP="00173B83">
            <w:pPr>
              <w:rPr>
                <w:rFonts w:eastAsia="Times New Roman" w:cs="Times New Roman"/>
                <w:i/>
                <w:iCs/>
                <w:color w:val="000000"/>
                <w:sz w:val="20"/>
                <w:szCs w:val="20"/>
                <w:lang w:val="en-US"/>
              </w:rPr>
            </w:pPr>
            <w:r w:rsidRPr="00653B79">
              <w:rPr>
                <w:rStyle w:val="IntenseEmphasis"/>
                <w:rFonts w:cs="Times New Roman"/>
                <w:i/>
                <w:sz w:val="20"/>
                <w:szCs w:val="20"/>
                <w:lang w:val="en-US"/>
              </w:rPr>
              <w:t>Intercept</w:t>
            </w:r>
          </w:p>
        </w:tc>
        <w:tc>
          <w:tcPr>
            <w:tcW w:w="797" w:type="dxa"/>
            <w:tcBorders>
              <w:bottom w:val="single" w:sz="4" w:space="0" w:color="auto"/>
            </w:tcBorders>
            <w:shd w:val="clear" w:color="auto" w:fill="auto"/>
            <w:noWrap/>
            <w:vAlign w:val="bottom"/>
            <w:hideMark/>
          </w:tcPr>
          <w:p w14:paraId="38CD27EC" w14:textId="77777777" w:rsidR="00864D6B" w:rsidRPr="00653B79" w:rsidRDefault="00864D6B" w:rsidP="00173B83">
            <w:pPr>
              <w:ind w:left="-78" w:right="-98"/>
              <w:jc w:val="right"/>
              <w:rPr>
                <w:rFonts w:eastAsia="Times New Roman" w:cs="Times New Roman"/>
                <w:i/>
                <w:iCs/>
                <w:color w:val="000000"/>
                <w:sz w:val="20"/>
                <w:szCs w:val="20"/>
                <w:lang w:val="en-US"/>
              </w:rPr>
            </w:pPr>
            <w:r>
              <w:rPr>
                <w:rFonts w:eastAsia="Times New Roman" w:cs="Times New Roman"/>
                <w:i/>
                <w:iCs/>
                <w:color w:val="000000"/>
                <w:sz w:val="20"/>
                <w:szCs w:val="20"/>
                <w:lang w:val="en-US"/>
              </w:rPr>
              <w:t>0</w:t>
            </w:r>
            <w:r w:rsidRPr="00E64586">
              <w:rPr>
                <w:rFonts w:eastAsia="Times New Roman" w:cs="Times New Roman"/>
                <w:i/>
                <w:iCs/>
                <w:color w:val="000000"/>
                <w:sz w:val="20"/>
                <w:szCs w:val="20"/>
                <w:lang w:val="en-US"/>
              </w:rPr>
              <w:t>.01</w:t>
            </w:r>
            <w:r>
              <w:rPr>
                <w:rFonts w:eastAsia="Times New Roman" w:cs="Times New Roman"/>
                <w:i/>
                <w:iCs/>
                <w:color w:val="000000"/>
                <w:sz w:val="20"/>
                <w:szCs w:val="20"/>
                <w:lang w:val="en-US"/>
              </w:rPr>
              <w:t>9</w:t>
            </w:r>
          </w:p>
        </w:tc>
        <w:tc>
          <w:tcPr>
            <w:tcW w:w="1140" w:type="dxa"/>
            <w:tcBorders>
              <w:bottom w:val="single" w:sz="4" w:space="0" w:color="auto"/>
            </w:tcBorders>
            <w:shd w:val="clear" w:color="auto" w:fill="auto"/>
            <w:noWrap/>
            <w:vAlign w:val="center"/>
            <w:hideMark/>
          </w:tcPr>
          <w:p w14:paraId="318161D3" w14:textId="77777777" w:rsidR="00864D6B" w:rsidRPr="00D76A31" w:rsidRDefault="00864D6B" w:rsidP="00173B83">
            <w:pPr>
              <w:ind w:left="-107" w:right="-133"/>
              <w:rPr>
                <w:rFonts w:eastAsia="Times New Roman" w:cs="Times New Roman"/>
                <w:i/>
                <w:iCs/>
                <w:color w:val="000000"/>
                <w:sz w:val="20"/>
                <w:szCs w:val="20"/>
                <w:lang w:val="en-US"/>
              </w:rPr>
            </w:pPr>
            <w:r w:rsidRPr="00D76A31">
              <w:rPr>
                <w:rFonts w:eastAsia="Times New Roman" w:cs="Times New Roman"/>
                <w:i/>
                <w:iCs/>
                <w:color w:val="000000"/>
                <w:sz w:val="20"/>
                <w:szCs w:val="20"/>
                <w:lang w:val="en-US"/>
              </w:rPr>
              <w:t>(0.00</w:t>
            </w:r>
            <w:r>
              <w:rPr>
                <w:rFonts w:eastAsia="Times New Roman" w:cs="Times New Roman"/>
                <w:i/>
                <w:iCs/>
                <w:color w:val="000000"/>
                <w:sz w:val="20"/>
                <w:szCs w:val="20"/>
                <w:lang w:val="en-US"/>
              </w:rPr>
              <w:t>0</w:t>
            </w:r>
            <w:r w:rsidRPr="00D76A31">
              <w:rPr>
                <w:rFonts w:eastAsia="Times New Roman" w:cs="Times New Roman"/>
                <w:i/>
                <w:iCs/>
                <w:color w:val="000000"/>
                <w:sz w:val="20"/>
                <w:szCs w:val="20"/>
                <w:lang w:val="en-US"/>
              </w:rPr>
              <w:t>)***</w:t>
            </w:r>
          </w:p>
        </w:tc>
        <w:tc>
          <w:tcPr>
            <w:tcW w:w="662" w:type="dxa"/>
            <w:tcBorders>
              <w:bottom w:val="single" w:sz="4" w:space="0" w:color="auto"/>
            </w:tcBorders>
            <w:shd w:val="clear" w:color="auto" w:fill="auto"/>
            <w:noWrap/>
            <w:vAlign w:val="bottom"/>
            <w:hideMark/>
          </w:tcPr>
          <w:p w14:paraId="4B92B45E" w14:textId="77777777" w:rsidR="00864D6B" w:rsidRPr="00F040F6" w:rsidRDefault="00864D6B" w:rsidP="00173B83">
            <w:pPr>
              <w:ind w:left="-52" w:right="-107"/>
              <w:jc w:val="right"/>
              <w:rPr>
                <w:rFonts w:eastAsia="Times New Roman" w:cs="Times New Roman"/>
                <w:i/>
                <w:iCs/>
                <w:color w:val="000000"/>
                <w:sz w:val="20"/>
                <w:szCs w:val="20"/>
                <w:lang w:val="en-US"/>
              </w:rPr>
            </w:pPr>
            <w:r>
              <w:rPr>
                <w:rFonts w:eastAsia="Times New Roman" w:cs="Times New Roman"/>
                <w:i/>
                <w:iCs/>
                <w:color w:val="000000"/>
                <w:sz w:val="20"/>
                <w:szCs w:val="20"/>
                <w:lang w:val="en-US"/>
              </w:rPr>
              <w:t>0</w:t>
            </w:r>
            <w:r w:rsidRPr="00E64586">
              <w:rPr>
                <w:rFonts w:eastAsia="Times New Roman" w:cs="Times New Roman"/>
                <w:i/>
                <w:iCs/>
                <w:color w:val="000000"/>
                <w:sz w:val="20"/>
                <w:szCs w:val="20"/>
                <w:lang w:val="en-US"/>
              </w:rPr>
              <w:t>.077</w:t>
            </w:r>
          </w:p>
        </w:tc>
        <w:tc>
          <w:tcPr>
            <w:tcW w:w="1391" w:type="dxa"/>
            <w:tcBorders>
              <w:bottom w:val="single" w:sz="4" w:space="0" w:color="auto"/>
            </w:tcBorders>
            <w:shd w:val="clear" w:color="auto" w:fill="auto"/>
            <w:noWrap/>
            <w:vAlign w:val="center"/>
            <w:hideMark/>
          </w:tcPr>
          <w:p w14:paraId="561E5662" w14:textId="77777777" w:rsidR="00864D6B" w:rsidRPr="00E64586" w:rsidRDefault="00864D6B" w:rsidP="00173B83">
            <w:pPr>
              <w:ind w:left="-97"/>
              <w:rPr>
                <w:rFonts w:eastAsia="Times New Roman" w:cs="Times New Roman"/>
                <w:i/>
                <w:iCs/>
                <w:color w:val="000000"/>
                <w:sz w:val="20"/>
                <w:szCs w:val="20"/>
                <w:lang w:val="en-US"/>
              </w:rPr>
            </w:pPr>
            <w:r w:rsidRPr="00E64586">
              <w:rPr>
                <w:rFonts w:eastAsia="Times New Roman" w:cs="Times New Roman"/>
                <w:i/>
                <w:iCs/>
                <w:color w:val="000000"/>
                <w:sz w:val="20"/>
                <w:szCs w:val="20"/>
                <w:lang w:val="en-US"/>
              </w:rPr>
              <w:t>(0.00</w:t>
            </w:r>
            <w:r>
              <w:rPr>
                <w:rFonts w:eastAsia="Times New Roman" w:cs="Times New Roman"/>
                <w:i/>
                <w:iCs/>
                <w:color w:val="000000"/>
                <w:sz w:val="20"/>
                <w:szCs w:val="20"/>
                <w:lang w:val="en-US"/>
              </w:rPr>
              <w:t>0</w:t>
            </w:r>
            <w:r w:rsidRPr="00E64586">
              <w:rPr>
                <w:rFonts w:eastAsia="Times New Roman" w:cs="Times New Roman"/>
                <w:i/>
                <w:iCs/>
                <w:color w:val="000000"/>
                <w:sz w:val="20"/>
                <w:szCs w:val="20"/>
                <w:lang w:val="en-US"/>
              </w:rPr>
              <w:t>)***</w:t>
            </w:r>
          </w:p>
        </w:tc>
        <w:tc>
          <w:tcPr>
            <w:tcW w:w="2053" w:type="dxa"/>
            <w:tcBorders>
              <w:bottom w:val="single" w:sz="4" w:space="0" w:color="auto"/>
            </w:tcBorders>
          </w:tcPr>
          <w:p w14:paraId="64E4DE71" w14:textId="77777777" w:rsidR="00864D6B" w:rsidRPr="00E64586" w:rsidRDefault="00864D6B" w:rsidP="00173B83">
            <w:pPr>
              <w:ind w:left="-97"/>
              <w:jc w:val="center"/>
              <w:rPr>
                <w:rFonts w:eastAsia="Times New Roman" w:cs="Times New Roman"/>
                <w:i/>
                <w:iCs/>
                <w:color w:val="000000"/>
                <w:sz w:val="20"/>
                <w:szCs w:val="20"/>
                <w:lang w:val="en-US"/>
              </w:rPr>
            </w:pPr>
            <w:r>
              <w:rPr>
                <w:rFonts w:eastAsia="Times New Roman" w:cs="Times New Roman"/>
                <w:i/>
                <w:iCs/>
                <w:color w:val="000000"/>
                <w:sz w:val="20"/>
                <w:szCs w:val="20"/>
                <w:lang w:val="en-US"/>
              </w:rPr>
              <w:t>0</w:t>
            </w:r>
            <w:r w:rsidRPr="00E64586">
              <w:rPr>
                <w:rFonts w:eastAsia="Times New Roman" w:cs="Times New Roman"/>
                <w:i/>
                <w:iCs/>
                <w:color w:val="000000"/>
                <w:sz w:val="20"/>
                <w:szCs w:val="20"/>
                <w:lang w:val="en-US"/>
              </w:rPr>
              <w:t>.001</w:t>
            </w:r>
            <w:r>
              <w:rPr>
                <w:rFonts w:eastAsia="Times New Roman" w:cs="Times New Roman"/>
                <w:i/>
                <w:iCs/>
                <w:color w:val="000000"/>
                <w:sz w:val="20"/>
                <w:szCs w:val="20"/>
                <w:lang w:val="en-US"/>
              </w:rPr>
              <w:t>(0.000)***</w:t>
            </w:r>
          </w:p>
        </w:tc>
      </w:tr>
    </w:tbl>
    <w:p w14:paraId="35738E08" w14:textId="73E3B7C2" w:rsidR="00864D6B" w:rsidRPr="00653B79" w:rsidRDefault="00864D6B" w:rsidP="00864D6B">
      <w:pPr>
        <w:rPr>
          <w:rFonts w:eastAsia="Times New Roman" w:cs="Times New Roman"/>
          <w:color w:val="000000"/>
          <w:sz w:val="20"/>
          <w:szCs w:val="20"/>
          <w:lang w:val="en-US"/>
        </w:rPr>
      </w:pPr>
      <w:r w:rsidRPr="00653B79">
        <w:rPr>
          <w:rFonts w:eastAsia="Times New Roman" w:cs="Times New Roman"/>
          <w:color w:val="000000"/>
          <w:sz w:val="20"/>
          <w:szCs w:val="20"/>
          <w:lang w:val="en-US"/>
        </w:rPr>
        <w:t>*** 99.9% confidence level</w:t>
      </w:r>
      <w:r>
        <w:rPr>
          <w:rFonts w:eastAsia="Times New Roman" w:cs="Times New Roman"/>
          <w:color w:val="000000"/>
          <w:sz w:val="20"/>
          <w:szCs w:val="20"/>
          <w:lang w:val="en-US"/>
        </w:rPr>
        <w:t xml:space="preserve">   </w:t>
      </w:r>
      <w:r w:rsidRPr="002856A3">
        <w:rPr>
          <w:rFonts w:eastAsia="Times New Roman" w:cs="Times New Roman" w:hint="eastAsia"/>
          <w:color w:val="000000"/>
          <w:sz w:val="20"/>
          <w:szCs w:val="20"/>
          <w:lang w:val="en-US"/>
        </w:rPr>
        <w:t>**</w:t>
      </w:r>
      <w:r>
        <w:rPr>
          <w:rFonts w:eastAsia="Times New Roman" w:cs="Times New Roman"/>
          <w:color w:val="000000"/>
          <w:sz w:val="20"/>
          <w:szCs w:val="20"/>
          <w:lang w:val="en-US"/>
        </w:rPr>
        <w:t xml:space="preserve"> </w:t>
      </w:r>
      <w:r w:rsidRPr="002856A3">
        <w:rPr>
          <w:rFonts w:eastAsia="Times New Roman" w:cs="Times New Roman" w:hint="eastAsia"/>
          <w:color w:val="000000"/>
          <w:sz w:val="20"/>
          <w:szCs w:val="20"/>
          <w:lang w:val="en-US"/>
        </w:rPr>
        <w:t>99%</w:t>
      </w:r>
      <w:r>
        <w:rPr>
          <w:rFonts w:eastAsia="Times New Roman" w:cs="Times New Roman"/>
          <w:color w:val="000000"/>
          <w:sz w:val="20"/>
          <w:szCs w:val="20"/>
          <w:lang w:val="en-US"/>
        </w:rPr>
        <w:t xml:space="preserve"> </w:t>
      </w:r>
      <w:r w:rsidRPr="002856A3">
        <w:rPr>
          <w:rFonts w:eastAsia="Times New Roman" w:cs="Times New Roman" w:hint="eastAsia"/>
          <w:color w:val="000000"/>
          <w:sz w:val="20"/>
          <w:szCs w:val="20"/>
          <w:lang w:val="en-US"/>
        </w:rPr>
        <w:t>confi</w:t>
      </w:r>
      <w:r>
        <w:rPr>
          <w:rFonts w:eastAsia="Times New Roman" w:cs="Times New Roman"/>
          <w:color w:val="000000"/>
          <w:sz w:val="20"/>
          <w:szCs w:val="20"/>
          <w:lang w:val="en-US"/>
        </w:rPr>
        <w:t>dence level</w:t>
      </w:r>
    </w:p>
    <w:p w14:paraId="187004CE" w14:textId="77777777" w:rsidR="00864D6B" w:rsidRPr="002856A3" w:rsidRDefault="00864D6B" w:rsidP="00080FCA">
      <w:pPr>
        <w:rPr>
          <w:rFonts w:eastAsia="Times New Roman" w:cs="Times New Roman"/>
          <w:color w:val="000000"/>
          <w:sz w:val="20"/>
          <w:szCs w:val="20"/>
          <w:lang w:val="en-US"/>
        </w:rPr>
      </w:pPr>
    </w:p>
    <w:p w14:paraId="162FC7E2" w14:textId="7DB827F4" w:rsidR="00080FCA" w:rsidRPr="00653B79" w:rsidRDefault="00080FCA" w:rsidP="00080FCA">
      <w:pPr>
        <w:rPr>
          <w:lang w:val="en-US"/>
        </w:rPr>
      </w:pPr>
      <w:r w:rsidRPr="00653B79">
        <w:rPr>
          <w:lang w:val="en-US"/>
        </w:rPr>
        <w:t xml:space="preserve">A detailed comparison </w:t>
      </w:r>
      <w:r w:rsidR="009510A1">
        <w:rPr>
          <w:lang w:val="en-US"/>
        </w:rPr>
        <w:t xml:space="preserve">between the indoor and the outdoor models </w:t>
      </w:r>
      <w:r w:rsidRPr="00653B79">
        <w:rPr>
          <w:lang w:val="en-US"/>
        </w:rPr>
        <w:t>is shown in</w:t>
      </w:r>
      <w:r w:rsidR="006B4AEF" w:rsidRPr="009C13F7">
        <w:rPr>
          <w:lang w:val="en-US"/>
        </w:rPr>
        <w:t xml:space="preserve"> </w:t>
      </w:r>
      <w:r w:rsidR="009510A1">
        <w:rPr>
          <w:lang w:val="en-US"/>
        </w:rPr>
        <w:t>Fig. A1</w:t>
      </w:r>
      <w:r w:rsidRPr="00653B79">
        <w:rPr>
          <w:lang w:val="en-US"/>
        </w:rPr>
        <w:t xml:space="preserve">, in which the number of infected apartments </w:t>
      </w:r>
      <w:proofErr w:type="gramStart"/>
      <w:r w:rsidRPr="00653B79">
        <w:rPr>
          <w:lang w:val="en-US"/>
        </w:rPr>
        <w:t>are</w:t>
      </w:r>
      <w:proofErr w:type="gramEnd"/>
      <w:r w:rsidRPr="00653B79">
        <w:rPr>
          <w:lang w:val="en-US"/>
        </w:rPr>
        <w:t xml:space="preserve"> plotted against the predicted mean viral concentration by the outdoor </w:t>
      </w:r>
      <w:r w:rsidR="009019AD">
        <w:rPr>
          <w:lang w:val="en-US"/>
        </w:rPr>
        <w:t>(</w:t>
      </w:r>
      <w:r w:rsidR="009510A1">
        <w:rPr>
          <w:lang w:val="en-US"/>
        </w:rPr>
        <w:t>Fig. A1</w:t>
      </w:r>
      <w:r w:rsidRPr="00653B79">
        <w:rPr>
          <w:lang w:val="en-US"/>
        </w:rPr>
        <w:t>(</w:t>
      </w:r>
      <w:r w:rsidR="009019AD">
        <w:rPr>
          <w:lang w:val="en-US"/>
        </w:rPr>
        <w:t>a</w:t>
      </w:r>
      <w:r w:rsidRPr="00653B79">
        <w:rPr>
          <w:lang w:val="en-US"/>
        </w:rPr>
        <w:t>)</w:t>
      </w:r>
      <w:r w:rsidR="009019AD">
        <w:rPr>
          <w:lang w:val="en-US"/>
        </w:rPr>
        <w:t>)</w:t>
      </w:r>
      <w:r w:rsidRPr="00653B79">
        <w:rPr>
          <w:lang w:val="en-US"/>
        </w:rPr>
        <w:t xml:space="preserve"> and indoor </w:t>
      </w:r>
      <w:r w:rsidR="009019AD">
        <w:rPr>
          <w:lang w:val="en-US"/>
        </w:rPr>
        <w:t>(</w:t>
      </w:r>
      <w:r w:rsidR="009510A1">
        <w:rPr>
          <w:lang w:val="en-US"/>
        </w:rPr>
        <w:t>Fig. A1</w:t>
      </w:r>
      <w:r w:rsidRPr="00653B79">
        <w:rPr>
          <w:lang w:val="en-US"/>
        </w:rPr>
        <w:t>(</w:t>
      </w:r>
      <w:r w:rsidR="009019AD">
        <w:rPr>
          <w:lang w:val="en-US"/>
        </w:rPr>
        <w:t>b</w:t>
      </w:r>
      <w:r w:rsidRPr="00653B79">
        <w:rPr>
          <w:lang w:val="en-US"/>
        </w:rPr>
        <w:t>)</w:t>
      </w:r>
      <w:r w:rsidR="009019AD">
        <w:rPr>
          <w:lang w:val="en-US"/>
        </w:rPr>
        <w:t>)</w:t>
      </w:r>
      <w:r w:rsidRPr="00653B79">
        <w:rPr>
          <w:lang w:val="en-US"/>
        </w:rPr>
        <w:t xml:space="preserve"> route. Values are aggregated by apartments of th</w:t>
      </w:r>
      <w:r w:rsidRPr="00D76A31">
        <w:rPr>
          <w:lang w:val="en-US"/>
        </w:rPr>
        <w:t xml:space="preserve">e same number (#1-8) for the lower, middle, and upper proportion of Block E. Again, the outdoor route model </w:t>
      </w:r>
      <w:r w:rsidRPr="00F040F6">
        <w:rPr>
          <w:lang w:val="en-US"/>
        </w:rPr>
        <w:t>appears to have outperformed the indoor route model by having a higher R</w:t>
      </w:r>
      <w:r w:rsidRPr="007010BC">
        <w:rPr>
          <w:vertAlign w:val="superscript"/>
          <w:lang w:val="en-US"/>
        </w:rPr>
        <w:t>2</w:t>
      </w:r>
      <w:r w:rsidRPr="007010BC">
        <w:rPr>
          <w:lang w:val="en-US"/>
        </w:rPr>
        <w:t xml:space="preserve"> value (outdoor 0.</w:t>
      </w:r>
      <w:r w:rsidR="004F1321">
        <w:rPr>
          <w:lang w:val="en-US"/>
        </w:rPr>
        <w:t>51</w:t>
      </w:r>
      <w:r w:rsidRPr="007010BC">
        <w:rPr>
          <w:lang w:val="en-US"/>
        </w:rPr>
        <w:t xml:space="preserve"> versus indoor 0.27). Th</w:t>
      </w:r>
      <w:r w:rsidRPr="004F1321">
        <w:rPr>
          <w:lang w:val="en-US"/>
        </w:rPr>
        <w:t>e indoor route model appears to have underestimated viral concentration in Apt. E8, E2, and E1 at the middle levels as well as the Apt. E1 and E2 at upper levels, in comparison with the outdoor route model. The comparison should not be interpreted as to di</w:t>
      </w:r>
      <w:r w:rsidRPr="00653B79">
        <w:rPr>
          <w:lang w:val="en-US"/>
        </w:rPr>
        <w:t>smiss the viability of indoor route transmission, which probably took place alongside outdoor route.</w:t>
      </w:r>
    </w:p>
    <w:p w14:paraId="4213D5D5" w14:textId="77777777" w:rsidR="00080FCA" w:rsidRPr="00653B79" w:rsidRDefault="00080FCA" w:rsidP="00080FCA">
      <w:pPr>
        <w:rPr>
          <w:lang w:val="en-US"/>
        </w:rPr>
      </w:pPr>
    </w:p>
    <w:p w14:paraId="0DFF3715" w14:textId="52B194C6" w:rsidR="00080FCA" w:rsidRPr="00653B79" w:rsidRDefault="00BF602D" w:rsidP="00080FCA">
      <w:pPr>
        <w:rPr>
          <w:lang w:val="en-US"/>
        </w:rPr>
      </w:pPr>
      <w:r>
        <w:rPr>
          <w:noProof/>
          <w:lang w:val="en-US"/>
        </w:rPr>
        <w:drawing>
          <wp:inline distT="0" distB="0" distL="0" distR="0" wp14:anchorId="6A1C3BDD" wp14:editId="594448DE">
            <wp:extent cx="5726852" cy="2399168"/>
            <wp:effectExtent l="0" t="0" r="7620" b="127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cstate="print">
                      <a:extLst>
                        <a:ext uri="{28A0092B-C50C-407E-A947-70E740481C1C}">
                          <a14:useLocalDpi xmlns:a14="http://schemas.microsoft.com/office/drawing/2010/main"/>
                        </a:ext>
                      </a:extLst>
                    </a:blip>
                    <a:srcRect/>
                    <a:stretch/>
                  </pic:blipFill>
                  <pic:spPr bwMode="auto">
                    <a:xfrm>
                      <a:off x="0" y="0"/>
                      <a:ext cx="5727700" cy="2399523"/>
                    </a:xfrm>
                    <a:prstGeom prst="rect">
                      <a:avLst/>
                    </a:prstGeom>
                    <a:ln>
                      <a:noFill/>
                    </a:ln>
                    <a:extLst>
                      <a:ext uri="{53640926-AAD7-44D8-BBD7-CCE9431645EC}">
                        <a14:shadowObscured xmlns:a14="http://schemas.microsoft.com/office/drawing/2010/main"/>
                      </a:ext>
                    </a:extLst>
                  </pic:spPr>
                </pic:pic>
              </a:graphicData>
            </a:graphic>
          </wp:inline>
        </w:drawing>
      </w:r>
    </w:p>
    <w:p w14:paraId="12F0C6EC" w14:textId="1CE1BD32" w:rsidR="00080FCA" w:rsidRPr="00D76A31" w:rsidRDefault="00080FCA" w:rsidP="00080FCA">
      <w:pPr>
        <w:pStyle w:val="Caption"/>
        <w:rPr>
          <w:lang w:val="en-US"/>
        </w:rPr>
      </w:pPr>
      <w:bookmarkStart w:id="0" w:name="_Ref61729833"/>
      <w:r w:rsidRPr="00653B79">
        <w:rPr>
          <w:lang w:val="en-US"/>
        </w:rPr>
        <w:t xml:space="preserve">Fig. </w:t>
      </w:r>
      <w:bookmarkEnd w:id="0"/>
      <w:r w:rsidR="009510A1">
        <w:rPr>
          <w:lang w:val="en-US"/>
        </w:rPr>
        <w:t>A1</w:t>
      </w:r>
      <w:r w:rsidRPr="00653B79">
        <w:rPr>
          <w:lang w:val="en-US"/>
        </w:rPr>
        <w:t xml:space="preserve"> </w:t>
      </w:r>
      <w:r w:rsidR="004F1321">
        <w:rPr>
          <w:lang w:val="en-US"/>
        </w:rPr>
        <w:t>Number</w:t>
      </w:r>
      <w:r w:rsidR="004F1321" w:rsidRPr="00653B79">
        <w:rPr>
          <w:lang w:val="en-US"/>
        </w:rPr>
        <w:t xml:space="preserve"> of infected Ap</w:t>
      </w:r>
      <w:r w:rsidR="004F1321">
        <w:rPr>
          <w:lang w:val="en-US"/>
        </w:rPr>
        <w:t xml:space="preserve">artments in </w:t>
      </w:r>
      <w:r w:rsidR="004F1321" w:rsidRPr="00653B79">
        <w:rPr>
          <w:lang w:val="en-US"/>
        </w:rPr>
        <w:t>Block E in Amoy Gardens</w:t>
      </w:r>
      <w:r w:rsidR="004F1321">
        <w:rPr>
          <w:lang w:val="en-US"/>
        </w:rPr>
        <w:t xml:space="preserve"> </w:t>
      </w:r>
      <w:r w:rsidRPr="00653B79">
        <w:rPr>
          <w:lang w:val="en-US"/>
        </w:rPr>
        <w:t>versus predicted mean viral concentration for the outdoor route model (</w:t>
      </w:r>
      <w:r w:rsidR="004F1321">
        <w:rPr>
          <w:lang w:val="en-US"/>
        </w:rPr>
        <w:t>a</w:t>
      </w:r>
      <w:r w:rsidRPr="00653B79">
        <w:rPr>
          <w:lang w:val="en-US"/>
        </w:rPr>
        <w:t>) and the indoor route model(</w:t>
      </w:r>
      <w:r w:rsidR="004F1321">
        <w:rPr>
          <w:lang w:val="en-US"/>
        </w:rPr>
        <w:t>b</w:t>
      </w:r>
      <w:r w:rsidRPr="00653B79">
        <w:rPr>
          <w:lang w:val="en-US"/>
        </w:rPr>
        <w:t>) (Li et al., 2005, p.22); values are aggregated by apartments of the same number for the lower, middle, a</w:t>
      </w:r>
      <w:r w:rsidRPr="00D76A31">
        <w:rPr>
          <w:lang w:val="en-US"/>
        </w:rPr>
        <w:t>nd upper proportion of Block E in Amoy Gardens.</w:t>
      </w:r>
    </w:p>
    <w:p w14:paraId="0D6D7379" w14:textId="7C7926C0" w:rsidR="00330EF2" w:rsidRDefault="00330EF2" w:rsidP="007A0077">
      <w:pPr>
        <w:rPr>
          <w:lang w:val="en-US"/>
        </w:rPr>
      </w:pPr>
    </w:p>
    <w:p w14:paraId="299EA327" w14:textId="63E6C562" w:rsidR="00330EF2" w:rsidRPr="00880EB7" w:rsidRDefault="00330EF2" w:rsidP="00330EF2">
      <w:pPr>
        <w:rPr>
          <w:b/>
          <w:bCs/>
          <w:lang w:val="en-US"/>
        </w:rPr>
      </w:pPr>
      <w:r>
        <w:rPr>
          <w:b/>
          <w:bCs/>
          <w:lang w:val="en-US"/>
        </w:rPr>
        <w:t>Back-Calculation</w:t>
      </w:r>
      <w:r w:rsidRPr="00880EB7">
        <w:rPr>
          <w:b/>
          <w:bCs/>
          <w:lang w:val="en-US"/>
        </w:rPr>
        <w:t xml:space="preserve"> of Source Quanta Emission Rate</w:t>
      </w:r>
    </w:p>
    <w:p w14:paraId="22EB10BD" w14:textId="02EB07AA" w:rsidR="00330EF2" w:rsidRPr="00D76A31" w:rsidRDefault="00330EF2" w:rsidP="00330EF2">
      <w:pPr>
        <w:rPr>
          <w:lang w:val="en-US"/>
        </w:rPr>
      </w:pPr>
      <w:r w:rsidRPr="00F040F6">
        <w:rPr>
          <w:lang w:val="en-US"/>
        </w:rPr>
        <w:t>The source quanta emission rate of the primary patients can be established based on the disease infection patterns.</w:t>
      </w:r>
      <w:r w:rsidRPr="00E64586">
        <w:rPr>
          <w:lang w:val="en-US"/>
        </w:rPr>
        <w:t xml:space="preserve"> Estimates are made for the COVID-19 outbreak in the Luk Chuen House and the SARS outbreak in Amoy Garden. </w:t>
      </w:r>
      <w:r w:rsidR="009510A1">
        <w:rPr>
          <w:lang w:val="en-US"/>
        </w:rPr>
        <w:t>Fig. A2</w:t>
      </w:r>
      <w:r w:rsidR="00C50FCF">
        <w:rPr>
          <w:lang w:val="en-US"/>
        </w:rPr>
        <w:t xml:space="preserve"> </w:t>
      </w:r>
      <w:r w:rsidRPr="00653B79">
        <w:rPr>
          <w:lang w:val="en-US"/>
        </w:rPr>
        <w:t>presents the scatter plot of disease infection versus predicted inhaled viral exposure at apartment level for COVID-19 in Luck Chuen House. Each red dot represents one of the 98 apartment units in the same wing as the primary case. The predicted dose-response curve is shown as a black line with a 95% confidence interval. Due to the small number of infected apartments available, the characteristic sigmoid curve was extended to the 0.63 probability level based on projection, which corresponds to a viral exposure value at one quant</w:t>
      </w:r>
      <w:r w:rsidR="00743C62">
        <w:rPr>
          <w:lang w:val="en-US"/>
        </w:rPr>
        <w:t>um</w:t>
      </w:r>
      <w:r w:rsidRPr="00653B79">
        <w:rPr>
          <w:lang w:val="en-US"/>
        </w:rPr>
        <w:t>. The source quanta emission rate</w:t>
      </w:r>
      <w:r w:rsidR="00E77206">
        <w:rPr>
          <w:lang w:val="en-US"/>
        </w:rPr>
        <w:t xml:space="preserve"> </w:t>
      </w:r>
      <m:oMath>
        <m:sSubSup>
          <m:sSubSupPr>
            <m:ctrlPr>
              <w:rPr>
                <w:rFonts w:ascii="Cambria Math" w:hAnsi="Cambria Math"/>
                <w:lang w:val="en-US"/>
              </w:rPr>
            </m:ctrlPr>
          </m:sSubSupPr>
          <m:e>
            <m:r>
              <w:rPr>
                <w:rFonts w:ascii="Cambria Math" w:hAnsi="Cambria Math"/>
                <w:lang w:val="en-US"/>
              </w:rPr>
              <m:t>q</m:t>
            </m:r>
          </m:e>
          <m:sub>
            <m:sSub>
              <m:sSubPr>
                <m:ctrlPr>
                  <w:rPr>
                    <w:rFonts w:ascii="Cambria Math" w:hAnsi="Cambria Math"/>
                    <w:lang w:val="en-US"/>
                  </w:rPr>
                </m:ctrlPr>
              </m:sSubPr>
              <m:e>
                <m:r>
                  <w:rPr>
                    <w:rFonts w:ascii="Cambria Math" w:hAnsi="Cambria Math"/>
                    <w:lang w:val="en-US"/>
                  </w:rPr>
                  <m:t>t</m:t>
                </m:r>
              </m:e>
              <m:sub>
                <m:r>
                  <m:rPr>
                    <m:sty m:val="p"/>
                  </m:rPr>
                  <w:rPr>
                    <w:rFonts w:ascii="Cambria Math" w:hAnsi="Cambria Math"/>
                    <w:lang w:val="en-US"/>
                  </w:rPr>
                  <m:t>0</m:t>
                </m:r>
              </m:sub>
            </m:sSub>
          </m:sub>
          <m:sup>
            <m:r>
              <w:rPr>
                <w:rFonts w:ascii="Cambria Math" w:hAnsi="Cambria Math"/>
                <w:lang w:val="en-US"/>
              </w:rPr>
              <m:t>v</m:t>
            </m:r>
          </m:sup>
        </m:sSubSup>
      </m:oMath>
      <w:r w:rsidRPr="00E64586">
        <w:rPr>
          <w:lang w:val="en-US"/>
        </w:rPr>
        <w:t xml:space="preserve"> for the primary patient of COVID-19 can therefore be </w:t>
      </w:r>
      <w:r w:rsidR="00093028">
        <w:rPr>
          <w:lang w:val="en-US"/>
        </w:rPr>
        <w:t>backcalculated</w:t>
      </w:r>
      <w:r>
        <w:rPr>
          <w:lang w:val="en-US"/>
        </w:rPr>
        <w:t xml:space="preserve"> at </w:t>
      </w:r>
      <w:r w:rsidRPr="00653B79">
        <w:rPr>
          <w:lang w:val="en-US"/>
        </w:rPr>
        <w:t>6</w:t>
      </w:r>
      <w:r>
        <w:rPr>
          <w:lang w:val="en-US"/>
        </w:rPr>
        <w:t>0</w:t>
      </w:r>
      <w:r w:rsidR="006825FE">
        <w:rPr>
          <w:lang w:val="en-US"/>
        </w:rPr>
        <w:t xml:space="preserve"> </w:t>
      </w:r>
      <w:r w:rsidRPr="00653B79">
        <w:rPr>
          <w:lang w:val="en-US"/>
        </w:rPr>
        <w:t>quanta per hour (q/hr)</w:t>
      </w:r>
      <w:r w:rsidR="006825FE">
        <w:rPr>
          <w:lang w:val="en-US"/>
        </w:rPr>
        <w:t>, with the 95% confidence interval between 30 and100 q/hr</w:t>
      </w:r>
      <w:r w:rsidRPr="00653B79">
        <w:rPr>
          <w:lang w:val="en-US"/>
        </w:rPr>
        <w:t xml:space="preserve">. The value was based on the outdoor route transmission only. If an alternative mode of transmission occurred </w:t>
      </w:r>
      <w:r>
        <w:rPr>
          <w:lang w:val="en-US"/>
        </w:rPr>
        <w:t xml:space="preserve">such </w:t>
      </w:r>
      <w:r>
        <w:rPr>
          <w:lang w:val="en-US"/>
        </w:rPr>
        <w:lastRenderedPageBreak/>
        <w:t xml:space="preserve">as close personal contact or indoor airborne, </w:t>
      </w:r>
      <w:r w:rsidRPr="00653B79">
        <w:rPr>
          <w:lang w:val="en-US"/>
        </w:rPr>
        <w:t xml:space="preserve">then the </w:t>
      </w:r>
      <w:r w:rsidR="00093028">
        <w:rPr>
          <w:lang w:val="en-US"/>
        </w:rPr>
        <w:t>backcalculated</w:t>
      </w:r>
      <w:r w:rsidRPr="00653B79">
        <w:rPr>
          <w:lang w:val="en-US"/>
        </w:rPr>
        <w:t xml:space="preserve"> source quanta emission rate would have been lower.</w:t>
      </w:r>
    </w:p>
    <w:p w14:paraId="2EEDF528" w14:textId="77777777" w:rsidR="00330EF2" w:rsidRPr="00D76A31" w:rsidRDefault="00330EF2" w:rsidP="00330EF2">
      <w:pPr>
        <w:rPr>
          <w:lang w:val="en-US"/>
        </w:rPr>
      </w:pPr>
    </w:p>
    <w:p w14:paraId="79E2D8D8" w14:textId="77777777" w:rsidR="00330EF2" w:rsidRPr="00653B79" w:rsidRDefault="00330EF2" w:rsidP="00330EF2">
      <w:pPr>
        <w:rPr>
          <w:lang w:val="en-US"/>
        </w:rPr>
      </w:pPr>
      <w:r w:rsidRPr="00D76A31">
        <w:rPr>
          <w:lang w:val="en-US"/>
        </w:rPr>
        <w:t xml:space="preserve">The estimated source quanta emission rate </w:t>
      </w:r>
      <m:oMath>
        <m:sSubSup>
          <m:sSubSupPr>
            <m:ctrlPr>
              <w:rPr>
                <w:rFonts w:ascii="Cambria Math" w:hAnsi="Cambria Math"/>
                <w:lang w:val="en-US"/>
              </w:rPr>
            </m:ctrlPr>
          </m:sSubSupPr>
          <m:e>
            <m:r>
              <w:rPr>
                <w:rFonts w:ascii="Cambria Math" w:hAnsi="Cambria Math"/>
                <w:lang w:val="en-US"/>
              </w:rPr>
              <m:t>q</m:t>
            </m:r>
          </m:e>
          <m:sub>
            <m:sSub>
              <m:sSubPr>
                <m:ctrlPr>
                  <w:rPr>
                    <w:rFonts w:ascii="Cambria Math" w:hAnsi="Cambria Math"/>
                    <w:lang w:val="en-US"/>
                  </w:rPr>
                </m:ctrlPr>
              </m:sSubPr>
              <m:e>
                <m:r>
                  <w:rPr>
                    <w:rFonts w:ascii="Cambria Math" w:hAnsi="Cambria Math"/>
                    <w:lang w:val="en-US"/>
                  </w:rPr>
                  <m:t>t</m:t>
                </m:r>
              </m:e>
              <m:sub>
                <m:r>
                  <m:rPr>
                    <m:sty m:val="p"/>
                  </m:rPr>
                  <w:rPr>
                    <w:rFonts w:ascii="Cambria Math" w:hAnsi="Cambria Math"/>
                    <w:lang w:val="en-US"/>
                  </w:rPr>
                  <m:t>0</m:t>
                </m:r>
              </m:sub>
            </m:sSub>
          </m:sub>
          <m:sup>
            <m:r>
              <w:rPr>
                <w:rFonts w:ascii="Cambria Math" w:hAnsi="Cambria Math"/>
                <w:lang w:val="en-US"/>
              </w:rPr>
              <m:t>v</m:t>
            </m:r>
          </m:sup>
        </m:sSubSup>
      </m:oMath>
      <w:r w:rsidRPr="00653B79">
        <w:rPr>
          <w:lang w:val="en-US"/>
        </w:rPr>
        <w:t xml:space="preserve"> of 6</w:t>
      </w:r>
      <w:r>
        <w:rPr>
          <w:lang w:val="en-US"/>
        </w:rPr>
        <w:t>0</w:t>
      </w:r>
      <w:r w:rsidRPr="00653B79">
        <w:rPr>
          <w:lang w:val="en-US"/>
        </w:rPr>
        <w:t xml:space="preserve"> q/hr for COVID-19 is comparable with findings of several studies. Estimates ranged from 4.9 to 31q/hr for speaking with light activities </w:t>
      </w:r>
      <w:r w:rsidRPr="00653B79">
        <w:rPr>
          <w:lang w:val="en-US"/>
        </w:rPr>
        <w:fldChar w:fldCharType="begin" w:fldLock="1"/>
      </w:r>
      <w:r w:rsidRPr="00653B79">
        <w:rPr>
          <w:lang w:val="en-US"/>
        </w:rPr>
        <w:instrText>ADDIN CSL_CITATION {"citationItems":[{"id":"ITEM-1","itemData":{"DOI":"10.1016/j.envint.2020.106112","ISSN":"18736750","PMID":"32927282","abstract":"Airborne transmission is a recognized pathway of contagion; however, it is rarely quantitatively evaluated. The numerous outbreaks that have occurred during the SARS-CoV-2 pandemic are putting a demand on researchers to develop approaches capable of both predicting contagion in closed environments (predictive assessment) and analyzing previous infections (retrospective assessment). This study presents a novel approach for quantitative assessment of the individual infection risk of susceptible subjects exposed in indoor microenvironments in the presence of an asymptomatic infected SARS-CoV-2 subject. The application of a Monte Carlo method allowed the risk for an exposed healthy subject to be evaluated or, starting from an acceptable risk, the maximum exposure time. We applied the proposed approach to four distinct scenarios for a prospective assessment, highlighting that, in order to guarantee an acceptable risk of 10−3 for exposed subjects in naturally ventilated indoor environments, the exposure time could be well below one hour. Such maximum exposure time clearly depends on the viral load emission of the infected subject and on the exposure conditions; thus, longer exposure times were estimated for mechanically ventilated indoor environments and lower viral load emissions. The proposed approach was used for retrospective assessment of documented outbreaks in a restaurant in Guangzhou (China) and at a choir rehearsal in Mount Vernon (USA), showing that, in both cases, the high attack rate values can be justified only assuming the airborne transmission as the main route of contagion. Moreover, we show that such outbreaks are not caused by the rare presence of a superspreader, but can be likely explained by the co-existence of conditions, including emission and exposure parameters, leading to a highly probable event, which can be defined as a “superspreading event”.","author":[{"dropping-particle":"","family":"Buonanno","given":"G.","non-dropping-particle":"","parse-names":false,"suffix":""},{"dropping-particle":"","family":"Morawska","given":"L.","non-dropping-particle":"","parse-names":false,"suffix":""},{"dropping-particle":"","family":"Stabile","given":"L.","non-dropping-particle":"","parse-names":false,"suffix":""}],"container-title":"Environment International","id":"ITEM-1","issued":{"date-parts":[["2020"]]},"title":"Quantitative assessment of the risk of airborne transmission of SARS-CoV-2 infection: Prospective and retrospective applications","type":"article-journal"},"uris":["http://www.mendeley.com/documents/?uuid=42c1535b-2070-4650-a17f-f838a2dd2fab"]}],"mendeley":{"formattedCitation":"(Buonanno, Morawska and Stabile, 2020)","plainTextFormattedCitation":"(Buonanno, Morawska and Stabile, 2020)","previouslyFormattedCitation":"(Buonanno, Morawska and Stabile, 2020)"},"properties":{"noteIndex":0},"schema":"https://github.com/citation-style-language/schema/raw/master/csl-citation.json"}</w:instrText>
      </w:r>
      <w:r w:rsidRPr="00653B79">
        <w:rPr>
          <w:lang w:val="en-US"/>
        </w:rPr>
        <w:fldChar w:fldCharType="separate"/>
      </w:r>
      <w:r w:rsidRPr="00653B79">
        <w:rPr>
          <w:noProof/>
          <w:lang w:val="en-US"/>
        </w:rPr>
        <w:t>(Buonanno, Morawska and Stabile, 2020)</w:t>
      </w:r>
      <w:r w:rsidRPr="00653B79">
        <w:rPr>
          <w:lang w:val="en-US"/>
        </w:rPr>
        <w:fldChar w:fldCharType="end"/>
      </w:r>
      <w:r w:rsidRPr="00653B79">
        <w:rPr>
          <w:lang w:val="en-US"/>
        </w:rPr>
        <w:t xml:space="preserve"> or above 100 for speaking and walking </w:t>
      </w:r>
      <w:r w:rsidRPr="00653B79">
        <w:rPr>
          <w:lang w:val="en-US"/>
        </w:rPr>
        <w:fldChar w:fldCharType="begin" w:fldLock="1"/>
      </w:r>
      <w:r w:rsidRPr="00653B79">
        <w:rPr>
          <w:lang w:val="en-US"/>
        </w:rPr>
        <w:instrText>ADDIN CSL_CITATION {"citationItems":[{"id":"ITEM-1","itemData":{"DOI":"10.1016/j.envint.2020.105794","ISSN":"18736750","PMID":"32416374","abstract":"Airborne transmission is a pathway of contagion that is still not sufficiently investigated despite the evidence in the scientific literature of the role it can play in the context of an epidemic. While the medical research area dedicates efforts to find cures and remedies to counteract the effects of a virus, the engineering area is involved in providing risk assessments in indoor environments by simulating the airborne transmission of the virus during an epidemic. To this end, virus air emission data are needed. Unfortunately, this information is usually available only after the outbreak, based on specific reverse engineering cases. In this work, a novel approach to estimate the viral load emitted by a contagious subject on the basis of the viral load in the mouth, the type of respiratory activity (e.g. breathing, speaking, whispering), respiratory physiological parameters (e.g. inhalation rate), and activity level (e.g. resting, standing, light exercise) is proposed. The results showed that high quanta emission rates (&gt;100 quanta h−1) can be reached by an asymptomatic infectious SARS-CoV-2 subject performing vocalization during light activities (i.e. walking slowly) whereas a symptomatic SARS-CoV-2 subject in resting conditions mostly has a low quanta emission rate (&lt;1 quantum h−1). The findings in terms of quanta emission rates were then adopted in infection risk models to demonstrate its application by evaluating the number of people infected by an asymptomatic SARS-CoV-2 subject in Italian indoor microenvironments before and after the introduction of virus containment measures. The results obtained from the simulations clearly highlight that a key role is played by proper ventilation in containment of the virus in indoor environments.","author":[{"dropping-particle":"","family":"Buonanno","given":"G.","non-dropping-particle":"","parse-names":false,"suffix":""},{"dropping-particle":"","family":"Stabile","given":"L.","non-dropping-particle":"","parse-names":false,"suffix":""},{"dropping-particle":"","family":"Morawska","given":"L.","non-dropping-particle":"","parse-names":false,"suffix":""}],"container-title":"Environment International","id":"ITEM-1","issued":{"date-parts":[["2020"]]},"page":"105794","title":"Estimation of airborne viral emission: Quanta emission rate of SARS-CoV-2 for infection risk assessment","type":"article-journal","volume":"141"},"uris":["http://www.mendeley.com/documents/?uuid=a8a26da8-2951-4e6a-8445-92217b24fb69"]}],"mendeley":{"formattedCitation":"(Buonanno, Stabile and Morawska, 2020)","plainTextFormattedCitation":"(Buonanno, Stabile and Morawska, 2020)","previouslyFormattedCitation":"(Buonanno, Stabile and Morawska, 2020)"},"properties":{"noteIndex":0},"schema":"https://github.com/citation-style-language/schema/raw/master/csl-citation.json"}</w:instrText>
      </w:r>
      <w:r w:rsidRPr="00653B79">
        <w:rPr>
          <w:lang w:val="en-US"/>
        </w:rPr>
        <w:fldChar w:fldCharType="separate"/>
      </w:r>
      <w:r w:rsidRPr="00653B79">
        <w:rPr>
          <w:noProof/>
          <w:lang w:val="en-US"/>
        </w:rPr>
        <w:t>(Buonanno, Stabile and Morawska, 2020)</w:t>
      </w:r>
      <w:r w:rsidRPr="00653B79">
        <w:rPr>
          <w:lang w:val="en-US"/>
        </w:rPr>
        <w:fldChar w:fldCharType="end"/>
      </w:r>
      <w:r w:rsidRPr="00653B79">
        <w:rPr>
          <w:lang w:val="en-US"/>
        </w:rPr>
        <w:t xml:space="preserve">. Higher estimates were made for super-spreading events at 460 </w:t>
      </w:r>
      <w:r w:rsidRPr="00653B79">
        <w:rPr>
          <w:lang w:val="en-US"/>
        </w:rPr>
        <w:fldChar w:fldCharType="begin" w:fldLock="1"/>
      </w:r>
      <w:r w:rsidRPr="00653B79">
        <w:rPr>
          <w:lang w:val="en-US"/>
        </w:rPr>
        <w:instrText>ADDIN CSL_CITATION {"citationItems":[{"id":"ITEM-1","itemData":{"abstract":"We study transmission of COVID-19 using five well-documented case studies – a Washington state church choir, a Korean call center, a Korean exercise class, and two different Chinese bus trips. In all cases the likely index patients were pre-symptomatic or mildly symptomatic, which is when infective patients are most likely to interact with large groups of people. An estimate of N0, the characteristic number of COVID-19 virions needed to induce infection in each case, is found using a simple physical model of airborne transmission. We find that the N0 values are similar for five COVID-19 superspreading cases (</w:instrText>
      </w:r>
      <w:r w:rsidRPr="00653B79">
        <w:rPr>
          <w:rFonts w:ascii="Cambria Math" w:hAnsi="Cambria Math" w:cs="Cambria Math"/>
          <w:lang w:val="en-US"/>
        </w:rPr>
        <w:instrText>∼</w:instrText>
      </w:r>
      <w:r w:rsidRPr="00653B79">
        <w:rPr>
          <w:lang w:val="en-US"/>
        </w:rPr>
        <w:instrText xml:space="preserve">300-2,000 viral copies) and of the same order as influenza A. Consistent with the recent results of Goyal et al, these results suggest that viral loads relevant to infection from presymptomatic or mildly symptomatic individuals may fall into a narrow range, and that exceptionally high viral loads are not required to induce a superspreading event [1,2]. Rather, the accumulation of infective aerosols exhaled by a typical pre-symptomatic or mildly symptomatic patient in a confined, crowded space (amplified by poor ventilation, particularly activity like exercise or singing, or lack of masks) for exposure times as short as one hour are sufficient. We calculate that talking and breathing release </w:instrText>
      </w:r>
      <w:r w:rsidRPr="00653B79">
        <w:rPr>
          <w:rFonts w:ascii="Cambria Math" w:hAnsi="Cambria Math" w:cs="Cambria Math"/>
          <w:lang w:val="en-US"/>
        </w:rPr>
        <w:instrText>∼</w:instrText>
      </w:r>
      <w:r w:rsidRPr="00653B79">
        <w:rPr>
          <w:lang w:val="en-US"/>
        </w:rPr>
        <w:instrText xml:space="preserve">460N0 and </w:instrText>
      </w:r>
      <w:r w:rsidRPr="00653B79">
        <w:rPr>
          <w:rFonts w:ascii="Cambria Math" w:hAnsi="Cambria Math" w:cs="Cambria Math"/>
          <w:lang w:val="en-US"/>
        </w:rPr>
        <w:instrText>∼</w:instrText>
      </w:r>
      <w:r w:rsidRPr="00653B79">
        <w:rPr>
          <w:lang w:val="en-US"/>
        </w:rPr>
        <w:instrText>10N0 (quanta)/hour, respectively, providing a basis to estimate the risks of everyday activities. Finally, we provide a calculation which motivates the observation that fomites appear to account for a small percentage of total COVID-19 infection events.Competing Interest StatementThe authors have declared no competing interest.Funding StatementNo external funding was receivedAuthor DeclarationsI confirm all relevant ethical guidelines have been followed, and any necessary IRB and/or ethics committee approvals have been obtained.YesThe details of the IRB/oversight body that provided approval or exemption for the research described are given below:Our work applies a physical model to data that has already been published in the literature, so ethical oversight is not applicableAll necessary patient/participant consent has been obtained and the appropriate institutional forms have been archived.YesI understand that all clinical trials and any other prospective interventional studies must be registered with an ICMJE-approved registry, such as ClinicalTrials.gov. I confirm that any such study reported in the manuscript has been registered and the trial reg…","author":[{"dropping-particle":"","family":"Prentiss","given":"Mara","non-dropping-particle":"","parse-names":false,"suffix":""},{"dropping-particle":"","family":"Chu","given":"Arthur","non-dropping-particle":"","parse-names":false,"suffix":""},{"dropping-particle":"","family":"Berggren","given":"Karl K","non-dropping-particle":"","parse-names":false,"suffix":""}],"container-title":"medRxiv","id":"ITEM-1","issued":{"date-parts":[["2020"]]},"title":"Superspreading Events Without Superspreaders: Using High Attack Rate Events to Estimate Nº for Airborne Transmission of COVID-19","type":"article-journal"},"uris":["http://www.mendeley.com/documents/?uuid=382c66d1-d255-463f-847a-149ce9185a24"]}],"mendeley":{"formattedCitation":"(Prentiss, Chu and Berggren, 2020)","plainTextFormattedCitation":"(Prentiss, Chu and Berggren, 2020)","previouslyFormattedCitation":"(Prentiss, Chu and Berggren, 2020)"},"properties":{"noteIndex":0},"schema":"https://github.com/citation-style-language/schema/raw/master/csl-citation.json"}</w:instrText>
      </w:r>
      <w:r w:rsidRPr="00653B79">
        <w:rPr>
          <w:lang w:val="en-US"/>
        </w:rPr>
        <w:fldChar w:fldCharType="separate"/>
      </w:r>
      <w:r w:rsidRPr="00653B79">
        <w:rPr>
          <w:noProof/>
          <w:lang w:val="en-US"/>
        </w:rPr>
        <w:t>(Prentiss, Chu and Berggren, 2020)</w:t>
      </w:r>
      <w:r w:rsidRPr="00653B79">
        <w:rPr>
          <w:lang w:val="en-US"/>
        </w:rPr>
        <w:fldChar w:fldCharType="end"/>
      </w:r>
      <w:r w:rsidRPr="00653B79">
        <w:rPr>
          <w:lang w:val="en-US"/>
        </w:rPr>
        <w:t xml:space="preserve">, or 970 q/hr </w:t>
      </w:r>
      <w:r w:rsidRPr="00653B79">
        <w:rPr>
          <w:lang w:val="en-US"/>
        </w:rPr>
        <w:fldChar w:fldCharType="begin" w:fldLock="1"/>
      </w:r>
      <w:r w:rsidRPr="00653B79">
        <w:rPr>
          <w:lang w:val="en-US"/>
        </w:rPr>
        <w:instrText>ADDIN CSL_CITATION {"citationItems":[{"id":"ITEM-1","itemData":{"DOI":"10.1111/ina.12751","ISSN":"16000668","abstract":"During the 2020 COVID-19 pandemic, an outbreak occurred following attendance of a symptomatic index case at a weekly rehearsal on 10 March of the Skagit Valley Chorale (SVC). After that rehearsal, 53 members of the SVC among 61 in attendance were confirmed or strongly suspected to have contracted COVID-19 and two died. Transmission by the aerosol route is likely; it appears unlikely that either fomite or ballistic droplet transmission could explain a substantial fraction of the cases. It is vital to identify features of cases such as this to better understand the factors that promote superspreading events. Based on a conditional assumption that transmission during this outbreak was dominated by inhalation of respiratory aerosol generated by one index case, we use the available evidence to infer the emission rate of aerosol infectious quanta. We explore how the risk of infection would vary with several influential factors: ventilation rate, duration of event, and deposition onto surfaces. The results indicate a best-estimate emission rate of 970 ± 390 quanta/h. Infection risk would be reduced by a factor of two by increasing the aerosol loss rate to 5 h−1 and shortening the event duration from 2.5 to 1 h.","author":[{"dropping-particle":"","family":"Miller","given":"Shelly L.","non-dropping-particle":"","parse-names":false,"suffix":""},{"dropping-particle":"","family":"Nazaroff","given":"William W.","non-dropping-particle":"","parse-names":false,"suffix":""},{"dropping-particle":"","family":"Jimenez","given":"Jose L.","non-dropping-particle":"","parse-names":false,"suffix":""},{"dropping-particle":"","family":"Boerstra","given":"Atze","non-dropping-particle":"","parse-names":false,"suffix":""},{"dropping-particle":"","family":"Buonanno","given":"Giorgio","non-dropping-particle":"","parse-names":false,"suffix":""},{"dropping-particle":"","family":"Dancer","given":"Stephanie J.","non-dropping-particle":"","parse-names":false,"suffix":""},{"dropping-particle":"","family":"Kurnitski","given":"Jarek","non-dropping-particle":"","parse-names":false,"suffix":""},{"dropping-particle":"","family":"Marr","given":"Linsey C.","non-dropping-particle":"","parse-names":false,"suffix":""},{"dropping-particle":"","family":"Morawska","given":"Lidia","non-dropping-particle":"","parse-names":false,"suffix":""},{"dropping-particle":"","family":"Noakes","given":"Catherine","non-dropping-particle":"","parse-names":false,"suffix":""}],"container-title":"Indoor Air","id":"ITEM-1","issued":{"date-parts":[["2020"]]},"title":"Transmission of SARS-CoV-2 by inhalation of respiratory aerosol in the Skagit Valley Chorale superspreading event","type":"article-journal"},"uris":["http://www.mendeley.com/documents/?uuid=544f34d5-c26b-4d95-8038-e143a2daede3"]}],"mendeley":{"formattedCitation":"(Miller &lt;i&gt;et al.&lt;/i&gt;, 2020)","plainTextFormattedCitation":"(Miller et al., 2020)","previouslyFormattedCitation":"(Miller &lt;i&gt;et al.&lt;/i&gt;, 2020)"},"properties":{"noteIndex":0},"schema":"https://github.com/citation-style-language/schema/raw/master/csl-citation.json"}</w:instrText>
      </w:r>
      <w:r w:rsidRPr="00653B79">
        <w:rPr>
          <w:lang w:val="en-US"/>
        </w:rPr>
        <w:fldChar w:fldCharType="separate"/>
      </w:r>
      <w:r w:rsidRPr="00653B79">
        <w:rPr>
          <w:noProof/>
          <w:lang w:val="en-US"/>
        </w:rPr>
        <w:t xml:space="preserve">(Miller </w:t>
      </w:r>
      <w:r w:rsidRPr="00653B79">
        <w:rPr>
          <w:i/>
          <w:noProof/>
          <w:lang w:val="en-US"/>
        </w:rPr>
        <w:t>et al.</w:t>
      </w:r>
      <w:r w:rsidRPr="00653B79">
        <w:rPr>
          <w:noProof/>
          <w:lang w:val="en-US"/>
        </w:rPr>
        <w:t>, 2020)</w:t>
      </w:r>
      <w:r w:rsidRPr="00653B79">
        <w:rPr>
          <w:lang w:val="en-US"/>
        </w:rPr>
        <w:fldChar w:fldCharType="end"/>
      </w:r>
      <w:r w:rsidRPr="00653B79">
        <w:rPr>
          <w:lang w:val="en-US"/>
        </w:rPr>
        <w:t>.</w:t>
      </w:r>
    </w:p>
    <w:p w14:paraId="0EA5C418" w14:textId="77777777" w:rsidR="00330EF2" w:rsidRPr="00653B79" w:rsidRDefault="00330EF2" w:rsidP="00330EF2">
      <w:pPr>
        <w:rPr>
          <w:lang w:val="en-US"/>
        </w:rPr>
      </w:pPr>
    </w:p>
    <w:p w14:paraId="0860764F" w14:textId="77777777" w:rsidR="00330EF2" w:rsidRPr="00653B79" w:rsidRDefault="00330EF2" w:rsidP="00330EF2">
      <w:pPr>
        <w:rPr>
          <w:lang w:val="en-US"/>
        </w:rPr>
      </w:pPr>
      <w:r w:rsidRPr="00653B79">
        <w:rPr>
          <w:noProof/>
          <w:lang w:val="en-US"/>
        </w:rPr>
        <w:drawing>
          <wp:inline distT="0" distB="0" distL="0" distR="0" wp14:anchorId="21263166" wp14:editId="5141DD9C">
            <wp:extent cx="4180114" cy="251714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cstate="print">
                      <a:extLst>
                        <a:ext uri="{28A0092B-C50C-407E-A947-70E740481C1C}">
                          <a14:useLocalDpi xmlns:a14="http://schemas.microsoft.com/office/drawing/2010/main"/>
                        </a:ext>
                      </a:extLst>
                    </a:blip>
                    <a:srcRect/>
                    <a:stretch/>
                  </pic:blipFill>
                  <pic:spPr bwMode="auto">
                    <a:xfrm>
                      <a:off x="0" y="0"/>
                      <a:ext cx="4181155" cy="2517767"/>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p w14:paraId="77A760E7" w14:textId="279B26E6" w:rsidR="00330EF2" w:rsidRPr="00D76A31" w:rsidRDefault="009510A1" w:rsidP="00330EF2">
      <w:pPr>
        <w:pStyle w:val="Caption"/>
        <w:rPr>
          <w:lang w:val="en-US"/>
        </w:rPr>
      </w:pPr>
      <w:r>
        <w:rPr>
          <w:lang w:val="en-US"/>
        </w:rPr>
        <w:t>Fig. A2</w:t>
      </w:r>
      <w:r w:rsidR="00330EF2" w:rsidRPr="00653B79">
        <w:rPr>
          <w:lang w:val="en-US"/>
        </w:rPr>
        <w:t xml:space="preserve"> Scatter plot of infection versus predicted inhaled viral exposure during the 5-day period of exposure at apartment level </w:t>
      </w:r>
      <w:r w:rsidR="00330EF2" w:rsidRPr="00D76A31">
        <w:rPr>
          <w:lang w:val="en-US"/>
        </w:rPr>
        <w:t xml:space="preserve">during the COVID-19 outbreak in Luk Chuen House. </w:t>
      </w:r>
    </w:p>
    <w:p w14:paraId="6B3D8490" w14:textId="77777777" w:rsidR="00330EF2" w:rsidRPr="00F040F6" w:rsidRDefault="00330EF2" w:rsidP="00330EF2">
      <w:pPr>
        <w:rPr>
          <w:lang w:val="en-US"/>
        </w:rPr>
      </w:pPr>
    </w:p>
    <w:p w14:paraId="321371E3" w14:textId="20CA409D" w:rsidR="00330EF2" w:rsidRPr="00DB68B0" w:rsidRDefault="00330EF2" w:rsidP="00330EF2">
      <w:pPr>
        <w:rPr>
          <w:lang w:val="en-US"/>
        </w:rPr>
      </w:pPr>
      <w:r w:rsidRPr="00E64586">
        <w:rPr>
          <w:lang w:val="en-US"/>
        </w:rPr>
        <w:t xml:space="preserve">Estimates for the source quanta emission rate of the </w:t>
      </w:r>
      <w:r w:rsidRPr="007010BC">
        <w:rPr>
          <w:lang w:val="en-US"/>
        </w:rPr>
        <w:t xml:space="preserve">SARS outbreak in Amoy Gardens is </w:t>
      </w:r>
      <w:r w:rsidRPr="00653B79">
        <w:rPr>
          <w:lang w:val="en-US"/>
        </w:rPr>
        <w:t>presented in</w:t>
      </w:r>
      <w:r>
        <w:rPr>
          <w:lang w:val="en-US"/>
        </w:rPr>
        <w:t xml:space="preserve"> </w:t>
      </w:r>
      <w:r w:rsidR="009510A1">
        <w:rPr>
          <w:lang w:val="en-US"/>
        </w:rPr>
        <w:t>Fig. A3</w:t>
      </w:r>
      <w:r w:rsidRPr="00653B79">
        <w:rPr>
          <w:lang w:val="en-US"/>
        </w:rPr>
        <w:t>, with the predicted infection risk shown in the characteristic sigmoid curve (black line). The viral exposure value at 63% infection risk is defined as one quant</w:t>
      </w:r>
      <w:r w:rsidR="00743C62">
        <w:rPr>
          <w:lang w:val="en-US"/>
        </w:rPr>
        <w:t>um</w:t>
      </w:r>
      <w:r w:rsidRPr="00653B79">
        <w:rPr>
          <w:lang w:val="en-US"/>
        </w:rPr>
        <w:t xml:space="preserve">. The source quanta emission rate can therefore be reversely </w:t>
      </w:r>
      <w:r w:rsidRPr="009C13F7">
        <w:rPr>
          <w:lang w:val="en-US"/>
        </w:rPr>
        <w:t xml:space="preserve">estimated </w:t>
      </w:r>
      <w:r w:rsidRPr="00653B79">
        <w:rPr>
          <w:lang w:val="en-US"/>
        </w:rPr>
        <w:t xml:space="preserve">to be </w:t>
      </w:r>
      <m:oMath>
        <m:sSubSup>
          <m:sSubSupPr>
            <m:ctrlPr>
              <w:rPr>
                <w:rFonts w:ascii="Cambria Math" w:hAnsi="Cambria Math"/>
                <w:lang w:val="en-US"/>
              </w:rPr>
            </m:ctrlPr>
          </m:sSubSupPr>
          <m:e>
            <m:r>
              <w:rPr>
                <w:rFonts w:ascii="Cambria Math" w:hAnsi="Cambria Math"/>
                <w:lang w:val="en-US"/>
              </w:rPr>
              <m:t>q</m:t>
            </m:r>
          </m:e>
          <m:sub>
            <m:sSub>
              <m:sSubPr>
                <m:ctrlPr>
                  <w:rPr>
                    <w:rFonts w:ascii="Cambria Math" w:hAnsi="Cambria Math"/>
                    <w:lang w:val="en-US"/>
                  </w:rPr>
                </m:ctrlPr>
              </m:sSubPr>
              <m:e>
                <m:r>
                  <w:rPr>
                    <w:rFonts w:ascii="Cambria Math" w:hAnsi="Cambria Math"/>
                    <w:lang w:val="en-US"/>
                  </w:rPr>
                  <m:t>t</m:t>
                </m:r>
              </m:e>
              <m:sub>
                <m:r>
                  <m:rPr>
                    <m:sty m:val="p"/>
                  </m:rPr>
                  <w:rPr>
                    <w:rFonts w:ascii="Cambria Math" w:hAnsi="Cambria Math"/>
                    <w:lang w:val="en-US"/>
                  </w:rPr>
                  <m:t>0</m:t>
                </m:r>
              </m:sub>
            </m:sSub>
          </m:sub>
          <m:sup>
            <m:r>
              <w:rPr>
                <w:rFonts w:ascii="Cambria Math" w:hAnsi="Cambria Math"/>
                <w:lang w:val="en-US"/>
              </w:rPr>
              <m:t>v</m:t>
            </m:r>
          </m:sup>
        </m:sSubSup>
      </m:oMath>
      <w:r w:rsidRPr="00653B79">
        <w:rPr>
          <w:lang w:val="en-US"/>
        </w:rPr>
        <w:t xml:space="preserve"> = </w:t>
      </w:r>
      <w:r>
        <w:rPr>
          <w:lang w:val="en-US"/>
        </w:rPr>
        <w:t>680</w:t>
      </w:r>
      <w:r w:rsidRPr="00653B79">
        <w:rPr>
          <w:lang w:val="en-US"/>
        </w:rPr>
        <w:t xml:space="preserve"> quanta per hour (q/hr)</w:t>
      </w:r>
      <w:r w:rsidR="006825FE">
        <w:rPr>
          <w:lang w:val="en-HK"/>
        </w:rPr>
        <w:t xml:space="preserve">, with the 95% confidence interval between </w:t>
      </w:r>
      <w:r w:rsidR="006825FE" w:rsidRPr="006825FE">
        <w:rPr>
          <w:lang w:val="en-HK"/>
        </w:rPr>
        <w:t xml:space="preserve">564 </w:t>
      </w:r>
      <w:r w:rsidR="006825FE">
        <w:rPr>
          <w:lang w:val="en-HK"/>
        </w:rPr>
        <w:t xml:space="preserve">and </w:t>
      </w:r>
      <w:r w:rsidR="006825FE" w:rsidRPr="006825FE">
        <w:rPr>
          <w:lang w:val="en-HK"/>
        </w:rPr>
        <w:t>850</w:t>
      </w:r>
      <w:r w:rsidR="006825FE">
        <w:rPr>
          <w:lang w:val="en-HK"/>
        </w:rPr>
        <w:t xml:space="preserve"> q/hr</w:t>
      </w:r>
      <w:r w:rsidRPr="00653B79">
        <w:rPr>
          <w:lang w:val="en-US"/>
        </w:rPr>
        <w:t xml:space="preserve">. The value was based on a five-day exposure period since the arrival of the index patient on Mar.19, 2003. </w:t>
      </w:r>
      <w:r w:rsidRPr="00D76A31">
        <w:rPr>
          <w:lang w:val="en-US"/>
        </w:rPr>
        <w:t xml:space="preserve">For a shorter exposure period, the estimated source quanta emission rate would have been </w:t>
      </w:r>
      <w:r w:rsidRPr="00DB68B0">
        <w:rPr>
          <w:lang w:val="en-US"/>
        </w:rPr>
        <w:t>higher.</w:t>
      </w:r>
    </w:p>
    <w:p w14:paraId="2F04E8C2" w14:textId="77777777" w:rsidR="00330EF2" w:rsidRPr="00CB2C92" w:rsidRDefault="00330EF2" w:rsidP="00330EF2">
      <w:pPr>
        <w:rPr>
          <w:lang w:val="en-US"/>
        </w:rPr>
      </w:pPr>
    </w:p>
    <w:p w14:paraId="6A622567" w14:textId="77777777" w:rsidR="00330EF2" w:rsidRPr="00653B79" w:rsidRDefault="00330EF2" w:rsidP="00330EF2">
      <w:pPr>
        <w:rPr>
          <w:lang w:val="en-US"/>
        </w:rPr>
      </w:pPr>
      <w:r>
        <w:rPr>
          <w:noProof/>
          <w:lang w:val="en-US"/>
        </w:rPr>
        <w:drawing>
          <wp:inline distT="0" distB="0" distL="0" distR="0" wp14:anchorId="66DF956B" wp14:editId="0483BFA7">
            <wp:extent cx="3768918" cy="2433099"/>
            <wp:effectExtent l="0" t="0" r="3175" b="571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cstate="print">
                      <a:extLst>
                        <a:ext uri="{28A0092B-C50C-407E-A947-70E740481C1C}">
                          <a14:useLocalDpi xmlns:a14="http://schemas.microsoft.com/office/drawing/2010/main"/>
                        </a:ext>
                      </a:extLst>
                    </a:blip>
                    <a:srcRect/>
                    <a:stretch/>
                  </pic:blipFill>
                  <pic:spPr bwMode="auto">
                    <a:xfrm>
                      <a:off x="0" y="0"/>
                      <a:ext cx="3768918" cy="2433099"/>
                    </a:xfrm>
                    <a:prstGeom prst="rect">
                      <a:avLst/>
                    </a:prstGeom>
                    <a:ln>
                      <a:noFill/>
                    </a:ln>
                    <a:extLst>
                      <a:ext uri="{53640926-AAD7-44D8-BBD7-CCE9431645EC}">
                        <a14:shadowObscured xmlns:a14="http://schemas.microsoft.com/office/drawing/2010/main"/>
                      </a:ext>
                    </a:extLst>
                  </pic:spPr>
                </pic:pic>
              </a:graphicData>
            </a:graphic>
          </wp:inline>
        </w:drawing>
      </w:r>
    </w:p>
    <w:p w14:paraId="5241D2D5" w14:textId="37FEE0E9" w:rsidR="00330EF2" w:rsidRPr="007010BC" w:rsidRDefault="009510A1" w:rsidP="00330EF2">
      <w:pPr>
        <w:pStyle w:val="Caption"/>
        <w:rPr>
          <w:lang w:val="en-US"/>
        </w:rPr>
      </w:pPr>
      <w:r>
        <w:rPr>
          <w:noProof/>
          <w:lang w:val="en-US"/>
        </w:rPr>
        <w:lastRenderedPageBreak/>
        <w:t>Fig. A3</w:t>
      </w:r>
      <w:r w:rsidR="00330EF2" w:rsidRPr="00653B79">
        <w:rPr>
          <w:lang w:val="en-US"/>
        </w:rPr>
        <w:t xml:space="preserve"> Scatter plot of SARS infection versus predicted inhaled viral exposure during the </w:t>
      </w:r>
      <w:r w:rsidR="00330EF2">
        <w:rPr>
          <w:lang w:val="en-US"/>
        </w:rPr>
        <w:t>5-day</w:t>
      </w:r>
      <w:r w:rsidR="00330EF2" w:rsidRPr="00653B79">
        <w:rPr>
          <w:lang w:val="en-US"/>
        </w:rPr>
        <w:t xml:space="preserve"> period of exposure at apartment level </w:t>
      </w:r>
      <w:r w:rsidR="00330EF2" w:rsidRPr="00D76A31">
        <w:rPr>
          <w:lang w:val="en-US"/>
        </w:rPr>
        <w:t>during the SARS outbreak in Amoy Gardens. Each red dot represents one of the 1,056 apartment units i</w:t>
      </w:r>
      <w:r w:rsidR="00330EF2" w:rsidRPr="00F040F6">
        <w:rPr>
          <w:lang w:val="en-US"/>
        </w:rPr>
        <w:t xml:space="preserve">n Block B, C, D, E in Amoy Gardens Phase I. The predicted dose-response curve is shown </w:t>
      </w:r>
      <w:r w:rsidR="00330EF2" w:rsidRPr="00E64586">
        <w:rPr>
          <w:lang w:val="en-US"/>
        </w:rPr>
        <w:t xml:space="preserve">in blue line with 95% confidence interval. </w:t>
      </w:r>
    </w:p>
    <w:p w14:paraId="42421D3B" w14:textId="77777777" w:rsidR="00330EF2" w:rsidRPr="00653B79" w:rsidRDefault="00330EF2" w:rsidP="00330EF2">
      <w:pPr>
        <w:rPr>
          <w:lang w:val="en-US"/>
        </w:rPr>
      </w:pPr>
    </w:p>
    <w:p w14:paraId="7D6830D4" w14:textId="33A8461D" w:rsidR="00330EF2" w:rsidRPr="00653B79" w:rsidRDefault="00330EF2" w:rsidP="00330EF2">
      <w:pPr>
        <w:rPr>
          <w:lang w:val="en-US"/>
        </w:rPr>
      </w:pPr>
      <w:r w:rsidRPr="00653B79">
        <w:rPr>
          <w:lang w:val="en-US"/>
        </w:rPr>
        <w:t xml:space="preserve">The estimated source quanta emission rate </w:t>
      </w:r>
      <m:oMath>
        <m:sSubSup>
          <m:sSubSupPr>
            <m:ctrlPr>
              <w:rPr>
                <w:rFonts w:ascii="Cambria Math" w:hAnsi="Cambria Math"/>
                <w:lang w:val="en-US"/>
              </w:rPr>
            </m:ctrlPr>
          </m:sSubSupPr>
          <m:e>
            <m:r>
              <w:rPr>
                <w:rFonts w:ascii="Cambria Math" w:hAnsi="Cambria Math"/>
                <w:lang w:val="en-US"/>
              </w:rPr>
              <m:t>q</m:t>
            </m:r>
          </m:e>
          <m:sub>
            <m:sSub>
              <m:sSubPr>
                <m:ctrlPr>
                  <w:rPr>
                    <w:rFonts w:ascii="Cambria Math" w:hAnsi="Cambria Math"/>
                    <w:lang w:val="en-US"/>
                  </w:rPr>
                </m:ctrlPr>
              </m:sSubPr>
              <m:e>
                <m:r>
                  <w:rPr>
                    <w:rFonts w:ascii="Cambria Math" w:hAnsi="Cambria Math"/>
                    <w:lang w:val="en-US"/>
                  </w:rPr>
                  <m:t>t</m:t>
                </m:r>
              </m:e>
              <m:sub>
                <m:r>
                  <m:rPr>
                    <m:sty m:val="p"/>
                  </m:rPr>
                  <w:rPr>
                    <w:rFonts w:ascii="Cambria Math" w:hAnsi="Cambria Math"/>
                    <w:lang w:val="en-US"/>
                  </w:rPr>
                  <m:t>0</m:t>
                </m:r>
              </m:sub>
            </m:sSub>
          </m:sub>
          <m:sup>
            <m:r>
              <w:rPr>
                <w:rFonts w:ascii="Cambria Math" w:hAnsi="Cambria Math"/>
                <w:lang w:val="en-US"/>
              </w:rPr>
              <m:t>v</m:t>
            </m:r>
          </m:sup>
        </m:sSubSup>
      </m:oMath>
      <w:r w:rsidRPr="00653B79">
        <w:rPr>
          <w:lang w:val="en-US"/>
        </w:rPr>
        <w:t xml:space="preserve"> of </w:t>
      </w:r>
      <w:r>
        <w:rPr>
          <w:lang w:val="en-US"/>
        </w:rPr>
        <w:t>680</w:t>
      </w:r>
      <w:r w:rsidRPr="00653B79">
        <w:rPr>
          <w:lang w:val="en-US"/>
        </w:rPr>
        <w:t xml:space="preserve"> q/hr</w:t>
      </w:r>
      <w:r w:rsidR="003A5946">
        <w:rPr>
          <w:lang w:val="en-US"/>
        </w:rPr>
        <w:t xml:space="preserve"> </w:t>
      </w:r>
      <w:r w:rsidRPr="00653B79">
        <w:rPr>
          <w:lang w:val="en-US"/>
        </w:rPr>
        <w:t xml:space="preserve">for SARS is considerably higher when compared with existing estimates of 28 q/hr in a hospital setting </w:t>
      </w:r>
      <w:r w:rsidRPr="00653B79">
        <w:rPr>
          <w:lang w:val="en-US"/>
        </w:rPr>
        <w:fldChar w:fldCharType="begin" w:fldLock="1"/>
      </w:r>
      <w:r w:rsidRPr="00653B79">
        <w:rPr>
          <w:lang w:val="en-US"/>
        </w:rPr>
        <w:instrText>ADDIN CSL_CITATION {"citationItems":[{"id":"ITEM-1","itemData":{"DOI":"10.1111/j.1539-6924.2005.00663.x","ISSN":"02724332","PMID":"16297217","abstract":"The purpose of this article is to quantify the public health risk associated with inhalation of indoor airborne infection based on a probabilistic transmission dynamic modeling approach. We used the Wells-Riley mathematical model to estimate (1) the CO2 exposure concentrations in indoor environments where cases of inhalation airborne infection occurred based on reported epidemiological data and epidemic curves for influenza and severe acute respiratory syndrome (SARS), (2) the basic reproductive number, R0 (i.e., expected number of secondary cases on the introduction of a single infected individual in a completely susceptible population) and its variability in a shared indoor airspace, and (3) the risk for infection in various scenarios of exposure in a susceptible population for a range of R0. We also employ a standard susceptible-infectious-recovered (SIR) structure to relate Wells-Riley model derived R0 to a transmission parameter to implicate the relationships between indoor carbon dioxide concentration and contact rate. We estimate that a single case of SARS will infect 2.6 secondary cases on average in a population from nosocomial transmission, whereas less than 1 secondary infection was generated per case among school children. We also obtained an estimate of the basic reproductive number for influenza in a commercial airliner: the median value is 10.4. We suggest that improving the building air cleaning rate to lower the critical rebreathed fraction of indoor air can decrease transmission rate. Here, we show that virulence of the organism factors, infectious quantum generation rates (quanta/s by an infected person), and host factors determine the risk for inhalation of indoor airborne infection. © 2005 Society for Risk Analysis.","author":[{"dropping-particle":"","family":"Liao","given":"Chung Min","non-dropping-particle":"","parse-names":false,"suffix":""},{"dropping-particle":"","family":"Chang","given":"Chao Fang","non-dropping-particle":"","parse-names":false,"suffix":""},{"dropping-particle":"","family":"Liang","given":"Huang Min","non-dropping-particle":"","parse-names":false,"suffix":""}],"container-title":"Risk Analysis","id":"ITEM-1","issue":"5","issued":{"date-parts":[["2005"]]},"page":"1097-1107","title":"A probabilistic transmission dynamic model to assess indoor airborne infection risks","type":"article-journal","volume":"25"},"uris":["http://www.mendeley.com/documents/?uuid=516337ac-aa30-4fa4-8b20-07fafa8e9a6a"]}],"mendeley":{"formattedCitation":"(Liao, Chang and Liang, 2005)","plainTextFormattedCitation":"(Liao, Chang and Liang, 2005)","previouslyFormattedCitation":"(Liao, Chang and Liang, 2005)"},"properties":{"noteIndex":0},"schema":"https://github.com/citation-style-language/schema/raw/master/csl-citation.json"}</w:instrText>
      </w:r>
      <w:r w:rsidRPr="00653B79">
        <w:rPr>
          <w:lang w:val="en-US"/>
        </w:rPr>
        <w:fldChar w:fldCharType="separate"/>
      </w:r>
      <w:r w:rsidRPr="00653B79">
        <w:rPr>
          <w:noProof/>
          <w:lang w:val="en-US"/>
        </w:rPr>
        <w:t>(Liao, Chang and Liang, 2005)</w:t>
      </w:r>
      <w:r w:rsidRPr="00653B79">
        <w:rPr>
          <w:lang w:val="en-US"/>
        </w:rPr>
        <w:fldChar w:fldCharType="end"/>
      </w:r>
      <w:r>
        <w:rPr>
          <w:lang w:val="en-US"/>
        </w:rPr>
        <w:t>, although it is within the range of estimates in</w:t>
      </w:r>
      <w:r w:rsidR="00093028">
        <w:rPr>
          <w:lang w:val="en-US"/>
        </w:rPr>
        <w:t xml:space="preserve"> </w:t>
      </w:r>
      <w:r w:rsidRPr="00653B79">
        <w:rPr>
          <w:lang w:val="en-US"/>
        </w:rPr>
        <w:t xml:space="preserve">the </w:t>
      </w:r>
      <w:r w:rsidR="006825FE">
        <w:rPr>
          <w:lang w:val="en-US"/>
        </w:rPr>
        <w:t xml:space="preserve">previously mentioned </w:t>
      </w:r>
      <w:r w:rsidRPr="00653B79">
        <w:rPr>
          <w:lang w:val="en-US"/>
        </w:rPr>
        <w:t>COVID-19 literature</w:t>
      </w:r>
      <w:r>
        <w:rPr>
          <w:lang w:val="en-US"/>
        </w:rPr>
        <w:t xml:space="preserve">. </w:t>
      </w:r>
      <w:r w:rsidRPr="00653B79">
        <w:rPr>
          <w:lang w:val="en-US"/>
        </w:rPr>
        <w:t xml:space="preserve">The high values of </w:t>
      </w:r>
      <m:oMath>
        <m:sSubSup>
          <m:sSubSupPr>
            <m:ctrlPr>
              <w:rPr>
                <w:rFonts w:ascii="Cambria Math" w:hAnsi="Cambria Math"/>
                <w:lang w:val="en-US"/>
              </w:rPr>
            </m:ctrlPr>
          </m:sSubSupPr>
          <m:e>
            <m:r>
              <w:rPr>
                <w:rFonts w:ascii="Cambria Math" w:hAnsi="Cambria Math"/>
                <w:lang w:val="en-US"/>
              </w:rPr>
              <m:t>q</m:t>
            </m:r>
          </m:e>
          <m:sub>
            <m:sSub>
              <m:sSubPr>
                <m:ctrlPr>
                  <w:rPr>
                    <w:rFonts w:ascii="Cambria Math" w:hAnsi="Cambria Math"/>
                    <w:lang w:val="en-US"/>
                  </w:rPr>
                </m:ctrlPr>
              </m:sSubPr>
              <m:e>
                <m:r>
                  <w:rPr>
                    <w:rFonts w:ascii="Cambria Math" w:hAnsi="Cambria Math"/>
                    <w:lang w:val="en-US"/>
                  </w:rPr>
                  <m:t>t</m:t>
                </m:r>
              </m:e>
              <m:sub>
                <m:r>
                  <m:rPr>
                    <m:sty m:val="p"/>
                  </m:rPr>
                  <w:rPr>
                    <w:rFonts w:ascii="Cambria Math" w:hAnsi="Cambria Math"/>
                    <w:lang w:val="en-US"/>
                  </w:rPr>
                  <m:t>0</m:t>
                </m:r>
              </m:sub>
            </m:sSub>
          </m:sub>
          <m:sup>
            <m:r>
              <w:rPr>
                <w:rFonts w:ascii="Cambria Math" w:hAnsi="Cambria Math"/>
                <w:lang w:val="en-US"/>
              </w:rPr>
              <m:t>v</m:t>
            </m:r>
          </m:sup>
        </m:sSubSup>
      </m:oMath>
      <w:r w:rsidRPr="00653B79">
        <w:rPr>
          <w:lang w:val="en-US"/>
        </w:rPr>
        <w:t xml:space="preserve"> for the SARS outbreak in Amoy Gardens is partially attributable to the flawed toilet drainage system</w:t>
      </w:r>
      <w:r>
        <w:rPr>
          <w:lang w:val="en-US"/>
        </w:rPr>
        <w:t xml:space="preserve">: multiple studies </w:t>
      </w:r>
      <w:r w:rsidRPr="00653B79">
        <w:rPr>
          <w:lang w:val="en-US"/>
        </w:rPr>
        <w:t>(Yue et all, 2004)</w:t>
      </w:r>
      <w:r w:rsidRPr="00E64586">
        <w:rPr>
          <w:lang w:val="en-US"/>
        </w:rPr>
        <w:t xml:space="preserve"> </w:t>
      </w:r>
      <w:r w:rsidRPr="00653B79">
        <w:rPr>
          <w:lang w:val="en-US"/>
        </w:rPr>
        <w:fldChar w:fldCharType="begin" w:fldLock="1"/>
      </w:r>
      <w:r w:rsidRPr="00FA0C78">
        <w:rPr>
          <w:lang w:val="en-US"/>
        </w:rPr>
        <w:instrText>ADDIN CSL_CITATION {"citationItems":[{"id":"ITEM-1","itemData":{"DOI":"10.1142/9789812773395_0016","ISBN":"9789812773395","author":[{"dropping-particle":"","family":"Li","given":"Yuguo","non-dropping-particle":"","parse-names":false,"suffix":""},{"dropping-particle":"","family":"Qian","given":"Hua","non-dropping-particle":"","parse-names":false,"suffix":""},{"dropping-particle":"","family":"Yu","given":"Ignatius Tak Sun","non-dropping-particle":"","parse-names":false,"suffix":""},{"dropping-particle":"","family":"Wong","given":"Tze Wai","non-dropping-particle":"","parse-names":false,"suffix":""}],"container-title":"Population Dynamics and Infectious Diseases in Asia","editor":[{"dropping-particle":"","family":"Sleigh","given":"Adrian","non-dropping-particle":"","parse-names":false,"suffix":""},{"dropping-particle":"","family":"Leng","given":"Chee Heng","non-dropping-particle":"","parse-names":false,"suffix":""},{"dropping-particle":"","family":"Yeoh","given":"Brenda SA","non-dropping-particle":"","parse-names":false,"suffix":""},{"dropping-particle":"","family":"Hong","given":"Phua Kai","non-dropping-particle":"","parse-names":false,"suffix":""},{"dropping-particle":"","family":"Safman","given":"Rachel","non-dropping-particle":"","parse-names":false,"suffix":""}],"id":"ITEM-1","issued":{"date-parts":[["2006"]]},"page":"305–327","publisher":"World Scientific","title":"Probable roles of bio-aerosol dispersion in the SARS outbreak in amoy gardens, Hong Kong","type":"chapter"},"uris":["http://www.mendeley.com/documents/?uuid=59469837-72b4-4ae8-ac05-5a153afa64a4"]}],"mendeley":{"formattedCitation":"(Li &lt;i&gt;et al.&lt;/i&gt;, 2006)","plainTextFormattedCitation":"(Li et al., 2006)","previouslyFormattedCitation":"(Li &lt;i&gt;et al.&lt;/i&gt;, 2006)"},"properties":{"noteIndex":0},"schema":"https://github.com/citation-style-language/schema/raw/master/csl-citation.json"}</w:instrText>
      </w:r>
      <w:r w:rsidRPr="00653B79">
        <w:rPr>
          <w:lang w:val="en-US"/>
        </w:rPr>
        <w:fldChar w:fldCharType="separate"/>
      </w:r>
      <w:r w:rsidRPr="00653B79">
        <w:rPr>
          <w:noProof/>
          <w:lang w:val="en-US"/>
        </w:rPr>
        <w:t xml:space="preserve">(Li </w:t>
      </w:r>
      <w:r w:rsidRPr="00653B79">
        <w:rPr>
          <w:i/>
          <w:noProof/>
          <w:lang w:val="en-US"/>
        </w:rPr>
        <w:t>et al.</w:t>
      </w:r>
      <w:r w:rsidRPr="00653B79">
        <w:rPr>
          <w:noProof/>
          <w:lang w:val="en-US"/>
        </w:rPr>
        <w:t>, 2006)</w:t>
      </w:r>
      <w:r w:rsidRPr="00653B79">
        <w:rPr>
          <w:lang w:val="en-US"/>
        </w:rPr>
        <w:fldChar w:fldCharType="end"/>
      </w:r>
      <w:r>
        <w:rPr>
          <w:lang w:val="en-US"/>
        </w:rPr>
        <w:t xml:space="preserve"> pointed to the generation of </w:t>
      </w:r>
      <w:r w:rsidRPr="00653B79">
        <w:rPr>
          <w:lang w:val="en-US"/>
        </w:rPr>
        <w:t xml:space="preserve">large quantities of </w:t>
      </w:r>
      <w:r>
        <w:rPr>
          <w:lang w:val="en-US"/>
        </w:rPr>
        <w:t>fecal</w:t>
      </w:r>
      <w:r w:rsidRPr="00653B79">
        <w:rPr>
          <w:lang w:val="en-US"/>
        </w:rPr>
        <w:t>-aerosols</w:t>
      </w:r>
      <w:r>
        <w:rPr>
          <w:lang w:val="en-US"/>
        </w:rPr>
        <w:t xml:space="preserve"> via toilet flushing by the primary patient during the Amoy Gardens SARS outbreak. The aerosols were </w:t>
      </w:r>
      <w:r w:rsidRPr="00D76A31">
        <w:rPr>
          <w:lang w:val="en-US"/>
        </w:rPr>
        <w:t>drawn back to the apartment through a dried-out U-trap of floor drain, driven by the backpressure and the suction of the exhaust fans</w:t>
      </w:r>
      <w:r>
        <w:rPr>
          <w:lang w:val="en-US"/>
        </w:rPr>
        <w:t xml:space="preserve">, as it is evidenced in several simulation and tracer gas studies </w:t>
      </w:r>
      <w:r w:rsidRPr="00653B79">
        <w:rPr>
          <w:lang w:val="en-US"/>
        </w:rPr>
        <w:fldChar w:fldCharType="begin" w:fldLock="1"/>
      </w:r>
      <w:r w:rsidR="004F7CEC">
        <w:rPr>
          <w:lang w:val="en-US"/>
        </w:rPr>
        <w:instrText>ADDIN CSL_CITATION {"citationItems":[{"id":"ITEM-1","itemData":{"DOI":"10.1142/9789812773395_0016","ISBN":"9789812773395","author":[{"dropping-particle":"","family":"Li","given":"Yuguo","non-dropping-particle":"","parse-names":false,"suffix":""},{"dropping-particle":"","family":"Qian","given":"Hua","non-dropping-particle":"","parse-names":false,"suffix":""},{"dropping-particle":"","family":"Yu","given":"Ignatius Tak Sun","non-dropping-particle":"","parse-names":false,"suffix":""},{"dropping-particle":"","family":"Wong","given":"Tze Wai","non-dropping-particle":"","parse-names":false,"suffix":""}],"container-title":"Population Dynamics and Infectious Diseases in Asia","editor":[{"dropping-particle":"","family":"Sleigh","given":"Adrian","non-dropping-particle":"","parse-names":false,"suffix":""},{"dropping-particle":"","family":"Leng","given":"Chee Heng","non-dropping-particle":"","parse-names":false,"suffix":""},{"dropping-particle":"","family":"Yeoh","given":"Brenda SA","non-dropping-particle":"","parse-names":false,"suffix":""},{"dropping-particle":"","family":"Hong","given":"Phua Kai","non-dropping-particle":"","parse-names":false,"suffix":""},{"dropping-particle":"","family":"Safman","given":"Rachel","non-dropping-particle":"","parse-names":false,"suffix":""}],"id":"ITEM-1","issued":{"date-parts":[["2006"]]},"page":"305–327","publisher":"World Scientific","title":"Probable roles of bio-aerosol dispersion in the SARS outbreak in amoy gardens, Hong Kong","type":"chapter"},"uris":["http://www.mendeley.com/documents/?uuid=59469837-72b4-4ae8-ac05-5a153afa64a4"]},{"id":"ITEM-2","itemData":{"DOI":"10.7326/m20-0928","ISSN":"0003-4819","PMID":"32870707","abstract":"BACKGROUND The role of fecal aerosols in the transmission of severe acute respiratory syndrome coronavirus 2 has been suspected. OBJECTIVE To investigate the temporal and spatial distributions of 3 infected families in a high-rise apartment building and examine the associated environment variables to verify the role of fecal aerosols. DESIGN Epidemiologic survey and quantitative reverse transcriptase polymerase chain reaction analyses on throat swabs from the participants; 237 surface and air samples from 11 of the 83 flats in the building, public areas, and building drainage systems; and tracer gas released into bathrooms as a surrogate for virus-laden aerosols in the drainage system. SETTING A high-rise apartment building in Guangzhou, China. PARTICIPANTS 9 infected patients, 193 other residents of the building, and 24 members of the building's management staff. MEASUREMENTS Locations of infected flats and positive environmental samples, and spread of virus-laden aerosols. RESULTS 9 infected patients in 3 families were identified. The first family had a history of travel to the coronavirus disease 2019 (COVID-19) epicenter Wuhan, whereas the other 2 families had no travel history and a later onset of symptoms. No evidence was found for transmission via the elevator or elsewhere. The families lived in 3 vertically aligned flats connected by drainage pipes in the master bathrooms. Both the observed infections and the locations of positive environmental samples are consistent with the vertical spread of virus-laden aerosols via these stacks and vents. LIMITATION Inability to determine whether the water seals were dried out in the flats of the infected families. CONCLUSION On the basis of circumstantial evidence, fecal aerosol transmission may have caused the community outbreak of COVID-19 in this high-rise building. PRIMARY FUNDING SOURCE Key-Area Research and Development Program of Guangdong Province and the Research Grants Council of Hong Kong.","author":[{"dropping-particle":"","family":"Kang","given":"Min","non-dropping-particle":"","parse-names":false,"suffix":""},{"dropping-particle":"","family":"Wei","given":"Jianjian","non-dropping-particle":"","parse-names":false,"suffix":""},{"dropping-particle":"","family":"Yuan","given":"Jun","non-dropping-particle":"","parse-names":false,"suffix":""},{"dropping-particle":"","family":"Guo","given":"Juxuan","non-dropping-particle":"","parse-names":false,"suffix":""},{"dropping-particle":"","family":"Zhang","given":"Yingtao","non-dropping-particle":"","parse-names":false,"suffix":""},{"dropping-particle":"","family":"Hang","given":"Jian","non-dropping-particle":"","parse-names":false,"suffix":""},{"dropping-particle":"","family":"Qu","given":"Yabin","non-dropping-particle":"","parse-names":false,"suffix":""},{"dropping-particle":"","family":"Qian","given":"Hua","non-dropping-particle":"","parse-names":false,"suffix":""},{"dropping-particle":"","family":"Zhuang","given":"Yali","non-dropping-particle":"","parse-names":false,"suffix":""},{"dropping-particle":"","family":"Chen","given":"Xuguang","non-dropping-particle":"","parse-names":false,"suffix":""},{"dropping-particle":"","family":"Peng","given":"Xin","non-dropping-particle":"","parse-names":false,"suffix":""},{"dropping-particle":"","family":"Shi","given":"Tongxing","non-dropping-particle":"","parse-names":false,"suffix":""},{"dropping-particle":"","family":"Wang","given":"Jun","non-dropping-particle":"","parse-names":false,"suffix":""},{"dropping-particle":"","family":"Wu","given":"Jie","non-dropping-particle":"","parse-names":false,"suffix":""},{"dropping-particle":"","family":"Song","given":"Tie","non-dropping-particle":"","parse-names":false,"suffix":""},{"dropping-particle":"","family":"He","given":"Jianfeng","non-dropping-particle":"","parse-names":false,"suffix":""},{"dropping-particle":"","family":"Li","given":"Yuguo","non-dropping-particle":"","parse-names":false,"suffix":""},{"dropping-particle":"","family":"Zhong","given":"Nanshan","non-dropping-particle":"","parse-names":false,"suffix":""}],"container-title":"Annals of Internal Medicine","id":"ITEM-2","issued":{"date-parts":[["2020"]]},"title":"Probable Evidence of Fecal Aerosol Transmission of SARS-CoV-2 in a High-Rise Building","type":"article-journal"},"uris":["http://www.mendeley.com/documents/?uuid=b1269794-bf14-4a9b-8500-9b7f2cbf591a"]}],"mendeley":{"formattedCitation":"(Li &lt;i&gt;et al.&lt;/i&gt;, 2006; Kang &lt;i&gt;et al.&lt;/i&gt;, 2020)","plainTextFormattedCitation":"(Li et al., 2006; Kang et al., 2020)","previouslyFormattedCitation":"(Li &lt;i&gt;et al.&lt;/i&gt;, 2006; Kang &lt;i&gt;et al.&lt;/i&gt;, 2020)"},"properties":{"noteIndex":0},"schema":"https://github.com/citation-style-language/schema/raw/master/csl-citation.json"}</w:instrText>
      </w:r>
      <w:r w:rsidRPr="00653B79">
        <w:rPr>
          <w:lang w:val="en-US"/>
        </w:rPr>
        <w:fldChar w:fldCharType="separate"/>
      </w:r>
      <w:r w:rsidRPr="00E64586">
        <w:rPr>
          <w:noProof/>
          <w:lang w:val="en-US"/>
        </w:rPr>
        <w:t xml:space="preserve">(Li </w:t>
      </w:r>
      <w:r w:rsidRPr="00E64586">
        <w:rPr>
          <w:i/>
          <w:noProof/>
          <w:lang w:val="en-US"/>
        </w:rPr>
        <w:t>et al.</w:t>
      </w:r>
      <w:r w:rsidRPr="00E64586">
        <w:rPr>
          <w:noProof/>
          <w:lang w:val="en-US"/>
        </w:rPr>
        <w:t xml:space="preserve">, 2006; Kang </w:t>
      </w:r>
      <w:r w:rsidRPr="00E64586">
        <w:rPr>
          <w:i/>
          <w:noProof/>
          <w:lang w:val="en-US"/>
        </w:rPr>
        <w:t>et al.</w:t>
      </w:r>
      <w:r w:rsidRPr="00E64586">
        <w:rPr>
          <w:noProof/>
          <w:lang w:val="en-US"/>
        </w:rPr>
        <w:t>, 2020)</w:t>
      </w:r>
      <w:r w:rsidRPr="00653B79">
        <w:rPr>
          <w:lang w:val="en-US"/>
        </w:rPr>
        <w:fldChar w:fldCharType="end"/>
      </w:r>
      <w:r>
        <w:rPr>
          <w:lang w:val="en-US"/>
        </w:rPr>
        <w:t>.</w:t>
      </w:r>
      <w:r w:rsidRPr="00D76A31">
        <w:rPr>
          <w:lang w:val="en-US"/>
        </w:rPr>
        <w:t xml:space="preserve"> </w:t>
      </w:r>
      <w:r w:rsidRPr="00653B79">
        <w:rPr>
          <w:lang w:val="en-US"/>
        </w:rPr>
        <w:t xml:space="preserve">Such flaws in the toilet drainage system were not found in the COVID-19 outbreak in the Luk Chuen House </w:t>
      </w:r>
      <w:r w:rsidRPr="00653B79">
        <w:rPr>
          <w:lang w:val="en-US"/>
        </w:rPr>
        <w:fldChar w:fldCharType="begin" w:fldLock="1"/>
      </w:r>
      <w:r w:rsidRPr="00653B79">
        <w:rPr>
          <w:lang w:val="en-US"/>
        </w:rPr>
        <w:instrText>ADDIN CSL_CITATION {"citationItems":[{"id":"ITEM-1","itemData":{"author":[{"dropping-particle":"","family":"ON.CC","given":"","non-dropping-particle":"","parse-names":false,"suffix":""}],"container-title":"Oriental Daily News","id":"ITEM-1","issued":{"date-parts":[["2020","6","2"]]},"publisher-place":"Hong Kong","title":"Luk Chuen House Infections Possibly Transmissed via Public Spaces","type":"article-newspaper"},"uris":["http://www.mendeley.com/documents/?uuid=2741ff54-2910-42f6-a4a8-2cfd1ad32138"]}],"mendeley":{"formattedCitation":"(ON.CC, 2020)","plainTextFormattedCitation":"(ON.CC, 2020)","previouslyFormattedCitation":"(ON.CC, 2020)"},"properties":{"noteIndex":0},"schema":"https://github.com/citation-style-language/schema/raw/master/csl-citation.json"}</w:instrText>
      </w:r>
      <w:r w:rsidRPr="00653B79">
        <w:rPr>
          <w:lang w:val="en-US"/>
        </w:rPr>
        <w:fldChar w:fldCharType="separate"/>
      </w:r>
      <w:r w:rsidRPr="00653B79">
        <w:rPr>
          <w:noProof/>
          <w:lang w:val="en-US"/>
        </w:rPr>
        <w:t>(ON.CC, 2020)</w:t>
      </w:r>
      <w:r w:rsidRPr="00653B79">
        <w:rPr>
          <w:lang w:val="en-US"/>
        </w:rPr>
        <w:fldChar w:fldCharType="end"/>
      </w:r>
      <w:r w:rsidRPr="00653B79">
        <w:rPr>
          <w:lang w:val="en-US"/>
        </w:rPr>
        <w:t>.</w:t>
      </w:r>
    </w:p>
    <w:p w14:paraId="4ED08EC8" w14:textId="77777777" w:rsidR="00330EF2" w:rsidRPr="00F040F6" w:rsidRDefault="00330EF2" w:rsidP="007A0077">
      <w:pPr>
        <w:rPr>
          <w:lang w:val="en-US"/>
        </w:rPr>
      </w:pPr>
    </w:p>
    <w:p w14:paraId="342997F9" w14:textId="7085BCEF" w:rsidR="001E0D16" w:rsidRPr="00653B79" w:rsidRDefault="001E0D16" w:rsidP="007A0077">
      <w:pPr>
        <w:rPr>
          <w:lang w:val="en-US"/>
        </w:rPr>
      </w:pPr>
    </w:p>
    <w:sectPr w:rsidR="001E0D16" w:rsidRPr="00653B79" w:rsidSect="004648DA">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6AB4C7" w14:textId="77777777" w:rsidR="005A25B0" w:rsidRDefault="005A25B0" w:rsidP="002667AE">
      <w:r>
        <w:separator/>
      </w:r>
    </w:p>
  </w:endnote>
  <w:endnote w:type="continuationSeparator" w:id="0">
    <w:p w14:paraId="3C21E165" w14:textId="77777777" w:rsidR="005A25B0" w:rsidRDefault="005A25B0" w:rsidP="002667AE">
      <w:r>
        <w:continuationSeparator/>
      </w:r>
    </w:p>
  </w:endnote>
  <w:endnote w:type="continuationNotice" w:id="1">
    <w:p w14:paraId="350E40B5" w14:textId="77777777" w:rsidR="005A25B0" w:rsidRDefault="005A25B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8F1344" w14:textId="77777777" w:rsidR="005A25B0" w:rsidRDefault="005A25B0" w:rsidP="002667AE">
      <w:r>
        <w:separator/>
      </w:r>
    </w:p>
  </w:footnote>
  <w:footnote w:type="continuationSeparator" w:id="0">
    <w:p w14:paraId="7CE8C130" w14:textId="77777777" w:rsidR="005A25B0" w:rsidRDefault="005A25B0" w:rsidP="002667AE">
      <w:r>
        <w:continuationSeparator/>
      </w:r>
    </w:p>
  </w:footnote>
  <w:footnote w:type="continuationNotice" w:id="1">
    <w:p w14:paraId="5953F772" w14:textId="77777777" w:rsidR="005A25B0" w:rsidRDefault="005A25B0"/>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E66AE9"/>
    <w:multiLevelType w:val="hybridMultilevel"/>
    <w:tmpl w:val="58F4FFB2"/>
    <w:lvl w:ilvl="0" w:tplc="3C090001">
      <w:start w:val="1"/>
      <w:numFmt w:val="bullet"/>
      <w:lvlText w:val=""/>
      <w:lvlJc w:val="left"/>
      <w:pPr>
        <w:ind w:left="720" w:hanging="360"/>
      </w:pPr>
      <w:rPr>
        <w:rFonts w:ascii="Symbol" w:hAnsi="Symbol"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1" w15:restartNumberingAfterBreak="0">
    <w:nsid w:val="1135582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13DB68FF"/>
    <w:multiLevelType w:val="multilevel"/>
    <w:tmpl w:val="D1A2C5F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14FB18E0"/>
    <w:multiLevelType w:val="hybridMultilevel"/>
    <w:tmpl w:val="11066568"/>
    <w:lvl w:ilvl="0" w:tplc="3C090001">
      <w:start w:val="1"/>
      <w:numFmt w:val="bullet"/>
      <w:lvlText w:val=""/>
      <w:lvlJc w:val="left"/>
      <w:pPr>
        <w:ind w:left="720" w:hanging="360"/>
      </w:pPr>
      <w:rPr>
        <w:rFonts w:ascii="Symbol" w:hAnsi="Symbol"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4" w15:restartNumberingAfterBreak="0">
    <w:nsid w:val="20922771"/>
    <w:multiLevelType w:val="multilevel"/>
    <w:tmpl w:val="D1A2C5F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23F94FF8"/>
    <w:multiLevelType w:val="hybridMultilevel"/>
    <w:tmpl w:val="243A0970"/>
    <w:lvl w:ilvl="0" w:tplc="86EA4674">
      <w:start w:val="1"/>
      <w:numFmt w:val="bullet"/>
      <w:lvlText w:val="•"/>
      <w:lvlJc w:val="left"/>
      <w:pPr>
        <w:tabs>
          <w:tab w:val="num" w:pos="720"/>
        </w:tabs>
        <w:ind w:left="720" w:hanging="360"/>
      </w:pPr>
      <w:rPr>
        <w:rFonts w:ascii="Arial" w:hAnsi="Arial" w:hint="default"/>
      </w:rPr>
    </w:lvl>
    <w:lvl w:ilvl="1" w:tplc="422CF44E" w:tentative="1">
      <w:start w:val="1"/>
      <w:numFmt w:val="bullet"/>
      <w:lvlText w:val="•"/>
      <w:lvlJc w:val="left"/>
      <w:pPr>
        <w:tabs>
          <w:tab w:val="num" w:pos="1440"/>
        </w:tabs>
        <w:ind w:left="1440" w:hanging="360"/>
      </w:pPr>
      <w:rPr>
        <w:rFonts w:ascii="Arial" w:hAnsi="Arial" w:hint="default"/>
      </w:rPr>
    </w:lvl>
    <w:lvl w:ilvl="2" w:tplc="D7C4F2A4" w:tentative="1">
      <w:start w:val="1"/>
      <w:numFmt w:val="bullet"/>
      <w:lvlText w:val="•"/>
      <w:lvlJc w:val="left"/>
      <w:pPr>
        <w:tabs>
          <w:tab w:val="num" w:pos="2160"/>
        </w:tabs>
        <w:ind w:left="2160" w:hanging="360"/>
      </w:pPr>
      <w:rPr>
        <w:rFonts w:ascii="Arial" w:hAnsi="Arial" w:hint="default"/>
      </w:rPr>
    </w:lvl>
    <w:lvl w:ilvl="3" w:tplc="24646538" w:tentative="1">
      <w:start w:val="1"/>
      <w:numFmt w:val="bullet"/>
      <w:lvlText w:val="•"/>
      <w:lvlJc w:val="left"/>
      <w:pPr>
        <w:tabs>
          <w:tab w:val="num" w:pos="2880"/>
        </w:tabs>
        <w:ind w:left="2880" w:hanging="360"/>
      </w:pPr>
      <w:rPr>
        <w:rFonts w:ascii="Arial" w:hAnsi="Arial" w:hint="default"/>
      </w:rPr>
    </w:lvl>
    <w:lvl w:ilvl="4" w:tplc="AA447BD4" w:tentative="1">
      <w:start w:val="1"/>
      <w:numFmt w:val="bullet"/>
      <w:lvlText w:val="•"/>
      <w:lvlJc w:val="left"/>
      <w:pPr>
        <w:tabs>
          <w:tab w:val="num" w:pos="3600"/>
        </w:tabs>
        <w:ind w:left="3600" w:hanging="360"/>
      </w:pPr>
      <w:rPr>
        <w:rFonts w:ascii="Arial" w:hAnsi="Arial" w:hint="default"/>
      </w:rPr>
    </w:lvl>
    <w:lvl w:ilvl="5" w:tplc="E0F6F7F0" w:tentative="1">
      <w:start w:val="1"/>
      <w:numFmt w:val="bullet"/>
      <w:lvlText w:val="•"/>
      <w:lvlJc w:val="left"/>
      <w:pPr>
        <w:tabs>
          <w:tab w:val="num" w:pos="4320"/>
        </w:tabs>
        <w:ind w:left="4320" w:hanging="360"/>
      </w:pPr>
      <w:rPr>
        <w:rFonts w:ascii="Arial" w:hAnsi="Arial" w:hint="default"/>
      </w:rPr>
    </w:lvl>
    <w:lvl w:ilvl="6" w:tplc="49C69C3C" w:tentative="1">
      <w:start w:val="1"/>
      <w:numFmt w:val="bullet"/>
      <w:lvlText w:val="•"/>
      <w:lvlJc w:val="left"/>
      <w:pPr>
        <w:tabs>
          <w:tab w:val="num" w:pos="5040"/>
        </w:tabs>
        <w:ind w:left="5040" w:hanging="360"/>
      </w:pPr>
      <w:rPr>
        <w:rFonts w:ascii="Arial" w:hAnsi="Arial" w:hint="default"/>
      </w:rPr>
    </w:lvl>
    <w:lvl w:ilvl="7" w:tplc="3BB4D986" w:tentative="1">
      <w:start w:val="1"/>
      <w:numFmt w:val="bullet"/>
      <w:lvlText w:val="•"/>
      <w:lvlJc w:val="left"/>
      <w:pPr>
        <w:tabs>
          <w:tab w:val="num" w:pos="5760"/>
        </w:tabs>
        <w:ind w:left="5760" w:hanging="360"/>
      </w:pPr>
      <w:rPr>
        <w:rFonts w:ascii="Arial" w:hAnsi="Arial" w:hint="default"/>
      </w:rPr>
    </w:lvl>
    <w:lvl w:ilvl="8" w:tplc="6BA40B50"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271D3909"/>
    <w:multiLevelType w:val="hybridMultilevel"/>
    <w:tmpl w:val="B5CCCFA0"/>
    <w:lvl w:ilvl="0" w:tplc="DBC24B14">
      <w:start w:val="1"/>
      <w:numFmt w:val="bullet"/>
      <w:lvlText w:val="•"/>
      <w:lvlJc w:val="left"/>
      <w:pPr>
        <w:tabs>
          <w:tab w:val="num" w:pos="720"/>
        </w:tabs>
        <w:ind w:left="720" w:hanging="360"/>
      </w:pPr>
      <w:rPr>
        <w:rFonts w:ascii="Arial" w:hAnsi="Arial" w:hint="default"/>
      </w:rPr>
    </w:lvl>
    <w:lvl w:ilvl="1" w:tplc="BFD621CC" w:tentative="1">
      <w:start w:val="1"/>
      <w:numFmt w:val="bullet"/>
      <w:lvlText w:val="•"/>
      <w:lvlJc w:val="left"/>
      <w:pPr>
        <w:tabs>
          <w:tab w:val="num" w:pos="1440"/>
        </w:tabs>
        <w:ind w:left="1440" w:hanging="360"/>
      </w:pPr>
      <w:rPr>
        <w:rFonts w:ascii="Arial" w:hAnsi="Arial" w:hint="default"/>
      </w:rPr>
    </w:lvl>
    <w:lvl w:ilvl="2" w:tplc="17767084" w:tentative="1">
      <w:start w:val="1"/>
      <w:numFmt w:val="bullet"/>
      <w:lvlText w:val="•"/>
      <w:lvlJc w:val="left"/>
      <w:pPr>
        <w:tabs>
          <w:tab w:val="num" w:pos="2160"/>
        </w:tabs>
        <w:ind w:left="2160" w:hanging="360"/>
      </w:pPr>
      <w:rPr>
        <w:rFonts w:ascii="Arial" w:hAnsi="Arial" w:hint="default"/>
      </w:rPr>
    </w:lvl>
    <w:lvl w:ilvl="3" w:tplc="0D560C9C" w:tentative="1">
      <w:start w:val="1"/>
      <w:numFmt w:val="bullet"/>
      <w:lvlText w:val="•"/>
      <w:lvlJc w:val="left"/>
      <w:pPr>
        <w:tabs>
          <w:tab w:val="num" w:pos="2880"/>
        </w:tabs>
        <w:ind w:left="2880" w:hanging="360"/>
      </w:pPr>
      <w:rPr>
        <w:rFonts w:ascii="Arial" w:hAnsi="Arial" w:hint="default"/>
      </w:rPr>
    </w:lvl>
    <w:lvl w:ilvl="4" w:tplc="312856E4" w:tentative="1">
      <w:start w:val="1"/>
      <w:numFmt w:val="bullet"/>
      <w:lvlText w:val="•"/>
      <w:lvlJc w:val="left"/>
      <w:pPr>
        <w:tabs>
          <w:tab w:val="num" w:pos="3600"/>
        </w:tabs>
        <w:ind w:left="3600" w:hanging="360"/>
      </w:pPr>
      <w:rPr>
        <w:rFonts w:ascii="Arial" w:hAnsi="Arial" w:hint="default"/>
      </w:rPr>
    </w:lvl>
    <w:lvl w:ilvl="5" w:tplc="F5066B16" w:tentative="1">
      <w:start w:val="1"/>
      <w:numFmt w:val="bullet"/>
      <w:lvlText w:val="•"/>
      <w:lvlJc w:val="left"/>
      <w:pPr>
        <w:tabs>
          <w:tab w:val="num" w:pos="4320"/>
        </w:tabs>
        <w:ind w:left="4320" w:hanging="360"/>
      </w:pPr>
      <w:rPr>
        <w:rFonts w:ascii="Arial" w:hAnsi="Arial" w:hint="default"/>
      </w:rPr>
    </w:lvl>
    <w:lvl w:ilvl="6" w:tplc="92821688" w:tentative="1">
      <w:start w:val="1"/>
      <w:numFmt w:val="bullet"/>
      <w:lvlText w:val="•"/>
      <w:lvlJc w:val="left"/>
      <w:pPr>
        <w:tabs>
          <w:tab w:val="num" w:pos="5040"/>
        </w:tabs>
        <w:ind w:left="5040" w:hanging="360"/>
      </w:pPr>
      <w:rPr>
        <w:rFonts w:ascii="Arial" w:hAnsi="Arial" w:hint="default"/>
      </w:rPr>
    </w:lvl>
    <w:lvl w:ilvl="7" w:tplc="C6AAE00A" w:tentative="1">
      <w:start w:val="1"/>
      <w:numFmt w:val="bullet"/>
      <w:lvlText w:val="•"/>
      <w:lvlJc w:val="left"/>
      <w:pPr>
        <w:tabs>
          <w:tab w:val="num" w:pos="5760"/>
        </w:tabs>
        <w:ind w:left="5760" w:hanging="360"/>
      </w:pPr>
      <w:rPr>
        <w:rFonts w:ascii="Arial" w:hAnsi="Arial" w:hint="default"/>
      </w:rPr>
    </w:lvl>
    <w:lvl w:ilvl="8" w:tplc="5BAAE5DA"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27B92A5E"/>
    <w:multiLevelType w:val="hybridMultilevel"/>
    <w:tmpl w:val="49860376"/>
    <w:lvl w:ilvl="0" w:tplc="3C090001">
      <w:start w:val="1"/>
      <w:numFmt w:val="bullet"/>
      <w:lvlText w:val=""/>
      <w:lvlJc w:val="left"/>
      <w:pPr>
        <w:ind w:left="720" w:hanging="360"/>
      </w:pPr>
      <w:rPr>
        <w:rFonts w:ascii="Symbol" w:hAnsi="Symbol"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8" w15:restartNumberingAfterBreak="0">
    <w:nsid w:val="33F171DF"/>
    <w:multiLevelType w:val="multilevel"/>
    <w:tmpl w:val="8C1CACB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42FA33ED"/>
    <w:multiLevelType w:val="hybridMultilevel"/>
    <w:tmpl w:val="96D033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88149BF"/>
    <w:multiLevelType w:val="multilevel"/>
    <w:tmpl w:val="D1A2C5F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4A3E7176"/>
    <w:multiLevelType w:val="hybridMultilevel"/>
    <w:tmpl w:val="2FEA773C"/>
    <w:lvl w:ilvl="0" w:tplc="3C090001">
      <w:start w:val="1"/>
      <w:numFmt w:val="bullet"/>
      <w:lvlText w:val=""/>
      <w:lvlJc w:val="left"/>
      <w:pPr>
        <w:ind w:left="720" w:hanging="360"/>
      </w:pPr>
      <w:rPr>
        <w:rFonts w:ascii="Symbol" w:hAnsi="Symbol"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12" w15:restartNumberingAfterBreak="0">
    <w:nsid w:val="50407326"/>
    <w:multiLevelType w:val="hybridMultilevel"/>
    <w:tmpl w:val="8C18F0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09C375A"/>
    <w:multiLevelType w:val="hybridMultilevel"/>
    <w:tmpl w:val="A03E101C"/>
    <w:lvl w:ilvl="0" w:tplc="3C090001">
      <w:start w:val="1"/>
      <w:numFmt w:val="bullet"/>
      <w:lvlText w:val=""/>
      <w:lvlJc w:val="left"/>
      <w:pPr>
        <w:ind w:left="720" w:hanging="360"/>
      </w:pPr>
      <w:rPr>
        <w:rFonts w:ascii="Symbol" w:hAnsi="Symbol"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14" w15:restartNumberingAfterBreak="0">
    <w:nsid w:val="58FA2AA6"/>
    <w:multiLevelType w:val="hybridMultilevel"/>
    <w:tmpl w:val="CFDCD3C2"/>
    <w:lvl w:ilvl="0" w:tplc="3C090001">
      <w:start w:val="1"/>
      <w:numFmt w:val="bullet"/>
      <w:lvlText w:val=""/>
      <w:lvlJc w:val="left"/>
      <w:pPr>
        <w:ind w:left="720" w:hanging="360"/>
      </w:pPr>
      <w:rPr>
        <w:rFonts w:ascii="Symbol" w:hAnsi="Symbol"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15" w15:restartNumberingAfterBreak="0">
    <w:nsid w:val="5A2466B4"/>
    <w:multiLevelType w:val="hybridMultilevel"/>
    <w:tmpl w:val="83469A30"/>
    <w:lvl w:ilvl="0" w:tplc="8B327FCA">
      <w:start w:val="1"/>
      <w:numFmt w:val="bullet"/>
      <w:lvlText w:val="•"/>
      <w:lvlJc w:val="left"/>
      <w:pPr>
        <w:tabs>
          <w:tab w:val="num" w:pos="720"/>
        </w:tabs>
        <w:ind w:left="720" w:hanging="360"/>
      </w:pPr>
      <w:rPr>
        <w:rFonts w:ascii="Arial" w:hAnsi="Arial" w:hint="default"/>
      </w:rPr>
    </w:lvl>
    <w:lvl w:ilvl="1" w:tplc="DEEEFC9E" w:tentative="1">
      <w:start w:val="1"/>
      <w:numFmt w:val="bullet"/>
      <w:lvlText w:val="•"/>
      <w:lvlJc w:val="left"/>
      <w:pPr>
        <w:tabs>
          <w:tab w:val="num" w:pos="1440"/>
        </w:tabs>
        <w:ind w:left="1440" w:hanging="360"/>
      </w:pPr>
      <w:rPr>
        <w:rFonts w:ascii="Arial" w:hAnsi="Arial" w:hint="default"/>
      </w:rPr>
    </w:lvl>
    <w:lvl w:ilvl="2" w:tplc="D6D06E34" w:tentative="1">
      <w:start w:val="1"/>
      <w:numFmt w:val="bullet"/>
      <w:lvlText w:val="•"/>
      <w:lvlJc w:val="left"/>
      <w:pPr>
        <w:tabs>
          <w:tab w:val="num" w:pos="2160"/>
        </w:tabs>
        <w:ind w:left="2160" w:hanging="360"/>
      </w:pPr>
      <w:rPr>
        <w:rFonts w:ascii="Arial" w:hAnsi="Arial" w:hint="default"/>
      </w:rPr>
    </w:lvl>
    <w:lvl w:ilvl="3" w:tplc="4656B900" w:tentative="1">
      <w:start w:val="1"/>
      <w:numFmt w:val="bullet"/>
      <w:lvlText w:val="•"/>
      <w:lvlJc w:val="left"/>
      <w:pPr>
        <w:tabs>
          <w:tab w:val="num" w:pos="2880"/>
        </w:tabs>
        <w:ind w:left="2880" w:hanging="360"/>
      </w:pPr>
      <w:rPr>
        <w:rFonts w:ascii="Arial" w:hAnsi="Arial" w:hint="default"/>
      </w:rPr>
    </w:lvl>
    <w:lvl w:ilvl="4" w:tplc="BAAE167E" w:tentative="1">
      <w:start w:val="1"/>
      <w:numFmt w:val="bullet"/>
      <w:lvlText w:val="•"/>
      <w:lvlJc w:val="left"/>
      <w:pPr>
        <w:tabs>
          <w:tab w:val="num" w:pos="3600"/>
        </w:tabs>
        <w:ind w:left="3600" w:hanging="360"/>
      </w:pPr>
      <w:rPr>
        <w:rFonts w:ascii="Arial" w:hAnsi="Arial" w:hint="default"/>
      </w:rPr>
    </w:lvl>
    <w:lvl w:ilvl="5" w:tplc="52BA28E4" w:tentative="1">
      <w:start w:val="1"/>
      <w:numFmt w:val="bullet"/>
      <w:lvlText w:val="•"/>
      <w:lvlJc w:val="left"/>
      <w:pPr>
        <w:tabs>
          <w:tab w:val="num" w:pos="4320"/>
        </w:tabs>
        <w:ind w:left="4320" w:hanging="360"/>
      </w:pPr>
      <w:rPr>
        <w:rFonts w:ascii="Arial" w:hAnsi="Arial" w:hint="default"/>
      </w:rPr>
    </w:lvl>
    <w:lvl w:ilvl="6" w:tplc="0A8C08EE" w:tentative="1">
      <w:start w:val="1"/>
      <w:numFmt w:val="bullet"/>
      <w:lvlText w:val="•"/>
      <w:lvlJc w:val="left"/>
      <w:pPr>
        <w:tabs>
          <w:tab w:val="num" w:pos="5040"/>
        </w:tabs>
        <w:ind w:left="5040" w:hanging="360"/>
      </w:pPr>
      <w:rPr>
        <w:rFonts w:ascii="Arial" w:hAnsi="Arial" w:hint="default"/>
      </w:rPr>
    </w:lvl>
    <w:lvl w:ilvl="7" w:tplc="EA624B88" w:tentative="1">
      <w:start w:val="1"/>
      <w:numFmt w:val="bullet"/>
      <w:lvlText w:val="•"/>
      <w:lvlJc w:val="left"/>
      <w:pPr>
        <w:tabs>
          <w:tab w:val="num" w:pos="5760"/>
        </w:tabs>
        <w:ind w:left="5760" w:hanging="360"/>
      </w:pPr>
      <w:rPr>
        <w:rFonts w:ascii="Arial" w:hAnsi="Arial" w:hint="default"/>
      </w:rPr>
    </w:lvl>
    <w:lvl w:ilvl="8" w:tplc="38F6B88E"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5D78081E"/>
    <w:multiLevelType w:val="hybridMultilevel"/>
    <w:tmpl w:val="3738B3B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14C5E86"/>
    <w:multiLevelType w:val="hybridMultilevel"/>
    <w:tmpl w:val="0B565778"/>
    <w:lvl w:ilvl="0" w:tplc="D4345762">
      <w:start w:val="1"/>
      <w:numFmt w:val="bullet"/>
      <w:pStyle w:val="List1"/>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65704751"/>
    <w:multiLevelType w:val="multilevel"/>
    <w:tmpl w:val="0409001F"/>
    <w:lvl w:ilvl="0">
      <w:start w:val="1"/>
      <w:numFmt w:val="decimal"/>
      <w:lvlText w:val="%1."/>
      <w:lvlJc w:val="left"/>
      <w:pPr>
        <w:ind w:left="1080" w:hanging="360"/>
      </w:pPr>
    </w:lvl>
    <w:lvl w:ilvl="1">
      <w:start w:val="1"/>
      <w:numFmt w:val="decimal"/>
      <w:lvlText w:val="%1.%2."/>
      <w:lvlJc w:val="left"/>
      <w:pPr>
        <w:ind w:left="1512" w:hanging="432"/>
      </w:pPr>
    </w:lvl>
    <w:lvl w:ilvl="2">
      <w:start w:val="1"/>
      <w:numFmt w:val="decimal"/>
      <w:lvlText w:val="%1.%2.%3."/>
      <w:lvlJc w:val="left"/>
      <w:pPr>
        <w:ind w:left="1944" w:hanging="504"/>
      </w:pPr>
    </w:lvl>
    <w:lvl w:ilvl="3">
      <w:start w:val="1"/>
      <w:numFmt w:val="decimal"/>
      <w:lvlText w:val="%1.%2.%3.%4."/>
      <w:lvlJc w:val="left"/>
      <w:pPr>
        <w:ind w:left="2448" w:hanging="648"/>
      </w:pPr>
    </w:lvl>
    <w:lvl w:ilvl="4">
      <w:start w:val="1"/>
      <w:numFmt w:val="decimal"/>
      <w:lvlText w:val="%1.%2.%3.%4.%5."/>
      <w:lvlJc w:val="left"/>
      <w:pPr>
        <w:ind w:left="2952" w:hanging="792"/>
      </w:pPr>
    </w:lvl>
    <w:lvl w:ilvl="5">
      <w:start w:val="1"/>
      <w:numFmt w:val="decimal"/>
      <w:lvlText w:val="%1.%2.%3.%4.%5.%6."/>
      <w:lvlJc w:val="left"/>
      <w:pPr>
        <w:ind w:left="3456" w:hanging="936"/>
      </w:pPr>
    </w:lvl>
    <w:lvl w:ilvl="6">
      <w:start w:val="1"/>
      <w:numFmt w:val="decimal"/>
      <w:lvlText w:val="%1.%2.%3.%4.%5.%6.%7."/>
      <w:lvlJc w:val="left"/>
      <w:pPr>
        <w:ind w:left="3960" w:hanging="1080"/>
      </w:pPr>
    </w:lvl>
    <w:lvl w:ilvl="7">
      <w:start w:val="1"/>
      <w:numFmt w:val="decimal"/>
      <w:lvlText w:val="%1.%2.%3.%4.%5.%6.%7.%8."/>
      <w:lvlJc w:val="left"/>
      <w:pPr>
        <w:ind w:left="4464" w:hanging="1224"/>
      </w:pPr>
    </w:lvl>
    <w:lvl w:ilvl="8">
      <w:start w:val="1"/>
      <w:numFmt w:val="decimal"/>
      <w:lvlText w:val="%1.%2.%3.%4.%5.%6.%7.%8.%9."/>
      <w:lvlJc w:val="left"/>
      <w:pPr>
        <w:ind w:left="5040" w:hanging="1440"/>
      </w:pPr>
    </w:lvl>
  </w:abstractNum>
  <w:abstractNum w:abstractNumId="19" w15:restartNumberingAfterBreak="0">
    <w:nsid w:val="6B43327F"/>
    <w:multiLevelType w:val="hybridMultilevel"/>
    <w:tmpl w:val="E6EA45C6"/>
    <w:lvl w:ilvl="0" w:tplc="3C090001">
      <w:start w:val="1"/>
      <w:numFmt w:val="bullet"/>
      <w:lvlText w:val=""/>
      <w:lvlJc w:val="left"/>
      <w:pPr>
        <w:ind w:left="720" w:hanging="360"/>
      </w:pPr>
      <w:rPr>
        <w:rFonts w:ascii="Symbol" w:hAnsi="Symbol" w:hint="default"/>
      </w:rPr>
    </w:lvl>
    <w:lvl w:ilvl="1" w:tplc="3C090019" w:tentative="1">
      <w:start w:val="1"/>
      <w:numFmt w:val="lowerLetter"/>
      <w:lvlText w:val="%2."/>
      <w:lvlJc w:val="left"/>
      <w:pPr>
        <w:ind w:left="1440" w:hanging="360"/>
      </w:pPr>
    </w:lvl>
    <w:lvl w:ilvl="2" w:tplc="3C09001B" w:tentative="1">
      <w:start w:val="1"/>
      <w:numFmt w:val="lowerRoman"/>
      <w:lvlText w:val="%3."/>
      <w:lvlJc w:val="right"/>
      <w:pPr>
        <w:ind w:left="2160" w:hanging="180"/>
      </w:pPr>
    </w:lvl>
    <w:lvl w:ilvl="3" w:tplc="3C09000F" w:tentative="1">
      <w:start w:val="1"/>
      <w:numFmt w:val="decimal"/>
      <w:lvlText w:val="%4."/>
      <w:lvlJc w:val="left"/>
      <w:pPr>
        <w:ind w:left="2880" w:hanging="360"/>
      </w:pPr>
    </w:lvl>
    <w:lvl w:ilvl="4" w:tplc="3C090019" w:tentative="1">
      <w:start w:val="1"/>
      <w:numFmt w:val="lowerLetter"/>
      <w:lvlText w:val="%5."/>
      <w:lvlJc w:val="left"/>
      <w:pPr>
        <w:ind w:left="3600" w:hanging="360"/>
      </w:pPr>
    </w:lvl>
    <w:lvl w:ilvl="5" w:tplc="3C09001B" w:tentative="1">
      <w:start w:val="1"/>
      <w:numFmt w:val="lowerRoman"/>
      <w:lvlText w:val="%6."/>
      <w:lvlJc w:val="right"/>
      <w:pPr>
        <w:ind w:left="4320" w:hanging="180"/>
      </w:pPr>
    </w:lvl>
    <w:lvl w:ilvl="6" w:tplc="3C09000F" w:tentative="1">
      <w:start w:val="1"/>
      <w:numFmt w:val="decimal"/>
      <w:lvlText w:val="%7."/>
      <w:lvlJc w:val="left"/>
      <w:pPr>
        <w:ind w:left="5040" w:hanging="360"/>
      </w:pPr>
    </w:lvl>
    <w:lvl w:ilvl="7" w:tplc="3C090019" w:tentative="1">
      <w:start w:val="1"/>
      <w:numFmt w:val="lowerLetter"/>
      <w:lvlText w:val="%8."/>
      <w:lvlJc w:val="left"/>
      <w:pPr>
        <w:ind w:left="5760" w:hanging="360"/>
      </w:pPr>
    </w:lvl>
    <w:lvl w:ilvl="8" w:tplc="3C09001B" w:tentative="1">
      <w:start w:val="1"/>
      <w:numFmt w:val="lowerRoman"/>
      <w:lvlText w:val="%9."/>
      <w:lvlJc w:val="right"/>
      <w:pPr>
        <w:ind w:left="6480" w:hanging="180"/>
      </w:pPr>
    </w:lvl>
  </w:abstractNum>
  <w:abstractNum w:abstractNumId="20" w15:restartNumberingAfterBreak="0">
    <w:nsid w:val="6BAD25F6"/>
    <w:multiLevelType w:val="hybridMultilevel"/>
    <w:tmpl w:val="DFD48824"/>
    <w:lvl w:ilvl="0" w:tplc="3C09000F">
      <w:start w:val="1"/>
      <w:numFmt w:val="decimal"/>
      <w:lvlText w:val="%1."/>
      <w:lvlJc w:val="left"/>
      <w:pPr>
        <w:ind w:left="720" w:hanging="360"/>
      </w:pPr>
      <w:rPr>
        <w:rFonts w:hint="default"/>
      </w:rPr>
    </w:lvl>
    <w:lvl w:ilvl="1" w:tplc="3C090019" w:tentative="1">
      <w:start w:val="1"/>
      <w:numFmt w:val="lowerLetter"/>
      <w:lvlText w:val="%2."/>
      <w:lvlJc w:val="left"/>
      <w:pPr>
        <w:ind w:left="1440" w:hanging="360"/>
      </w:pPr>
    </w:lvl>
    <w:lvl w:ilvl="2" w:tplc="3C09001B" w:tentative="1">
      <w:start w:val="1"/>
      <w:numFmt w:val="lowerRoman"/>
      <w:lvlText w:val="%3."/>
      <w:lvlJc w:val="right"/>
      <w:pPr>
        <w:ind w:left="2160" w:hanging="180"/>
      </w:pPr>
    </w:lvl>
    <w:lvl w:ilvl="3" w:tplc="3C09000F" w:tentative="1">
      <w:start w:val="1"/>
      <w:numFmt w:val="decimal"/>
      <w:lvlText w:val="%4."/>
      <w:lvlJc w:val="left"/>
      <w:pPr>
        <w:ind w:left="2880" w:hanging="360"/>
      </w:pPr>
    </w:lvl>
    <w:lvl w:ilvl="4" w:tplc="3C090019" w:tentative="1">
      <w:start w:val="1"/>
      <w:numFmt w:val="lowerLetter"/>
      <w:lvlText w:val="%5."/>
      <w:lvlJc w:val="left"/>
      <w:pPr>
        <w:ind w:left="3600" w:hanging="360"/>
      </w:pPr>
    </w:lvl>
    <w:lvl w:ilvl="5" w:tplc="3C09001B" w:tentative="1">
      <w:start w:val="1"/>
      <w:numFmt w:val="lowerRoman"/>
      <w:lvlText w:val="%6."/>
      <w:lvlJc w:val="right"/>
      <w:pPr>
        <w:ind w:left="4320" w:hanging="180"/>
      </w:pPr>
    </w:lvl>
    <w:lvl w:ilvl="6" w:tplc="3C09000F" w:tentative="1">
      <w:start w:val="1"/>
      <w:numFmt w:val="decimal"/>
      <w:lvlText w:val="%7."/>
      <w:lvlJc w:val="left"/>
      <w:pPr>
        <w:ind w:left="5040" w:hanging="360"/>
      </w:pPr>
    </w:lvl>
    <w:lvl w:ilvl="7" w:tplc="3C090019" w:tentative="1">
      <w:start w:val="1"/>
      <w:numFmt w:val="lowerLetter"/>
      <w:lvlText w:val="%8."/>
      <w:lvlJc w:val="left"/>
      <w:pPr>
        <w:ind w:left="5760" w:hanging="360"/>
      </w:pPr>
    </w:lvl>
    <w:lvl w:ilvl="8" w:tplc="3C09001B" w:tentative="1">
      <w:start w:val="1"/>
      <w:numFmt w:val="lowerRoman"/>
      <w:lvlText w:val="%9."/>
      <w:lvlJc w:val="right"/>
      <w:pPr>
        <w:ind w:left="6480" w:hanging="180"/>
      </w:pPr>
    </w:lvl>
  </w:abstractNum>
  <w:abstractNum w:abstractNumId="21" w15:restartNumberingAfterBreak="0">
    <w:nsid w:val="6C0141FA"/>
    <w:multiLevelType w:val="hybridMultilevel"/>
    <w:tmpl w:val="503C9494"/>
    <w:lvl w:ilvl="0" w:tplc="3C090011">
      <w:start w:val="1"/>
      <w:numFmt w:val="decimal"/>
      <w:lvlText w:val="%1)"/>
      <w:lvlJc w:val="left"/>
      <w:pPr>
        <w:ind w:left="720" w:hanging="360"/>
      </w:pPr>
      <w:rPr>
        <w:rFonts w:hint="default"/>
      </w:rPr>
    </w:lvl>
    <w:lvl w:ilvl="1" w:tplc="3C090019" w:tentative="1">
      <w:start w:val="1"/>
      <w:numFmt w:val="lowerLetter"/>
      <w:lvlText w:val="%2."/>
      <w:lvlJc w:val="left"/>
      <w:pPr>
        <w:ind w:left="1440" w:hanging="360"/>
      </w:pPr>
    </w:lvl>
    <w:lvl w:ilvl="2" w:tplc="3C09001B" w:tentative="1">
      <w:start w:val="1"/>
      <w:numFmt w:val="lowerRoman"/>
      <w:lvlText w:val="%3."/>
      <w:lvlJc w:val="right"/>
      <w:pPr>
        <w:ind w:left="2160" w:hanging="180"/>
      </w:pPr>
    </w:lvl>
    <w:lvl w:ilvl="3" w:tplc="3C09000F" w:tentative="1">
      <w:start w:val="1"/>
      <w:numFmt w:val="decimal"/>
      <w:lvlText w:val="%4."/>
      <w:lvlJc w:val="left"/>
      <w:pPr>
        <w:ind w:left="2880" w:hanging="360"/>
      </w:pPr>
    </w:lvl>
    <w:lvl w:ilvl="4" w:tplc="3C090019" w:tentative="1">
      <w:start w:val="1"/>
      <w:numFmt w:val="lowerLetter"/>
      <w:lvlText w:val="%5."/>
      <w:lvlJc w:val="left"/>
      <w:pPr>
        <w:ind w:left="3600" w:hanging="360"/>
      </w:pPr>
    </w:lvl>
    <w:lvl w:ilvl="5" w:tplc="3C09001B" w:tentative="1">
      <w:start w:val="1"/>
      <w:numFmt w:val="lowerRoman"/>
      <w:lvlText w:val="%6."/>
      <w:lvlJc w:val="right"/>
      <w:pPr>
        <w:ind w:left="4320" w:hanging="180"/>
      </w:pPr>
    </w:lvl>
    <w:lvl w:ilvl="6" w:tplc="3C09000F" w:tentative="1">
      <w:start w:val="1"/>
      <w:numFmt w:val="decimal"/>
      <w:lvlText w:val="%7."/>
      <w:lvlJc w:val="left"/>
      <w:pPr>
        <w:ind w:left="5040" w:hanging="360"/>
      </w:pPr>
    </w:lvl>
    <w:lvl w:ilvl="7" w:tplc="3C090019" w:tentative="1">
      <w:start w:val="1"/>
      <w:numFmt w:val="lowerLetter"/>
      <w:lvlText w:val="%8."/>
      <w:lvlJc w:val="left"/>
      <w:pPr>
        <w:ind w:left="5760" w:hanging="360"/>
      </w:pPr>
    </w:lvl>
    <w:lvl w:ilvl="8" w:tplc="3C09001B" w:tentative="1">
      <w:start w:val="1"/>
      <w:numFmt w:val="lowerRoman"/>
      <w:lvlText w:val="%9."/>
      <w:lvlJc w:val="right"/>
      <w:pPr>
        <w:ind w:left="6480" w:hanging="180"/>
      </w:pPr>
    </w:lvl>
  </w:abstractNum>
  <w:abstractNum w:abstractNumId="22" w15:restartNumberingAfterBreak="0">
    <w:nsid w:val="71C27D30"/>
    <w:multiLevelType w:val="hybridMultilevel"/>
    <w:tmpl w:val="E258D1FC"/>
    <w:lvl w:ilvl="0" w:tplc="3C090001">
      <w:start w:val="1"/>
      <w:numFmt w:val="bullet"/>
      <w:lvlText w:val=""/>
      <w:lvlJc w:val="left"/>
      <w:pPr>
        <w:ind w:left="360" w:hanging="360"/>
      </w:pPr>
      <w:rPr>
        <w:rFonts w:ascii="Symbol" w:hAnsi="Symbol" w:hint="default"/>
      </w:rPr>
    </w:lvl>
    <w:lvl w:ilvl="1" w:tplc="3C090003" w:tentative="1">
      <w:start w:val="1"/>
      <w:numFmt w:val="bullet"/>
      <w:lvlText w:val="o"/>
      <w:lvlJc w:val="left"/>
      <w:pPr>
        <w:ind w:left="1080" w:hanging="360"/>
      </w:pPr>
      <w:rPr>
        <w:rFonts w:ascii="Courier New" w:hAnsi="Courier New" w:cs="Courier New" w:hint="default"/>
      </w:rPr>
    </w:lvl>
    <w:lvl w:ilvl="2" w:tplc="3C090005" w:tentative="1">
      <w:start w:val="1"/>
      <w:numFmt w:val="bullet"/>
      <w:lvlText w:val=""/>
      <w:lvlJc w:val="left"/>
      <w:pPr>
        <w:ind w:left="1800" w:hanging="360"/>
      </w:pPr>
      <w:rPr>
        <w:rFonts w:ascii="Wingdings" w:hAnsi="Wingdings" w:hint="default"/>
      </w:rPr>
    </w:lvl>
    <w:lvl w:ilvl="3" w:tplc="3C090001" w:tentative="1">
      <w:start w:val="1"/>
      <w:numFmt w:val="bullet"/>
      <w:lvlText w:val=""/>
      <w:lvlJc w:val="left"/>
      <w:pPr>
        <w:ind w:left="2520" w:hanging="360"/>
      </w:pPr>
      <w:rPr>
        <w:rFonts w:ascii="Symbol" w:hAnsi="Symbol" w:hint="default"/>
      </w:rPr>
    </w:lvl>
    <w:lvl w:ilvl="4" w:tplc="3C090003" w:tentative="1">
      <w:start w:val="1"/>
      <w:numFmt w:val="bullet"/>
      <w:lvlText w:val="o"/>
      <w:lvlJc w:val="left"/>
      <w:pPr>
        <w:ind w:left="3240" w:hanging="360"/>
      </w:pPr>
      <w:rPr>
        <w:rFonts w:ascii="Courier New" w:hAnsi="Courier New" w:cs="Courier New" w:hint="default"/>
      </w:rPr>
    </w:lvl>
    <w:lvl w:ilvl="5" w:tplc="3C090005" w:tentative="1">
      <w:start w:val="1"/>
      <w:numFmt w:val="bullet"/>
      <w:lvlText w:val=""/>
      <w:lvlJc w:val="left"/>
      <w:pPr>
        <w:ind w:left="3960" w:hanging="360"/>
      </w:pPr>
      <w:rPr>
        <w:rFonts w:ascii="Wingdings" w:hAnsi="Wingdings" w:hint="default"/>
      </w:rPr>
    </w:lvl>
    <w:lvl w:ilvl="6" w:tplc="3C090001" w:tentative="1">
      <w:start w:val="1"/>
      <w:numFmt w:val="bullet"/>
      <w:lvlText w:val=""/>
      <w:lvlJc w:val="left"/>
      <w:pPr>
        <w:ind w:left="4680" w:hanging="360"/>
      </w:pPr>
      <w:rPr>
        <w:rFonts w:ascii="Symbol" w:hAnsi="Symbol" w:hint="default"/>
      </w:rPr>
    </w:lvl>
    <w:lvl w:ilvl="7" w:tplc="3C090003" w:tentative="1">
      <w:start w:val="1"/>
      <w:numFmt w:val="bullet"/>
      <w:lvlText w:val="o"/>
      <w:lvlJc w:val="left"/>
      <w:pPr>
        <w:ind w:left="5400" w:hanging="360"/>
      </w:pPr>
      <w:rPr>
        <w:rFonts w:ascii="Courier New" w:hAnsi="Courier New" w:cs="Courier New" w:hint="default"/>
      </w:rPr>
    </w:lvl>
    <w:lvl w:ilvl="8" w:tplc="3C090005" w:tentative="1">
      <w:start w:val="1"/>
      <w:numFmt w:val="bullet"/>
      <w:lvlText w:val=""/>
      <w:lvlJc w:val="left"/>
      <w:pPr>
        <w:ind w:left="6120" w:hanging="360"/>
      </w:pPr>
      <w:rPr>
        <w:rFonts w:ascii="Wingdings" w:hAnsi="Wingdings" w:hint="default"/>
      </w:rPr>
    </w:lvl>
  </w:abstractNum>
  <w:abstractNum w:abstractNumId="23" w15:restartNumberingAfterBreak="0">
    <w:nsid w:val="738F75CE"/>
    <w:multiLevelType w:val="multilevel"/>
    <w:tmpl w:val="C302C312"/>
    <w:lvl w:ilvl="0">
      <w:start w:val="4"/>
      <w:numFmt w:val="decimal"/>
      <w:suff w:val="space"/>
      <w:lvlText w:val="Chapter %1 "/>
      <w:lvlJc w:val="left"/>
      <w:pPr>
        <w:ind w:left="0" w:firstLine="0"/>
      </w:pPr>
      <w:rPr>
        <w:rFonts w:ascii="Times New Roman" w:hAnsi="Times New Roman" w:hint="default"/>
        <w:b/>
        <w:i w:val="0"/>
        <w:sz w:val="32"/>
      </w:rPr>
    </w:lvl>
    <w:lvl w:ilvl="1">
      <w:start w:val="1"/>
      <w:numFmt w:val="decimal"/>
      <w:lvlText w:val="%1.%2"/>
      <w:lvlJc w:val="left"/>
      <w:pPr>
        <w:ind w:left="0" w:firstLine="0"/>
      </w:pPr>
      <w:rPr>
        <w:rFonts w:ascii="Times New Roman" w:hAnsi="Times New Roman" w:hint="default"/>
        <w:b/>
        <w:i w:val="0"/>
        <w:color w:val="auto"/>
        <w:sz w:val="28"/>
      </w:rPr>
    </w:lvl>
    <w:lvl w:ilvl="2">
      <w:start w:val="1"/>
      <w:numFmt w:val="decimal"/>
      <w:lvlText w:val="%1.%2.%3"/>
      <w:lvlJc w:val="left"/>
      <w:pPr>
        <w:ind w:left="0" w:firstLine="0"/>
      </w:pPr>
      <w:rPr>
        <w:rFonts w:ascii="Times New Roman" w:eastAsiaTheme="minorEastAsia" w:hAnsi="Times New Roman" w:hint="default"/>
        <w:b/>
        <w:i w:val="0"/>
        <w:sz w:val="24"/>
      </w:rPr>
    </w:lvl>
    <w:lvl w:ilvl="3">
      <w:start w:val="1"/>
      <w:numFmt w:val="decimal"/>
      <w:isLgl/>
      <w:lvlText w:val="%1.%2.%3.%4"/>
      <w:lvlJc w:val="left"/>
      <w:pPr>
        <w:ind w:left="0" w:firstLine="0"/>
      </w:pPr>
      <w:rPr>
        <w:rFonts w:ascii="Times New Roman" w:hAnsi="Times New Roman" w:hint="default"/>
        <w:b w:val="0"/>
        <w:i/>
        <w:color w:val="auto"/>
        <w:sz w:val="24"/>
      </w:rPr>
    </w:lvl>
    <w:lvl w:ilvl="4">
      <w:start w:val="1"/>
      <w:numFmt w:val="none"/>
      <w:lvlText w:val="%5"/>
      <w:lvlJc w:val="left"/>
      <w:pPr>
        <w:ind w:left="0" w:firstLine="0"/>
      </w:pPr>
      <w:rPr>
        <w:rFonts w:hint="default"/>
      </w:rPr>
    </w:lvl>
    <w:lvl w:ilvl="5">
      <w:start w:val="1"/>
      <w:numFmt w:val="lowerRoman"/>
      <w:lvlText w:val="%6."/>
      <w:lvlJc w:val="righ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right"/>
      <w:pPr>
        <w:ind w:left="0" w:firstLine="0"/>
      </w:pPr>
      <w:rPr>
        <w:rFonts w:hint="default"/>
      </w:rPr>
    </w:lvl>
  </w:abstractNum>
  <w:abstractNum w:abstractNumId="24" w15:restartNumberingAfterBreak="0">
    <w:nsid w:val="780C35A4"/>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5"/>
  </w:num>
  <w:num w:numId="2">
    <w:abstractNumId w:val="23"/>
  </w:num>
  <w:num w:numId="3">
    <w:abstractNumId w:val="17"/>
  </w:num>
  <w:num w:numId="4">
    <w:abstractNumId w:val="24"/>
  </w:num>
  <w:num w:numId="5">
    <w:abstractNumId w:val="4"/>
  </w:num>
  <w:num w:numId="6">
    <w:abstractNumId w:val="1"/>
  </w:num>
  <w:num w:numId="7">
    <w:abstractNumId w:val="18"/>
  </w:num>
  <w:num w:numId="8">
    <w:abstractNumId w:val="3"/>
  </w:num>
  <w:num w:numId="9">
    <w:abstractNumId w:val="12"/>
  </w:num>
  <w:num w:numId="10">
    <w:abstractNumId w:val="16"/>
  </w:num>
  <w:num w:numId="11">
    <w:abstractNumId w:val="7"/>
  </w:num>
  <w:num w:numId="12">
    <w:abstractNumId w:val="6"/>
  </w:num>
  <w:num w:numId="13">
    <w:abstractNumId w:val="15"/>
  </w:num>
  <w:num w:numId="14">
    <w:abstractNumId w:val="21"/>
  </w:num>
  <w:num w:numId="15">
    <w:abstractNumId w:val="0"/>
  </w:num>
  <w:num w:numId="16">
    <w:abstractNumId w:val="13"/>
  </w:num>
  <w:num w:numId="17">
    <w:abstractNumId w:val="10"/>
  </w:num>
  <w:num w:numId="18">
    <w:abstractNumId w:val="14"/>
  </w:num>
  <w:num w:numId="19">
    <w:abstractNumId w:val="2"/>
  </w:num>
  <w:num w:numId="20">
    <w:abstractNumId w:val="11"/>
  </w:num>
  <w:num w:numId="21">
    <w:abstractNumId w:val="20"/>
  </w:num>
  <w:num w:numId="22">
    <w:abstractNumId w:val="19"/>
  </w:num>
  <w:num w:numId="23">
    <w:abstractNumId w:val="9"/>
  </w:num>
  <w:num w:numId="24">
    <w:abstractNumId w:val="8"/>
  </w:num>
  <w:num w:numId="25">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oNotDisplayPageBoundaries/>
  <w:proofState w:spelling="clean" w:grammar="clean"/>
  <w:defaultTabStop w:val="720"/>
  <w:characterSpacingControl w:val="doNotCompress"/>
  <w:hdrShapeDefaults>
    <o:shapedefaults v:ext="edit" spidmax="10241"/>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1F1D"/>
    <w:rsid w:val="000010C3"/>
    <w:rsid w:val="00003355"/>
    <w:rsid w:val="00005678"/>
    <w:rsid w:val="00006B2E"/>
    <w:rsid w:val="000151DA"/>
    <w:rsid w:val="00025109"/>
    <w:rsid w:val="000255DB"/>
    <w:rsid w:val="000261CB"/>
    <w:rsid w:val="0003218F"/>
    <w:rsid w:val="0003399C"/>
    <w:rsid w:val="00035BF1"/>
    <w:rsid w:val="00037E3E"/>
    <w:rsid w:val="0004306B"/>
    <w:rsid w:val="000459EB"/>
    <w:rsid w:val="00046315"/>
    <w:rsid w:val="00050ACB"/>
    <w:rsid w:val="00053542"/>
    <w:rsid w:val="00064EDF"/>
    <w:rsid w:val="00065409"/>
    <w:rsid w:val="00065E10"/>
    <w:rsid w:val="00065F80"/>
    <w:rsid w:val="00074A02"/>
    <w:rsid w:val="00076A0F"/>
    <w:rsid w:val="00080FCA"/>
    <w:rsid w:val="000812B2"/>
    <w:rsid w:val="00085199"/>
    <w:rsid w:val="00085BB4"/>
    <w:rsid w:val="00086F32"/>
    <w:rsid w:val="00093028"/>
    <w:rsid w:val="00097B09"/>
    <w:rsid w:val="000A0F8B"/>
    <w:rsid w:val="000A560A"/>
    <w:rsid w:val="000A5942"/>
    <w:rsid w:val="000A6B1F"/>
    <w:rsid w:val="000B0FBB"/>
    <w:rsid w:val="000B29EC"/>
    <w:rsid w:val="000B5B2E"/>
    <w:rsid w:val="000B632F"/>
    <w:rsid w:val="000B6389"/>
    <w:rsid w:val="000C0ADF"/>
    <w:rsid w:val="000C350F"/>
    <w:rsid w:val="000C3A7E"/>
    <w:rsid w:val="000D4549"/>
    <w:rsid w:val="000D4641"/>
    <w:rsid w:val="000E217C"/>
    <w:rsid w:val="000E61DD"/>
    <w:rsid w:val="000F48A2"/>
    <w:rsid w:val="0010228B"/>
    <w:rsid w:val="0010594E"/>
    <w:rsid w:val="001147FC"/>
    <w:rsid w:val="00121D79"/>
    <w:rsid w:val="00123873"/>
    <w:rsid w:val="001345C3"/>
    <w:rsid w:val="0013464C"/>
    <w:rsid w:val="00140608"/>
    <w:rsid w:val="001501FA"/>
    <w:rsid w:val="0015221B"/>
    <w:rsid w:val="00167A2E"/>
    <w:rsid w:val="0017572C"/>
    <w:rsid w:val="0018781E"/>
    <w:rsid w:val="0019070D"/>
    <w:rsid w:val="001910D2"/>
    <w:rsid w:val="00192C89"/>
    <w:rsid w:val="001A6516"/>
    <w:rsid w:val="001A68D3"/>
    <w:rsid w:val="001B663E"/>
    <w:rsid w:val="001C7A72"/>
    <w:rsid w:val="001D2BC6"/>
    <w:rsid w:val="001D3702"/>
    <w:rsid w:val="001D4628"/>
    <w:rsid w:val="001E0D16"/>
    <w:rsid w:val="001E1D70"/>
    <w:rsid w:val="001E35C3"/>
    <w:rsid w:val="001E7296"/>
    <w:rsid w:val="001F0420"/>
    <w:rsid w:val="001F491E"/>
    <w:rsid w:val="001F7E19"/>
    <w:rsid w:val="00203B23"/>
    <w:rsid w:val="00204970"/>
    <w:rsid w:val="002136E6"/>
    <w:rsid w:val="00213FB3"/>
    <w:rsid w:val="00220568"/>
    <w:rsid w:val="00221B1A"/>
    <w:rsid w:val="00223804"/>
    <w:rsid w:val="002312AF"/>
    <w:rsid w:val="00232031"/>
    <w:rsid w:val="002330FD"/>
    <w:rsid w:val="00242973"/>
    <w:rsid w:val="00242B26"/>
    <w:rsid w:val="00244B44"/>
    <w:rsid w:val="00245921"/>
    <w:rsid w:val="00252EE1"/>
    <w:rsid w:val="00256AA9"/>
    <w:rsid w:val="00264A66"/>
    <w:rsid w:val="002667AE"/>
    <w:rsid w:val="00270FB6"/>
    <w:rsid w:val="002733D8"/>
    <w:rsid w:val="00273A9A"/>
    <w:rsid w:val="00274067"/>
    <w:rsid w:val="00274F45"/>
    <w:rsid w:val="002807B5"/>
    <w:rsid w:val="00281E7F"/>
    <w:rsid w:val="00284349"/>
    <w:rsid w:val="00284AB0"/>
    <w:rsid w:val="002856A3"/>
    <w:rsid w:val="002904C5"/>
    <w:rsid w:val="0029186A"/>
    <w:rsid w:val="002933AA"/>
    <w:rsid w:val="0029437F"/>
    <w:rsid w:val="00294BA5"/>
    <w:rsid w:val="00296E99"/>
    <w:rsid w:val="002A1333"/>
    <w:rsid w:val="002A3361"/>
    <w:rsid w:val="002B29A0"/>
    <w:rsid w:val="002B30A3"/>
    <w:rsid w:val="002B32A8"/>
    <w:rsid w:val="002B4615"/>
    <w:rsid w:val="002B51EE"/>
    <w:rsid w:val="002B6C4E"/>
    <w:rsid w:val="002C12F2"/>
    <w:rsid w:val="002D0508"/>
    <w:rsid w:val="002D2444"/>
    <w:rsid w:val="002D6452"/>
    <w:rsid w:val="002D6591"/>
    <w:rsid w:val="002D6796"/>
    <w:rsid w:val="002E20DF"/>
    <w:rsid w:val="002E5BD6"/>
    <w:rsid w:val="002F49AB"/>
    <w:rsid w:val="00301096"/>
    <w:rsid w:val="003036EB"/>
    <w:rsid w:val="0031012F"/>
    <w:rsid w:val="00312FB1"/>
    <w:rsid w:val="003149AC"/>
    <w:rsid w:val="003212C2"/>
    <w:rsid w:val="00322859"/>
    <w:rsid w:val="00330EF2"/>
    <w:rsid w:val="0033206B"/>
    <w:rsid w:val="00335ACE"/>
    <w:rsid w:val="00337664"/>
    <w:rsid w:val="00343CCF"/>
    <w:rsid w:val="003504A2"/>
    <w:rsid w:val="0035505B"/>
    <w:rsid w:val="0036098B"/>
    <w:rsid w:val="00361D03"/>
    <w:rsid w:val="003666DD"/>
    <w:rsid w:val="003739D4"/>
    <w:rsid w:val="00375D4F"/>
    <w:rsid w:val="00380B90"/>
    <w:rsid w:val="00380CE0"/>
    <w:rsid w:val="003825FE"/>
    <w:rsid w:val="00383D9B"/>
    <w:rsid w:val="00385193"/>
    <w:rsid w:val="00386499"/>
    <w:rsid w:val="00391561"/>
    <w:rsid w:val="00393B86"/>
    <w:rsid w:val="003944A5"/>
    <w:rsid w:val="003964E9"/>
    <w:rsid w:val="003A0C5A"/>
    <w:rsid w:val="003A12C6"/>
    <w:rsid w:val="003A3813"/>
    <w:rsid w:val="003A3D27"/>
    <w:rsid w:val="003A5946"/>
    <w:rsid w:val="003A6DF0"/>
    <w:rsid w:val="003B1299"/>
    <w:rsid w:val="003B1CFA"/>
    <w:rsid w:val="003B2835"/>
    <w:rsid w:val="003C6093"/>
    <w:rsid w:val="003D04E3"/>
    <w:rsid w:val="003D2927"/>
    <w:rsid w:val="003D4C76"/>
    <w:rsid w:val="003E0634"/>
    <w:rsid w:val="003E3E6E"/>
    <w:rsid w:val="003E42CE"/>
    <w:rsid w:val="003F2187"/>
    <w:rsid w:val="003F29AE"/>
    <w:rsid w:val="003F4154"/>
    <w:rsid w:val="003F61EE"/>
    <w:rsid w:val="00400277"/>
    <w:rsid w:val="004050C9"/>
    <w:rsid w:val="00413244"/>
    <w:rsid w:val="0041641A"/>
    <w:rsid w:val="00417BB0"/>
    <w:rsid w:val="004424C2"/>
    <w:rsid w:val="00451523"/>
    <w:rsid w:val="00457791"/>
    <w:rsid w:val="004616F9"/>
    <w:rsid w:val="004648DA"/>
    <w:rsid w:val="00465568"/>
    <w:rsid w:val="00465F48"/>
    <w:rsid w:val="00472CBE"/>
    <w:rsid w:val="004914A7"/>
    <w:rsid w:val="0049482A"/>
    <w:rsid w:val="00497DBE"/>
    <w:rsid w:val="004A5E1C"/>
    <w:rsid w:val="004B1D9F"/>
    <w:rsid w:val="004B7835"/>
    <w:rsid w:val="004C4E38"/>
    <w:rsid w:val="004C648A"/>
    <w:rsid w:val="004D0386"/>
    <w:rsid w:val="004D50BE"/>
    <w:rsid w:val="004D5676"/>
    <w:rsid w:val="004D650A"/>
    <w:rsid w:val="004D686F"/>
    <w:rsid w:val="004E1D6D"/>
    <w:rsid w:val="004E4F95"/>
    <w:rsid w:val="004F0AAC"/>
    <w:rsid w:val="004F1321"/>
    <w:rsid w:val="004F5DDA"/>
    <w:rsid w:val="004F66DD"/>
    <w:rsid w:val="004F6B80"/>
    <w:rsid w:val="004F7CEC"/>
    <w:rsid w:val="005026F6"/>
    <w:rsid w:val="0050555E"/>
    <w:rsid w:val="00505F3A"/>
    <w:rsid w:val="00506B27"/>
    <w:rsid w:val="005101AA"/>
    <w:rsid w:val="00511138"/>
    <w:rsid w:val="005111EE"/>
    <w:rsid w:val="005122ED"/>
    <w:rsid w:val="00515BF6"/>
    <w:rsid w:val="005203DC"/>
    <w:rsid w:val="00530DEF"/>
    <w:rsid w:val="00536812"/>
    <w:rsid w:val="005370F7"/>
    <w:rsid w:val="005378D3"/>
    <w:rsid w:val="00540E47"/>
    <w:rsid w:val="00541A43"/>
    <w:rsid w:val="00542AB9"/>
    <w:rsid w:val="00543A76"/>
    <w:rsid w:val="00544CA6"/>
    <w:rsid w:val="005468FF"/>
    <w:rsid w:val="0055305A"/>
    <w:rsid w:val="00563213"/>
    <w:rsid w:val="00571401"/>
    <w:rsid w:val="00586B3B"/>
    <w:rsid w:val="00586D9D"/>
    <w:rsid w:val="0059401C"/>
    <w:rsid w:val="005A25B0"/>
    <w:rsid w:val="005A3744"/>
    <w:rsid w:val="005A6936"/>
    <w:rsid w:val="005B0A31"/>
    <w:rsid w:val="005B11CF"/>
    <w:rsid w:val="005B1B13"/>
    <w:rsid w:val="005B68AD"/>
    <w:rsid w:val="005C2B51"/>
    <w:rsid w:val="005C5399"/>
    <w:rsid w:val="005D011C"/>
    <w:rsid w:val="005D57D7"/>
    <w:rsid w:val="005E16A5"/>
    <w:rsid w:val="005E4796"/>
    <w:rsid w:val="005E48BB"/>
    <w:rsid w:val="005E67B9"/>
    <w:rsid w:val="005E7DEA"/>
    <w:rsid w:val="005F25DB"/>
    <w:rsid w:val="005F2E8F"/>
    <w:rsid w:val="005F71F2"/>
    <w:rsid w:val="00600207"/>
    <w:rsid w:val="00601668"/>
    <w:rsid w:val="00602429"/>
    <w:rsid w:val="00603684"/>
    <w:rsid w:val="00606806"/>
    <w:rsid w:val="00612059"/>
    <w:rsid w:val="00620735"/>
    <w:rsid w:val="006207D6"/>
    <w:rsid w:val="00620EC1"/>
    <w:rsid w:val="00621A46"/>
    <w:rsid w:val="00624C8C"/>
    <w:rsid w:val="0062595B"/>
    <w:rsid w:val="00625DDD"/>
    <w:rsid w:val="00627CEB"/>
    <w:rsid w:val="00631AD7"/>
    <w:rsid w:val="006404EB"/>
    <w:rsid w:val="00642593"/>
    <w:rsid w:val="006469C7"/>
    <w:rsid w:val="00652794"/>
    <w:rsid w:val="00652BF4"/>
    <w:rsid w:val="00653B79"/>
    <w:rsid w:val="00655712"/>
    <w:rsid w:val="00660EC5"/>
    <w:rsid w:val="00661712"/>
    <w:rsid w:val="00666429"/>
    <w:rsid w:val="00666827"/>
    <w:rsid w:val="00670024"/>
    <w:rsid w:val="006726A6"/>
    <w:rsid w:val="00674143"/>
    <w:rsid w:val="00677B9E"/>
    <w:rsid w:val="00681F1D"/>
    <w:rsid w:val="006825FE"/>
    <w:rsid w:val="00685D65"/>
    <w:rsid w:val="006871CA"/>
    <w:rsid w:val="00694225"/>
    <w:rsid w:val="006A163D"/>
    <w:rsid w:val="006B1296"/>
    <w:rsid w:val="006B4AEF"/>
    <w:rsid w:val="006C14C1"/>
    <w:rsid w:val="006D083D"/>
    <w:rsid w:val="006D20C7"/>
    <w:rsid w:val="006D46CB"/>
    <w:rsid w:val="006D4E0D"/>
    <w:rsid w:val="006E02EA"/>
    <w:rsid w:val="006E60CC"/>
    <w:rsid w:val="006F4B01"/>
    <w:rsid w:val="007010BC"/>
    <w:rsid w:val="00702FCF"/>
    <w:rsid w:val="00705C2F"/>
    <w:rsid w:val="00711E45"/>
    <w:rsid w:val="007224DF"/>
    <w:rsid w:val="007236DA"/>
    <w:rsid w:val="00723CA6"/>
    <w:rsid w:val="007265C7"/>
    <w:rsid w:val="007273C6"/>
    <w:rsid w:val="00731ADA"/>
    <w:rsid w:val="00734678"/>
    <w:rsid w:val="0073592C"/>
    <w:rsid w:val="00741B9F"/>
    <w:rsid w:val="00743C62"/>
    <w:rsid w:val="007500DB"/>
    <w:rsid w:val="007505B2"/>
    <w:rsid w:val="00752454"/>
    <w:rsid w:val="00752B5B"/>
    <w:rsid w:val="00752EBA"/>
    <w:rsid w:val="00754B4B"/>
    <w:rsid w:val="00754DB7"/>
    <w:rsid w:val="00760F44"/>
    <w:rsid w:val="007624EF"/>
    <w:rsid w:val="00762B4A"/>
    <w:rsid w:val="00763587"/>
    <w:rsid w:val="007816CA"/>
    <w:rsid w:val="00785855"/>
    <w:rsid w:val="00786EDB"/>
    <w:rsid w:val="00787241"/>
    <w:rsid w:val="00792F42"/>
    <w:rsid w:val="00796C54"/>
    <w:rsid w:val="00797E99"/>
    <w:rsid w:val="007A0077"/>
    <w:rsid w:val="007A035C"/>
    <w:rsid w:val="007A255A"/>
    <w:rsid w:val="007A4ECA"/>
    <w:rsid w:val="007A4F7D"/>
    <w:rsid w:val="007B2BDB"/>
    <w:rsid w:val="007B4D84"/>
    <w:rsid w:val="007C24F5"/>
    <w:rsid w:val="007C4782"/>
    <w:rsid w:val="007C5ACC"/>
    <w:rsid w:val="007C7D2F"/>
    <w:rsid w:val="007D718A"/>
    <w:rsid w:val="007E07E4"/>
    <w:rsid w:val="007E2FA3"/>
    <w:rsid w:val="007E5B3A"/>
    <w:rsid w:val="007E5E14"/>
    <w:rsid w:val="007F3D64"/>
    <w:rsid w:val="007F6070"/>
    <w:rsid w:val="008032D3"/>
    <w:rsid w:val="0080489A"/>
    <w:rsid w:val="00816E86"/>
    <w:rsid w:val="00820486"/>
    <w:rsid w:val="00821B09"/>
    <w:rsid w:val="0082228B"/>
    <w:rsid w:val="00822365"/>
    <w:rsid w:val="008240EC"/>
    <w:rsid w:val="0082603D"/>
    <w:rsid w:val="0083463D"/>
    <w:rsid w:val="00842E73"/>
    <w:rsid w:val="00844A13"/>
    <w:rsid w:val="00847801"/>
    <w:rsid w:val="00850B73"/>
    <w:rsid w:val="00854421"/>
    <w:rsid w:val="008557DC"/>
    <w:rsid w:val="008558E3"/>
    <w:rsid w:val="0085592D"/>
    <w:rsid w:val="00857030"/>
    <w:rsid w:val="0086039C"/>
    <w:rsid w:val="00864D6B"/>
    <w:rsid w:val="0086633A"/>
    <w:rsid w:val="008725D1"/>
    <w:rsid w:val="00876F9E"/>
    <w:rsid w:val="00880EB7"/>
    <w:rsid w:val="00885795"/>
    <w:rsid w:val="00891384"/>
    <w:rsid w:val="00892F65"/>
    <w:rsid w:val="00894CB0"/>
    <w:rsid w:val="008954CF"/>
    <w:rsid w:val="008968D2"/>
    <w:rsid w:val="008A6C16"/>
    <w:rsid w:val="008B02F8"/>
    <w:rsid w:val="008B110D"/>
    <w:rsid w:val="008B35BE"/>
    <w:rsid w:val="008B3F18"/>
    <w:rsid w:val="008B5F83"/>
    <w:rsid w:val="008B6732"/>
    <w:rsid w:val="008B7826"/>
    <w:rsid w:val="008C441A"/>
    <w:rsid w:val="008C45D8"/>
    <w:rsid w:val="008D051C"/>
    <w:rsid w:val="008D0F72"/>
    <w:rsid w:val="008D401F"/>
    <w:rsid w:val="008D56DD"/>
    <w:rsid w:val="008E5245"/>
    <w:rsid w:val="008E748E"/>
    <w:rsid w:val="008F6CFE"/>
    <w:rsid w:val="00900B64"/>
    <w:rsid w:val="009019AD"/>
    <w:rsid w:val="00905B10"/>
    <w:rsid w:val="00907158"/>
    <w:rsid w:val="00912101"/>
    <w:rsid w:val="00917227"/>
    <w:rsid w:val="0091737A"/>
    <w:rsid w:val="00917AFE"/>
    <w:rsid w:val="00917B80"/>
    <w:rsid w:val="009214F8"/>
    <w:rsid w:val="00922E66"/>
    <w:rsid w:val="00931CAD"/>
    <w:rsid w:val="00934053"/>
    <w:rsid w:val="00934250"/>
    <w:rsid w:val="00935389"/>
    <w:rsid w:val="00935A0B"/>
    <w:rsid w:val="00940C32"/>
    <w:rsid w:val="00943A44"/>
    <w:rsid w:val="009510A1"/>
    <w:rsid w:val="0095554F"/>
    <w:rsid w:val="009569B7"/>
    <w:rsid w:val="0096314B"/>
    <w:rsid w:val="0096380D"/>
    <w:rsid w:val="009662CD"/>
    <w:rsid w:val="00975107"/>
    <w:rsid w:val="00977C15"/>
    <w:rsid w:val="009800A4"/>
    <w:rsid w:val="009832E4"/>
    <w:rsid w:val="009949B3"/>
    <w:rsid w:val="009A0FCE"/>
    <w:rsid w:val="009A1C0E"/>
    <w:rsid w:val="009A53DA"/>
    <w:rsid w:val="009A6AA6"/>
    <w:rsid w:val="009B20A5"/>
    <w:rsid w:val="009B4D9E"/>
    <w:rsid w:val="009B760F"/>
    <w:rsid w:val="009C13F7"/>
    <w:rsid w:val="009C4331"/>
    <w:rsid w:val="009C49CB"/>
    <w:rsid w:val="009D4DB5"/>
    <w:rsid w:val="009D59DF"/>
    <w:rsid w:val="009D7B6D"/>
    <w:rsid w:val="009E0BE1"/>
    <w:rsid w:val="009F3511"/>
    <w:rsid w:val="00A04B83"/>
    <w:rsid w:val="00A04BEA"/>
    <w:rsid w:val="00A10BC6"/>
    <w:rsid w:val="00A114A2"/>
    <w:rsid w:val="00A1477A"/>
    <w:rsid w:val="00A179F2"/>
    <w:rsid w:val="00A24F56"/>
    <w:rsid w:val="00A26277"/>
    <w:rsid w:val="00A27B8A"/>
    <w:rsid w:val="00A33430"/>
    <w:rsid w:val="00A35161"/>
    <w:rsid w:val="00A37F0C"/>
    <w:rsid w:val="00A405EC"/>
    <w:rsid w:val="00A456F2"/>
    <w:rsid w:val="00A51E00"/>
    <w:rsid w:val="00A5269F"/>
    <w:rsid w:val="00A6023A"/>
    <w:rsid w:val="00A6670E"/>
    <w:rsid w:val="00A6723B"/>
    <w:rsid w:val="00A70E83"/>
    <w:rsid w:val="00A7304F"/>
    <w:rsid w:val="00A739A4"/>
    <w:rsid w:val="00A75617"/>
    <w:rsid w:val="00A845C5"/>
    <w:rsid w:val="00A84C97"/>
    <w:rsid w:val="00A95746"/>
    <w:rsid w:val="00AA2EC9"/>
    <w:rsid w:val="00AA6DC5"/>
    <w:rsid w:val="00AB0BDE"/>
    <w:rsid w:val="00AB0CC2"/>
    <w:rsid w:val="00AB4FE6"/>
    <w:rsid w:val="00AB678A"/>
    <w:rsid w:val="00AC07E6"/>
    <w:rsid w:val="00AC5E68"/>
    <w:rsid w:val="00AD0877"/>
    <w:rsid w:val="00AD283F"/>
    <w:rsid w:val="00AD6C3A"/>
    <w:rsid w:val="00AD6ED1"/>
    <w:rsid w:val="00AE4D7F"/>
    <w:rsid w:val="00AE51CF"/>
    <w:rsid w:val="00AF00FE"/>
    <w:rsid w:val="00AF15C0"/>
    <w:rsid w:val="00B000FC"/>
    <w:rsid w:val="00B03D12"/>
    <w:rsid w:val="00B06556"/>
    <w:rsid w:val="00B21650"/>
    <w:rsid w:val="00B27F72"/>
    <w:rsid w:val="00B30F8B"/>
    <w:rsid w:val="00B319D6"/>
    <w:rsid w:val="00B344D3"/>
    <w:rsid w:val="00B3701A"/>
    <w:rsid w:val="00B4204D"/>
    <w:rsid w:val="00B5022F"/>
    <w:rsid w:val="00B57892"/>
    <w:rsid w:val="00B6311A"/>
    <w:rsid w:val="00B65EA9"/>
    <w:rsid w:val="00B7427A"/>
    <w:rsid w:val="00B758FA"/>
    <w:rsid w:val="00B81AFF"/>
    <w:rsid w:val="00B93F41"/>
    <w:rsid w:val="00B94B5E"/>
    <w:rsid w:val="00B96D9A"/>
    <w:rsid w:val="00BA04F3"/>
    <w:rsid w:val="00BA2FC5"/>
    <w:rsid w:val="00BA35D4"/>
    <w:rsid w:val="00BA426D"/>
    <w:rsid w:val="00BA4FDC"/>
    <w:rsid w:val="00BB085A"/>
    <w:rsid w:val="00BB0CC8"/>
    <w:rsid w:val="00BB4616"/>
    <w:rsid w:val="00BB510D"/>
    <w:rsid w:val="00BB5344"/>
    <w:rsid w:val="00BB75F6"/>
    <w:rsid w:val="00BC2238"/>
    <w:rsid w:val="00BC249E"/>
    <w:rsid w:val="00BC2B6A"/>
    <w:rsid w:val="00BC6CF8"/>
    <w:rsid w:val="00BC7D1B"/>
    <w:rsid w:val="00BD50AF"/>
    <w:rsid w:val="00BD5C9C"/>
    <w:rsid w:val="00BD7DD3"/>
    <w:rsid w:val="00BD7E6C"/>
    <w:rsid w:val="00BE0C42"/>
    <w:rsid w:val="00BE776D"/>
    <w:rsid w:val="00BF602D"/>
    <w:rsid w:val="00C03148"/>
    <w:rsid w:val="00C038CE"/>
    <w:rsid w:val="00C04972"/>
    <w:rsid w:val="00C05A7B"/>
    <w:rsid w:val="00C136FF"/>
    <w:rsid w:val="00C24950"/>
    <w:rsid w:val="00C25B52"/>
    <w:rsid w:val="00C27BB4"/>
    <w:rsid w:val="00C3573D"/>
    <w:rsid w:val="00C44D86"/>
    <w:rsid w:val="00C47500"/>
    <w:rsid w:val="00C50FCF"/>
    <w:rsid w:val="00C55E71"/>
    <w:rsid w:val="00C62B2C"/>
    <w:rsid w:val="00C62EE3"/>
    <w:rsid w:val="00C63274"/>
    <w:rsid w:val="00C668A0"/>
    <w:rsid w:val="00C7496C"/>
    <w:rsid w:val="00C82D87"/>
    <w:rsid w:val="00C92EE2"/>
    <w:rsid w:val="00CA1C3A"/>
    <w:rsid w:val="00CA1E74"/>
    <w:rsid w:val="00CA33AC"/>
    <w:rsid w:val="00CA60F4"/>
    <w:rsid w:val="00CB2C92"/>
    <w:rsid w:val="00CB6270"/>
    <w:rsid w:val="00CB67C1"/>
    <w:rsid w:val="00CB6A03"/>
    <w:rsid w:val="00CC01D1"/>
    <w:rsid w:val="00CC0391"/>
    <w:rsid w:val="00CC4CF9"/>
    <w:rsid w:val="00CD0027"/>
    <w:rsid w:val="00CD213A"/>
    <w:rsid w:val="00CD574D"/>
    <w:rsid w:val="00CF154D"/>
    <w:rsid w:val="00CF3E20"/>
    <w:rsid w:val="00CF78E6"/>
    <w:rsid w:val="00D0342C"/>
    <w:rsid w:val="00D03E3E"/>
    <w:rsid w:val="00D0481B"/>
    <w:rsid w:val="00D07A5D"/>
    <w:rsid w:val="00D151B7"/>
    <w:rsid w:val="00D17389"/>
    <w:rsid w:val="00D23B16"/>
    <w:rsid w:val="00D24B7C"/>
    <w:rsid w:val="00D345B8"/>
    <w:rsid w:val="00D42AD6"/>
    <w:rsid w:val="00D52437"/>
    <w:rsid w:val="00D538A1"/>
    <w:rsid w:val="00D53903"/>
    <w:rsid w:val="00D54B4B"/>
    <w:rsid w:val="00D57B3F"/>
    <w:rsid w:val="00D6191C"/>
    <w:rsid w:val="00D62DC0"/>
    <w:rsid w:val="00D6435E"/>
    <w:rsid w:val="00D66C59"/>
    <w:rsid w:val="00D70222"/>
    <w:rsid w:val="00D73883"/>
    <w:rsid w:val="00D73E78"/>
    <w:rsid w:val="00D7418B"/>
    <w:rsid w:val="00D762C3"/>
    <w:rsid w:val="00D76A31"/>
    <w:rsid w:val="00D80A49"/>
    <w:rsid w:val="00D81EDD"/>
    <w:rsid w:val="00D85017"/>
    <w:rsid w:val="00D92B3B"/>
    <w:rsid w:val="00D9474E"/>
    <w:rsid w:val="00D97210"/>
    <w:rsid w:val="00DA32C0"/>
    <w:rsid w:val="00DA7C27"/>
    <w:rsid w:val="00DB14BC"/>
    <w:rsid w:val="00DB3BCE"/>
    <w:rsid w:val="00DB68B0"/>
    <w:rsid w:val="00DC19C5"/>
    <w:rsid w:val="00DC4599"/>
    <w:rsid w:val="00DC4F10"/>
    <w:rsid w:val="00DC5901"/>
    <w:rsid w:val="00DC6E63"/>
    <w:rsid w:val="00DE49BC"/>
    <w:rsid w:val="00DE68ED"/>
    <w:rsid w:val="00DE6C3B"/>
    <w:rsid w:val="00DF03E5"/>
    <w:rsid w:val="00DF4D45"/>
    <w:rsid w:val="00DF745A"/>
    <w:rsid w:val="00E01146"/>
    <w:rsid w:val="00E039F5"/>
    <w:rsid w:val="00E07D34"/>
    <w:rsid w:val="00E145DE"/>
    <w:rsid w:val="00E21689"/>
    <w:rsid w:val="00E24007"/>
    <w:rsid w:val="00E25006"/>
    <w:rsid w:val="00E35DBD"/>
    <w:rsid w:val="00E37360"/>
    <w:rsid w:val="00E44C0F"/>
    <w:rsid w:val="00E450E7"/>
    <w:rsid w:val="00E464E7"/>
    <w:rsid w:val="00E51F1D"/>
    <w:rsid w:val="00E55609"/>
    <w:rsid w:val="00E64586"/>
    <w:rsid w:val="00E64FE6"/>
    <w:rsid w:val="00E66B62"/>
    <w:rsid w:val="00E67D33"/>
    <w:rsid w:val="00E71EDE"/>
    <w:rsid w:val="00E72F77"/>
    <w:rsid w:val="00E77206"/>
    <w:rsid w:val="00E85B03"/>
    <w:rsid w:val="00E90B73"/>
    <w:rsid w:val="00E92C09"/>
    <w:rsid w:val="00E93681"/>
    <w:rsid w:val="00E9722E"/>
    <w:rsid w:val="00E97DE9"/>
    <w:rsid w:val="00EA16F7"/>
    <w:rsid w:val="00EB003E"/>
    <w:rsid w:val="00EB09E1"/>
    <w:rsid w:val="00EB38B9"/>
    <w:rsid w:val="00EB6022"/>
    <w:rsid w:val="00EC651D"/>
    <w:rsid w:val="00ED03C2"/>
    <w:rsid w:val="00ED4544"/>
    <w:rsid w:val="00ED62CB"/>
    <w:rsid w:val="00EE1BF5"/>
    <w:rsid w:val="00EE2D57"/>
    <w:rsid w:val="00EF2A01"/>
    <w:rsid w:val="00EF3B83"/>
    <w:rsid w:val="00EF7445"/>
    <w:rsid w:val="00F040F6"/>
    <w:rsid w:val="00F06EC8"/>
    <w:rsid w:val="00F1265E"/>
    <w:rsid w:val="00F13AA8"/>
    <w:rsid w:val="00F13F07"/>
    <w:rsid w:val="00F15B12"/>
    <w:rsid w:val="00F27AB5"/>
    <w:rsid w:val="00F37754"/>
    <w:rsid w:val="00F424FE"/>
    <w:rsid w:val="00F426D5"/>
    <w:rsid w:val="00F4426C"/>
    <w:rsid w:val="00F44E9F"/>
    <w:rsid w:val="00F451FA"/>
    <w:rsid w:val="00F52C27"/>
    <w:rsid w:val="00F53FA8"/>
    <w:rsid w:val="00F57BA5"/>
    <w:rsid w:val="00F675A5"/>
    <w:rsid w:val="00F70B0A"/>
    <w:rsid w:val="00F840DF"/>
    <w:rsid w:val="00F859BA"/>
    <w:rsid w:val="00F90F1A"/>
    <w:rsid w:val="00F93C9D"/>
    <w:rsid w:val="00F96AD5"/>
    <w:rsid w:val="00F96CC6"/>
    <w:rsid w:val="00FA1DEA"/>
    <w:rsid w:val="00FA2D1B"/>
    <w:rsid w:val="00FA4400"/>
    <w:rsid w:val="00FA551E"/>
    <w:rsid w:val="00FA7B35"/>
    <w:rsid w:val="00FB29B7"/>
    <w:rsid w:val="00FB2CA6"/>
    <w:rsid w:val="00FB392B"/>
    <w:rsid w:val="00FC03B3"/>
    <w:rsid w:val="00FC5860"/>
    <w:rsid w:val="00FC5FD9"/>
    <w:rsid w:val="00FC7282"/>
    <w:rsid w:val="00FD271E"/>
    <w:rsid w:val="00FD6244"/>
    <w:rsid w:val="00FE0769"/>
    <w:rsid w:val="00FE1ACC"/>
    <w:rsid w:val="00FF373D"/>
    <w:rsid w:val="00FF41C9"/>
    <w:rsid w:val="00FF7135"/>
    <w:rsid w:val="00FF79C8"/>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shapelayout v:ext="edit">
      <o:idmap v:ext="edit" data="1"/>
    </o:shapelayout>
  </w:shapeDefaults>
  <w:decimalSymbol w:val="."/>
  <w:listSeparator w:val=","/>
  <w14:docId w14:val="4E578320"/>
  <w15:docId w15:val="{F7456268-AF03-48B5-84D3-7489E33D93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GB"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38A1"/>
    <w:rPr>
      <w:rFonts w:ascii="Times New Roman" w:hAnsi="Times New Roman"/>
    </w:rPr>
  </w:style>
  <w:style w:type="paragraph" w:styleId="Heading1">
    <w:name w:val="heading 1"/>
    <w:basedOn w:val="Normal"/>
    <w:next w:val="Normal"/>
    <w:link w:val="Heading1Char"/>
    <w:uiPriority w:val="9"/>
    <w:qFormat/>
    <w:rsid w:val="007A035C"/>
    <w:pPr>
      <w:keepNext/>
      <w:keepLines/>
      <w:spacing w:before="240"/>
      <w:outlineLvl w:val="0"/>
    </w:pPr>
    <w:rPr>
      <w:rFonts w:eastAsiaTheme="majorEastAsia" w:cstheme="majorBidi"/>
      <w:b/>
      <w:sz w:val="32"/>
      <w:szCs w:val="32"/>
    </w:rPr>
  </w:style>
  <w:style w:type="paragraph" w:styleId="Heading2">
    <w:name w:val="heading 2"/>
    <w:basedOn w:val="Normal"/>
    <w:next w:val="Normal"/>
    <w:link w:val="Heading2Char"/>
    <w:uiPriority w:val="9"/>
    <w:unhideWhenUsed/>
    <w:qFormat/>
    <w:rsid w:val="00AC07E6"/>
    <w:pPr>
      <w:keepNext/>
      <w:keepLines/>
      <w:kinsoku w:val="0"/>
      <w:adjustRightInd w:val="0"/>
      <w:spacing w:before="120" w:line="360" w:lineRule="auto"/>
      <w:jc w:val="both"/>
      <w:outlineLvl w:val="1"/>
    </w:pPr>
    <w:rPr>
      <w:rFonts w:eastAsia="SimSun" w:cs="Times New Roman"/>
      <w:b/>
      <w:szCs w:val="26"/>
    </w:rPr>
  </w:style>
  <w:style w:type="paragraph" w:styleId="Heading3">
    <w:name w:val="heading 3"/>
    <w:basedOn w:val="Normal"/>
    <w:next w:val="Normal"/>
    <w:link w:val="Heading3Char"/>
    <w:uiPriority w:val="9"/>
    <w:unhideWhenUsed/>
    <w:qFormat/>
    <w:rsid w:val="00677B9E"/>
    <w:pPr>
      <w:keepNext/>
      <w:keepLines/>
      <w:snapToGrid w:val="0"/>
      <w:spacing w:before="40"/>
      <w:outlineLvl w:val="2"/>
    </w:pPr>
    <w:rPr>
      <w:rFonts w:eastAsiaTheme="majorEastAsia" w:cstheme="majorBidi"/>
      <w:b/>
    </w:rPr>
  </w:style>
  <w:style w:type="paragraph" w:styleId="Heading4">
    <w:name w:val="heading 4"/>
    <w:basedOn w:val="Normal"/>
    <w:next w:val="Normal"/>
    <w:link w:val="Heading4Char"/>
    <w:uiPriority w:val="9"/>
    <w:unhideWhenUsed/>
    <w:qFormat/>
    <w:rsid w:val="0018781E"/>
    <w:pPr>
      <w:keepNext/>
      <w:keepLines/>
      <w:widowControl w:val="0"/>
      <w:kinsoku w:val="0"/>
      <w:adjustRightInd w:val="0"/>
      <w:spacing w:before="120" w:after="240" w:line="360" w:lineRule="auto"/>
      <w:jc w:val="both"/>
      <w:outlineLvl w:val="3"/>
    </w:pPr>
    <w:rPr>
      <w:rFonts w:eastAsia="SimSun" w:cs="Times New Roman"/>
      <w:i/>
      <w:iCs/>
      <w:kern w:val="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A035C"/>
    <w:rPr>
      <w:rFonts w:ascii="Times New Roman" w:eastAsiaTheme="majorEastAsia" w:hAnsi="Times New Roman" w:cstheme="majorBidi"/>
      <w:b/>
      <w:sz w:val="32"/>
      <w:szCs w:val="32"/>
    </w:rPr>
  </w:style>
  <w:style w:type="paragraph" w:styleId="Title">
    <w:name w:val="Title"/>
    <w:basedOn w:val="Normal"/>
    <w:next w:val="Normal"/>
    <w:link w:val="TitleChar"/>
    <w:uiPriority w:val="10"/>
    <w:qFormat/>
    <w:rsid w:val="005468FF"/>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468FF"/>
    <w:rPr>
      <w:rFonts w:asciiTheme="majorHAnsi" w:eastAsiaTheme="majorEastAsia" w:hAnsiTheme="majorHAnsi" w:cstheme="majorBidi"/>
      <w:spacing w:val="-10"/>
      <w:kern w:val="28"/>
      <w:sz w:val="56"/>
      <w:szCs w:val="56"/>
    </w:rPr>
  </w:style>
  <w:style w:type="paragraph" w:styleId="Caption">
    <w:name w:val="caption"/>
    <w:basedOn w:val="Normal"/>
    <w:next w:val="Normal"/>
    <w:uiPriority w:val="35"/>
    <w:unhideWhenUsed/>
    <w:qFormat/>
    <w:rsid w:val="009D4DB5"/>
    <w:rPr>
      <w:i/>
      <w:iCs/>
      <w:sz w:val="20"/>
      <w:szCs w:val="18"/>
      <w:lang w:val="en-HK"/>
    </w:rPr>
  </w:style>
  <w:style w:type="character" w:styleId="Hyperlink">
    <w:name w:val="Hyperlink"/>
    <w:basedOn w:val="DefaultParagraphFont"/>
    <w:uiPriority w:val="99"/>
    <w:unhideWhenUsed/>
    <w:rsid w:val="0018781E"/>
    <w:rPr>
      <w:color w:val="0563C1" w:themeColor="hyperlink"/>
      <w:u w:val="single"/>
    </w:rPr>
  </w:style>
  <w:style w:type="character" w:customStyle="1" w:styleId="UnresolvedMention1">
    <w:name w:val="Unresolved Mention1"/>
    <w:basedOn w:val="DefaultParagraphFont"/>
    <w:uiPriority w:val="99"/>
    <w:semiHidden/>
    <w:unhideWhenUsed/>
    <w:rsid w:val="0018781E"/>
    <w:rPr>
      <w:color w:val="605E5C"/>
      <w:shd w:val="clear" w:color="auto" w:fill="E1DFDD"/>
    </w:rPr>
  </w:style>
  <w:style w:type="character" w:customStyle="1" w:styleId="Heading3Char">
    <w:name w:val="Heading 3 Char"/>
    <w:basedOn w:val="DefaultParagraphFont"/>
    <w:link w:val="Heading3"/>
    <w:uiPriority w:val="9"/>
    <w:rsid w:val="00677B9E"/>
    <w:rPr>
      <w:rFonts w:ascii="Times New Roman" w:eastAsiaTheme="majorEastAsia" w:hAnsi="Times New Roman" w:cstheme="majorBidi"/>
      <w:b/>
    </w:rPr>
  </w:style>
  <w:style w:type="character" w:customStyle="1" w:styleId="Heading2Char">
    <w:name w:val="Heading 2 Char"/>
    <w:basedOn w:val="DefaultParagraphFont"/>
    <w:link w:val="Heading2"/>
    <w:uiPriority w:val="9"/>
    <w:rsid w:val="00AC07E6"/>
    <w:rPr>
      <w:rFonts w:ascii="Times New Roman" w:eastAsia="SimSun" w:hAnsi="Times New Roman" w:cs="Times New Roman"/>
      <w:b/>
      <w:szCs w:val="26"/>
    </w:rPr>
  </w:style>
  <w:style w:type="character" w:customStyle="1" w:styleId="Heading4Char">
    <w:name w:val="Heading 4 Char"/>
    <w:basedOn w:val="DefaultParagraphFont"/>
    <w:link w:val="Heading4"/>
    <w:uiPriority w:val="9"/>
    <w:rsid w:val="0018781E"/>
    <w:rPr>
      <w:rFonts w:ascii="Times New Roman" w:eastAsia="SimSun" w:hAnsi="Times New Roman" w:cs="Times New Roman"/>
      <w:i/>
      <w:iCs/>
      <w:kern w:val="2"/>
      <w:szCs w:val="22"/>
    </w:rPr>
  </w:style>
  <w:style w:type="table" w:styleId="TableGrid">
    <w:name w:val="Table Grid"/>
    <w:basedOn w:val="TableNormal"/>
    <w:uiPriority w:val="39"/>
    <w:rsid w:val="0018781E"/>
    <w:rPr>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1">
    <w:name w:val="List1"/>
    <w:basedOn w:val="Normal"/>
    <w:link w:val="listChar"/>
    <w:qFormat/>
    <w:rsid w:val="0018781E"/>
    <w:pPr>
      <w:numPr>
        <w:numId w:val="3"/>
      </w:numPr>
      <w:kinsoku w:val="0"/>
      <w:adjustRightInd w:val="0"/>
      <w:spacing w:before="120" w:after="240" w:line="360" w:lineRule="auto"/>
      <w:ind w:left="360"/>
      <w:jc w:val="both"/>
    </w:pPr>
    <w:rPr>
      <w:szCs w:val="22"/>
    </w:rPr>
  </w:style>
  <w:style w:type="character" w:customStyle="1" w:styleId="listChar">
    <w:name w:val="list Char"/>
    <w:basedOn w:val="DefaultParagraphFont"/>
    <w:link w:val="List1"/>
    <w:rsid w:val="0018781E"/>
    <w:rPr>
      <w:rFonts w:ascii="Times New Roman" w:hAnsi="Times New Roman"/>
      <w:szCs w:val="22"/>
    </w:rPr>
  </w:style>
  <w:style w:type="paragraph" w:styleId="NormalWeb">
    <w:name w:val="Normal (Web)"/>
    <w:basedOn w:val="Normal"/>
    <w:uiPriority w:val="99"/>
    <w:semiHidden/>
    <w:unhideWhenUsed/>
    <w:rsid w:val="001147FC"/>
    <w:pPr>
      <w:spacing w:before="100" w:beforeAutospacing="1" w:after="100" w:afterAutospacing="1"/>
    </w:pPr>
    <w:rPr>
      <w:rFonts w:eastAsia="Times New Roman" w:cs="Times New Roman"/>
      <w:lang w:val="en-US"/>
    </w:rPr>
  </w:style>
  <w:style w:type="character" w:styleId="CommentReference">
    <w:name w:val="annotation reference"/>
    <w:basedOn w:val="DefaultParagraphFont"/>
    <w:uiPriority w:val="99"/>
    <w:semiHidden/>
    <w:unhideWhenUsed/>
    <w:rsid w:val="00B758FA"/>
    <w:rPr>
      <w:sz w:val="16"/>
      <w:szCs w:val="16"/>
    </w:rPr>
  </w:style>
  <w:style w:type="paragraph" w:styleId="CommentText">
    <w:name w:val="annotation text"/>
    <w:basedOn w:val="Normal"/>
    <w:link w:val="CommentTextChar"/>
    <w:uiPriority w:val="99"/>
    <w:semiHidden/>
    <w:unhideWhenUsed/>
    <w:rsid w:val="00B758FA"/>
    <w:rPr>
      <w:sz w:val="20"/>
      <w:szCs w:val="20"/>
    </w:rPr>
  </w:style>
  <w:style w:type="character" w:customStyle="1" w:styleId="CommentTextChar">
    <w:name w:val="Comment Text Char"/>
    <w:basedOn w:val="DefaultParagraphFont"/>
    <w:link w:val="CommentText"/>
    <w:uiPriority w:val="99"/>
    <w:semiHidden/>
    <w:rsid w:val="00B758FA"/>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B758FA"/>
    <w:rPr>
      <w:b/>
      <w:bCs/>
    </w:rPr>
  </w:style>
  <w:style w:type="character" w:customStyle="1" w:styleId="CommentSubjectChar">
    <w:name w:val="Comment Subject Char"/>
    <w:basedOn w:val="CommentTextChar"/>
    <w:link w:val="CommentSubject"/>
    <w:uiPriority w:val="99"/>
    <w:semiHidden/>
    <w:rsid w:val="00B758FA"/>
    <w:rPr>
      <w:rFonts w:ascii="Times New Roman" w:hAnsi="Times New Roman"/>
      <w:b/>
      <w:bCs/>
      <w:sz w:val="20"/>
      <w:szCs w:val="20"/>
    </w:rPr>
  </w:style>
  <w:style w:type="paragraph" w:styleId="BalloonText">
    <w:name w:val="Balloon Text"/>
    <w:basedOn w:val="Normal"/>
    <w:link w:val="BalloonTextChar"/>
    <w:uiPriority w:val="99"/>
    <w:semiHidden/>
    <w:unhideWhenUsed/>
    <w:rsid w:val="00B758F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758FA"/>
    <w:rPr>
      <w:rFonts w:ascii="Segoe UI" w:hAnsi="Segoe UI" w:cs="Segoe UI"/>
      <w:sz w:val="18"/>
      <w:szCs w:val="18"/>
    </w:rPr>
  </w:style>
  <w:style w:type="paragraph" w:styleId="ListParagraph">
    <w:name w:val="List Paragraph"/>
    <w:basedOn w:val="Normal"/>
    <w:uiPriority w:val="34"/>
    <w:qFormat/>
    <w:rsid w:val="00252EE1"/>
    <w:pPr>
      <w:ind w:left="720"/>
      <w:contextualSpacing/>
    </w:pPr>
  </w:style>
  <w:style w:type="character" w:styleId="Strong">
    <w:name w:val="Strong"/>
    <w:basedOn w:val="DefaultParagraphFont"/>
    <w:uiPriority w:val="22"/>
    <w:qFormat/>
    <w:rsid w:val="00A456F2"/>
    <w:rPr>
      <w:b/>
      <w:bCs/>
    </w:rPr>
  </w:style>
  <w:style w:type="character" w:styleId="Emphasis">
    <w:name w:val="Emphasis"/>
    <w:basedOn w:val="DefaultParagraphFont"/>
    <w:uiPriority w:val="20"/>
    <w:qFormat/>
    <w:rsid w:val="00A456F2"/>
    <w:rPr>
      <w:i/>
      <w:iCs/>
    </w:rPr>
  </w:style>
  <w:style w:type="character" w:styleId="PlaceholderText">
    <w:name w:val="Placeholder Text"/>
    <w:basedOn w:val="DefaultParagraphFont"/>
    <w:uiPriority w:val="99"/>
    <w:semiHidden/>
    <w:rsid w:val="00940C32"/>
    <w:rPr>
      <w:color w:val="808080"/>
    </w:rPr>
  </w:style>
  <w:style w:type="character" w:customStyle="1" w:styleId="UnresolvedMention2">
    <w:name w:val="Unresolved Mention2"/>
    <w:basedOn w:val="DefaultParagraphFont"/>
    <w:uiPriority w:val="99"/>
    <w:semiHidden/>
    <w:unhideWhenUsed/>
    <w:rsid w:val="00005678"/>
    <w:rPr>
      <w:color w:val="605E5C"/>
      <w:shd w:val="clear" w:color="auto" w:fill="E1DFDD"/>
    </w:rPr>
  </w:style>
  <w:style w:type="paragraph" w:customStyle="1" w:styleId="mb0">
    <w:name w:val="mb0"/>
    <w:basedOn w:val="Normal"/>
    <w:rsid w:val="00465568"/>
    <w:pPr>
      <w:spacing w:before="100" w:beforeAutospacing="1" w:after="100" w:afterAutospacing="1"/>
    </w:pPr>
    <w:rPr>
      <w:rFonts w:eastAsia="Times New Roman" w:cs="Times New Roman"/>
      <w:lang w:val="en-HK"/>
    </w:rPr>
  </w:style>
  <w:style w:type="character" w:customStyle="1" w:styleId="ref-lnk">
    <w:name w:val="ref-lnk"/>
    <w:basedOn w:val="DefaultParagraphFont"/>
    <w:rsid w:val="00CB67C1"/>
  </w:style>
  <w:style w:type="character" w:customStyle="1" w:styleId="nlmyear">
    <w:name w:val="nlm_year"/>
    <w:basedOn w:val="DefaultParagraphFont"/>
    <w:rsid w:val="00CB67C1"/>
  </w:style>
  <w:style w:type="character" w:customStyle="1" w:styleId="hlfld-contribauthor">
    <w:name w:val="hlfld-contribauthor"/>
    <w:basedOn w:val="DefaultParagraphFont"/>
    <w:rsid w:val="00CB67C1"/>
  </w:style>
  <w:style w:type="character" w:customStyle="1" w:styleId="nlmgiven-names">
    <w:name w:val="nlm_given-names"/>
    <w:basedOn w:val="DefaultParagraphFont"/>
    <w:rsid w:val="00CB67C1"/>
  </w:style>
  <w:style w:type="character" w:customStyle="1" w:styleId="nlmarticle-title">
    <w:name w:val="nlm_article-title"/>
    <w:basedOn w:val="DefaultParagraphFont"/>
    <w:rsid w:val="00CB67C1"/>
  </w:style>
  <w:style w:type="character" w:customStyle="1" w:styleId="nlmpub-id">
    <w:name w:val="nlm_pub-id"/>
    <w:basedOn w:val="DefaultParagraphFont"/>
    <w:rsid w:val="00CB67C1"/>
  </w:style>
  <w:style w:type="character" w:customStyle="1" w:styleId="nlmfpage">
    <w:name w:val="nlm_fpage"/>
    <w:basedOn w:val="DefaultParagraphFont"/>
    <w:rsid w:val="00CB67C1"/>
  </w:style>
  <w:style w:type="character" w:customStyle="1" w:styleId="nlmlpage">
    <w:name w:val="nlm_lpage"/>
    <w:basedOn w:val="DefaultParagraphFont"/>
    <w:rsid w:val="00CB67C1"/>
  </w:style>
  <w:style w:type="character" w:styleId="IntenseEmphasis">
    <w:name w:val="Intense Emphasis"/>
    <w:basedOn w:val="DefaultParagraphFont"/>
    <w:uiPriority w:val="21"/>
    <w:qFormat/>
    <w:rsid w:val="00B5022F"/>
    <w:rPr>
      <w:rFonts w:ascii="Times New Roman" w:hAnsi="Times New Roman"/>
      <w:i w:val="0"/>
      <w:iCs/>
      <w:color w:val="auto"/>
      <w:sz w:val="18"/>
    </w:rPr>
  </w:style>
  <w:style w:type="paragraph" w:customStyle="1" w:styleId="AU">
    <w:name w:val="AU"/>
    <w:basedOn w:val="Normal"/>
    <w:rsid w:val="00086F32"/>
    <w:pPr>
      <w:spacing w:before="120" w:after="120"/>
    </w:pPr>
    <w:rPr>
      <w:rFonts w:eastAsia="SimSun" w:cs="Times New Roman"/>
      <w:color w:val="00823B"/>
      <w:sz w:val="32"/>
      <w:lang w:val="en-US" w:eastAsia="en-US"/>
    </w:rPr>
  </w:style>
  <w:style w:type="character" w:customStyle="1" w:styleId="UnresolvedMention3">
    <w:name w:val="Unresolved Mention3"/>
    <w:basedOn w:val="DefaultParagraphFont"/>
    <w:uiPriority w:val="99"/>
    <w:semiHidden/>
    <w:unhideWhenUsed/>
    <w:rsid w:val="00FC7282"/>
    <w:rPr>
      <w:color w:val="605E5C"/>
      <w:shd w:val="clear" w:color="auto" w:fill="E1DFDD"/>
    </w:rPr>
  </w:style>
  <w:style w:type="character" w:customStyle="1" w:styleId="ref-title">
    <w:name w:val="ref-title"/>
    <w:basedOn w:val="DefaultParagraphFont"/>
    <w:rsid w:val="00B344D3"/>
  </w:style>
  <w:style w:type="character" w:customStyle="1" w:styleId="ref-journal">
    <w:name w:val="ref-journal"/>
    <w:basedOn w:val="DefaultParagraphFont"/>
    <w:rsid w:val="00B344D3"/>
  </w:style>
  <w:style w:type="character" w:customStyle="1" w:styleId="ref-vol">
    <w:name w:val="ref-vol"/>
    <w:basedOn w:val="DefaultParagraphFont"/>
    <w:rsid w:val="00B344D3"/>
  </w:style>
  <w:style w:type="paragraph" w:styleId="NoSpacing">
    <w:name w:val="No Spacing"/>
    <w:basedOn w:val="Normal"/>
    <w:uiPriority w:val="1"/>
    <w:qFormat/>
    <w:rsid w:val="005203DC"/>
    <w:pPr>
      <w:spacing w:line="480" w:lineRule="auto"/>
    </w:pPr>
    <w:rPr>
      <w:rFonts w:eastAsia="PMingLiU" w:cs="Times New Roman"/>
      <w:sz w:val="22"/>
      <w:szCs w:val="22"/>
      <w:lang w:val="en-US" w:eastAsia="zh-TW"/>
    </w:rPr>
  </w:style>
  <w:style w:type="paragraph" w:styleId="Revision">
    <w:name w:val="Revision"/>
    <w:hidden/>
    <w:uiPriority w:val="99"/>
    <w:semiHidden/>
    <w:rsid w:val="008725D1"/>
    <w:rPr>
      <w:rFonts w:ascii="Times New Roman" w:hAnsi="Times New Roman"/>
    </w:rPr>
  </w:style>
  <w:style w:type="paragraph" w:styleId="Header">
    <w:name w:val="header"/>
    <w:basedOn w:val="Normal"/>
    <w:link w:val="HeaderChar"/>
    <w:uiPriority w:val="99"/>
    <w:unhideWhenUsed/>
    <w:rsid w:val="002667AE"/>
    <w:pPr>
      <w:tabs>
        <w:tab w:val="center" w:pos="4680"/>
        <w:tab w:val="right" w:pos="9360"/>
      </w:tabs>
    </w:pPr>
  </w:style>
  <w:style w:type="character" w:customStyle="1" w:styleId="HeaderChar">
    <w:name w:val="Header Char"/>
    <w:basedOn w:val="DefaultParagraphFont"/>
    <w:link w:val="Header"/>
    <w:uiPriority w:val="99"/>
    <w:rsid w:val="002667AE"/>
    <w:rPr>
      <w:rFonts w:ascii="Times New Roman" w:hAnsi="Times New Roman"/>
    </w:rPr>
  </w:style>
  <w:style w:type="paragraph" w:styleId="Footer">
    <w:name w:val="footer"/>
    <w:basedOn w:val="Normal"/>
    <w:link w:val="FooterChar"/>
    <w:uiPriority w:val="99"/>
    <w:unhideWhenUsed/>
    <w:rsid w:val="002667AE"/>
    <w:pPr>
      <w:tabs>
        <w:tab w:val="center" w:pos="4680"/>
        <w:tab w:val="right" w:pos="9360"/>
      </w:tabs>
    </w:pPr>
  </w:style>
  <w:style w:type="character" w:customStyle="1" w:styleId="FooterChar">
    <w:name w:val="Footer Char"/>
    <w:basedOn w:val="DefaultParagraphFont"/>
    <w:link w:val="Footer"/>
    <w:uiPriority w:val="99"/>
    <w:rsid w:val="002667AE"/>
    <w:rPr>
      <w:rFonts w:ascii="Times New Roman" w:hAnsi="Times New Roman"/>
    </w:rPr>
  </w:style>
  <w:style w:type="character" w:customStyle="1" w:styleId="highlight">
    <w:name w:val="highlight"/>
    <w:basedOn w:val="DefaultParagraphFont"/>
    <w:rsid w:val="00C25B52"/>
  </w:style>
  <w:style w:type="character" w:customStyle="1" w:styleId="currenthithighlight">
    <w:name w:val="currenthithighlight"/>
    <w:basedOn w:val="DefaultParagraphFont"/>
    <w:rsid w:val="009800A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421884">
      <w:bodyDiv w:val="1"/>
      <w:marLeft w:val="0"/>
      <w:marRight w:val="0"/>
      <w:marTop w:val="0"/>
      <w:marBottom w:val="0"/>
      <w:divBdr>
        <w:top w:val="none" w:sz="0" w:space="0" w:color="auto"/>
        <w:left w:val="none" w:sz="0" w:space="0" w:color="auto"/>
        <w:bottom w:val="none" w:sz="0" w:space="0" w:color="auto"/>
        <w:right w:val="none" w:sz="0" w:space="0" w:color="auto"/>
      </w:divBdr>
    </w:div>
    <w:div w:id="57755277">
      <w:bodyDiv w:val="1"/>
      <w:marLeft w:val="0"/>
      <w:marRight w:val="0"/>
      <w:marTop w:val="0"/>
      <w:marBottom w:val="0"/>
      <w:divBdr>
        <w:top w:val="none" w:sz="0" w:space="0" w:color="auto"/>
        <w:left w:val="none" w:sz="0" w:space="0" w:color="auto"/>
        <w:bottom w:val="none" w:sz="0" w:space="0" w:color="auto"/>
        <w:right w:val="none" w:sz="0" w:space="0" w:color="auto"/>
      </w:divBdr>
      <w:divsChild>
        <w:div w:id="1138836734">
          <w:marLeft w:val="0"/>
          <w:marRight w:val="0"/>
          <w:marTop w:val="0"/>
          <w:marBottom w:val="0"/>
          <w:divBdr>
            <w:top w:val="none" w:sz="0" w:space="0" w:color="auto"/>
            <w:left w:val="none" w:sz="0" w:space="0" w:color="auto"/>
            <w:bottom w:val="none" w:sz="0" w:space="0" w:color="auto"/>
            <w:right w:val="none" w:sz="0" w:space="0" w:color="auto"/>
          </w:divBdr>
        </w:div>
        <w:div w:id="1568490854">
          <w:marLeft w:val="0"/>
          <w:marRight w:val="0"/>
          <w:marTop w:val="0"/>
          <w:marBottom w:val="0"/>
          <w:divBdr>
            <w:top w:val="none" w:sz="0" w:space="0" w:color="auto"/>
            <w:left w:val="none" w:sz="0" w:space="0" w:color="auto"/>
            <w:bottom w:val="none" w:sz="0" w:space="0" w:color="auto"/>
            <w:right w:val="none" w:sz="0" w:space="0" w:color="auto"/>
          </w:divBdr>
        </w:div>
      </w:divsChild>
    </w:div>
    <w:div w:id="203757178">
      <w:bodyDiv w:val="1"/>
      <w:marLeft w:val="0"/>
      <w:marRight w:val="0"/>
      <w:marTop w:val="0"/>
      <w:marBottom w:val="0"/>
      <w:divBdr>
        <w:top w:val="none" w:sz="0" w:space="0" w:color="auto"/>
        <w:left w:val="none" w:sz="0" w:space="0" w:color="auto"/>
        <w:bottom w:val="none" w:sz="0" w:space="0" w:color="auto"/>
        <w:right w:val="none" w:sz="0" w:space="0" w:color="auto"/>
      </w:divBdr>
    </w:div>
    <w:div w:id="206652282">
      <w:bodyDiv w:val="1"/>
      <w:marLeft w:val="0"/>
      <w:marRight w:val="0"/>
      <w:marTop w:val="0"/>
      <w:marBottom w:val="0"/>
      <w:divBdr>
        <w:top w:val="none" w:sz="0" w:space="0" w:color="auto"/>
        <w:left w:val="none" w:sz="0" w:space="0" w:color="auto"/>
        <w:bottom w:val="none" w:sz="0" w:space="0" w:color="auto"/>
        <w:right w:val="none" w:sz="0" w:space="0" w:color="auto"/>
      </w:divBdr>
    </w:div>
    <w:div w:id="253516483">
      <w:bodyDiv w:val="1"/>
      <w:marLeft w:val="0"/>
      <w:marRight w:val="0"/>
      <w:marTop w:val="0"/>
      <w:marBottom w:val="0"/>
      <w:divBdr>
        <w:top w:val="none" w:sz="0" w:space="0" w:color="auto"/>
        <w:left w:val="none" w:sz="0" w:space="0" w:color="auto"/>
        <w:bottom w:val="none" w:sz="0" w:space="0" w:color="auto"/>
        <w:right w:val="none" w:sz="0" w:space="0" w:color="auto"/>
      </w:divBdr>
    </w:div>
    <w:div w:id="299238122">
      <w:bodyDiv w:val="1"/>
      <w:marLeft w:val="0"/>
      <w:marRight w:val="0"/>
      <w:marTop w:val="0"/>
      <w:marBottom w:val="0"/>
      <w:divBdr>
        <w:top w:val="none" w:sz="0" w:space="0" w:color="auto"/>
        <w:left w:val="none" w:sz="0" w:space="0" w:color="auto"/>
        <w:bottom w:val="none" w:sz="0" w:space="0" w:color="auto"/>
        <w:right w:val="none" w:sz="0" w:space="0" w:color="auto"/>
      </w:divBdr>
    </w:div>
    <w:div w:id="356391509">
      <w:bodyDiv w:val="1"/>
      <w:marLeft w:val="0"/>
      <w:marRight w:val="0"/>
      <w:marTop w:val="0"/>
      <w:marBottom w:val="0"/>
      <w:divBdr>
        <w:top w:val="none" w:sz="0" w:space="0" w:color="auto"/>
        <w:left w:val="none" w:sz="0" w:space="0" w:color="auto"/>
        <w:bottom w:val="none" w:sz="0" w:space="0" w:color="auto"/>
        <w:right w:val="none" w:sz="0" w:space="0" w:color="auto"/>
      </w:divBdr>
    </w:div>
    <w:div w:id="360518726">
      <w:bodyDiv w:val="1"/>
      <w:marLeft w:val="0"/>
      <w:marRight w:val="0"/>
      <w:marTop w:val="0"/>
      <w:marBottom w:val="0"/>
      <w:divBdr>
        <w:top w:val="none" w:sz="0" w:space="0" w:color="auto"/>
        <w:left w:val="none" w:sz="0" w:space="0" w:color="auto"/>
        <w:bottom w:val="none" w:sz="0" w:space="0" w:color="auto"/>
        <w:right w:val="none" w:sz="0" w:space="0" w:color="auto"/>
      </w:divBdr>
      <w:divsChild>
        <w:div w:id="656493065">
          <w:marLeft w:val="0"/>
          <w:marRight w:val="0"/>
          <w:marTop w:val="0"/>
          <w:marBottom w:val="0"/>
          <w:divBdr>
            <w:top w:val="none" w:sz="0" w:space="0" w:color="auto"/>
            <w:left w:val="none" w:sz="0" w:space="0" w:color="auto"/>
            <w:bottom w:val="none" w:sz="0" w:space="0" w:color="auto"/>
            <w:right w:val="none" w:sz="0" w:space="0" w:color="auto"/>
          </w:divBdr>
        </w:div>
        <w:div w:id="1779325485">
          <w:marLeft w:val="0"/>
          <w:marRight w:val="0"/>
          <w:marTop w:val="0"/>
          <w:marBottom w:val="0"/>
          <w:divBdr>
            <w:top w:val="none" w:sz="0" w:space="0" w:color="auto"/>
            <w:left w:val="none" w:sz="0" w:space="0" w:color="auto"/>
            <w:bottom w:val="none" w:sz="0" w:space="0" w:color="auto"/>
            <w:right w:val="none" w:sz="0" w:space="0" w:color="auto"/>
          </w:divBdr>
        </w:div>
      </w:divsChild>
    </w:div>
    <w:div w:id="402602588">
      <w:bodyDiv w:val="1"/>
      <w:marLeft w:val="0"/>
      <w:marRight w:val="0"/>
      <w:marTop w:val="0"/>
      <w:marBottom w:val="0"/>
      <w:divBdr>
        <w:top w:val="none" w:sz="0" w:space="0" w:color="auto"/>
        <w:left w:val="none" w:sz="0" w:space="0" w:color="auto"/>
        <w:bottom w:val="none" w:sz="0" w:space="0" w:color="auto"/>
        <w:right w:val="none" w:sz="0" w:space="0" w:color="auto"/>
      </w:divBdr>
    </w:div>
    <w:div w:id="533008911">
      <w:bodyDiv w:val="1"/>
      <w:marLeft w:val="0"/>
      <w:marRight w:val="0"/>
      <w:marTop w:val="0"/>
      <w:marBottom w:val="0"/>
      <w:divBdr>
        <w:top w:val="none" w:sz="0" w:space="0" w:color="auto"/>
        <w:left w:val="none" w:sz="0" w:space="0" w:color="auto"/>
        <w:bottom w:val="none" w:sz="0" w:space="0" w:color="auto"/>
        <w:right w:val="none" w:sz="0" w:space="0" w:color="auto"/>
      </w:divBdr>
    </w:div>
    <w:div w:id="558630746">
      <w:bodyDiv w:val="1"/>
      <w:marLeft w:val="0"/>
      <w:marRight w:val="0"/>
      <w:marTop w:val="0"/>
      <w:marBottom w:val="0"/>
      <w:divBdr>
        <w:top w:val="none" w:sz="0" w:space="0" w:color="auto"/>
        <w:left w:val="none" w:sz="0" w:space="0" w:color="auto"/>
        <w:bottom w:val="none" w:sz="0" w:space="0" w:color="auto"/>
        <w:right w:val="none" w:sz="0" w:space="0" w:color="auto"/>
      </w:divBdr>
    </w:div>
    <w:div w:id="605380610">
      <w:bodyDiv w:val="1"/>
      <w:marLeft w:val="0"/>
      <w:marRight w:val="0"/>
      <w:marTop w:val="0"/>
      <w:marBottom w:val="0"/>
      <w:divBdr>
        <w:top w:val="none" w:sz="0" w:space="0" w:color="auto"/>
        <w:left w:val="none" w:sz="0" w:space="0" w:color="auto"/>
        <w:bottom w:val="none" w:sz="0" w:space="0" w:color="auto"/>
        <w:right w:val="none" w:sz="0" w:space="0" w:color="auto"/>
      </w:divBdr>
      <w:divsChild>
        <w:div w:id="418411989">
          <w:marLeft w:val="547"/>
          <w:marRight w:val="0"/>
          <w:marTop w:val="0"/>
          <w:marBottom w:val="0"/>
          <w:divBdr>
            <w:top w:val="none" w:sz="0" w:space="0" w:color="auto"/>
            <w:left w:val="none" w:sz="0" w:space="0" w:color="auto"/>
            <w:bottom w:val="none" w:sz="0" w:space="0" w:color="auto"/>
            <w:right w:val="none" w:sz="0" w:space="0" w:color="auto"/>
          </w:divBdr>
        </w:div>
        <w:div w:id="515533396">
          <w:marLeft w:val="547"/>
          <w:marRight w:val="0"/>
          <w:marTop w:val="0"/>
          <w:marBottom w:val="0"/>
          <w:divBdr>
            <w:top w:val="none" w:sz="0" w:space="0" w:color="auto"/>
            <w:left w:val="none" w:sz="0" w:space="0" w:color="auto"/>
            <w:bottom w:val="none" w:sz="0" w:space="0" w:color="auto"/>
            <w:right w:val="none" w:sz="0" w:space="0" w:color="auto"/>
          </w:divBdr>
        </w:div>
        <w:div w:id="1008943767">
          <w:marLeft w:val="547"/>
          <w:marRight w:val="0"/>
          <w:marTop w:val="0"/>
          <w:marBottom w:val="0"/>
          <w:divBdr>
            <w:top w:val="none" w:sz="0" w:space="0" w:color="auto"/>
            <w:left w:val="none" w:sz="0" w:space="0" w:color="auto"/>
            <w:bottom w:val="none" w:sz="0" w:space="0" w:color="auto"/>
            <w:right w:val="none" w:sz="0" w:space="0" w:color="auto"/>
          </w:divBdr>
        </w:div>
        <w:div w:id="2101028545">
          <w:marLeft w:val="547"/>
          <w:marRight w:val="0"/>
          <w:marTop w:val="0"/>
          <w:marBottom w:val="0"/>
          <w:divBdr>
            <w:top w:val="none" w:sz="0" w:space="0" w:color="auto"/>
            <w:left w:val="none" w:sz="0" w:space="0" w:color="auto"/>
            <w:bottom w:val="none" w:sz="0" w:space="0" w:color="auto"/>
            <w:right w:val="none" w:sz="0" w:space="0" w:color="auto"/>
          </w:divBdr>
        </w:div>
      </w:divsChild>
    </w:div>
    <w:div w:id="639773193">
      <w:bodyDiv w:val="1"/>
      <w:marLeft w:val="0"/>
      <w:marRight w:val="0"/>
      <w:marTop w:val="0"/>
      <w:marBottom w:val="0"/>
      <w:divBdr>
        <w:top w:val="none" w:sz="0" w:space="0" w:color="auto"/>
        <w:left w:val="none" w:sz="0" w:space="0" w:color="auto"/>
        <w:bottom w:val="none" w:sz="0" w:space="0" w:color="auto"/>
        <w:right w:val="none" w:sz="0" w:space="0" w:color="auto"/>
      </w:divBdr>
    </w:div>
    <w:div w:id="645934970">
      <w:bodyDiv w:val="1"/>
      <w:marLeft w:val="0"/>
      <w:marRight w:val="0"/>
      <w:marTop w:val="0"/>
      <w:marBottom w:val="0"/>
      <w:divBdr>
        <w:top w:val="none" w:sz="0" w:space="0" w:color="auto"/>
        <w:left w:val="none" w:sz="0" w:space="0" w:color="auto"/>
        <w:bottom w:val="none" w:sz="0" w:space="0" w:color="auto"/>
        <w:right w:val="none" w:sz="0" w:space="0" w:color="auto"/>
      </w:divBdr>
    </w:div>
    <w:div w:id="657883042">
      <w:bodyDiv w:val="1"/>
      <w:marLeft w:val="0"/>
      <w:marRight w:val="0"/>
      <w:marTop w:val="0"/>
      <w:marBottom w:val="0"/>
      <w:divBdr>
        <w:top w:val="none" w:sz="0" w:space="0" w:color="auto"/>
        <w:left w:val="none" w:sz="0" w:space="0" w:color="auto"/>
        <w:bottom w:val="none" w:sz="0" w:space="0" w:color="auto"/>
        <w:right w:val="none" w:sz="0" w:space="0" w:color="auto"/>
      </w:divBdr>
    </w:div>
    <w:div w:id="699740554">
      <w:bodyDiv w:val="1"/>
      <w:marLeft w:val="0"/>
      <w:marRight w:val="0"/>
      <w:marTop w:val="0"/>
      <w:marBottom w:val="0"/>
      <w:divBdr>
        <w:top w:val="none" w:sz="0" w:space="0" w:color="auto"/>
        <w:left w:val="none" w:sz="0" w:space="0" w:color="auto"/>
        <w:bottom w:val="none" w:sz="0" w:space="0" w:color="auto"/>
        <w:right w:val="none" w:sz="0" w:space="0" w:color="auto"/>
      </w:divBdr>
    </w:div>
    <w:div w:id="712728122">
      <w:bodyDiv w:val="1"/>
      <w:marLeft w:val="0"/>
      <w:marRight w:val="0"/>
      <w:marTop w:val="0"/>
      <w:marBottom w:val="0"/>
      <w:divBdr>
        <w:top w:val="none" w:sz="0" w:space="0" w:color="auto"/>
        <w:left w:val="none" w:sz="0" w:space="0" w:color="auto"/>
        <w:bottom w:val="none" w:sz="0" w:space="0" w:color="auto"/>
        <w:right w:val="none" w:sz="0" w:space="0" w:color="auto"/>
      </w:divBdr>
    </w:div>
    <w:div w:id="788015809">
      <w:bodyDiv w:val="1"/>
      <w:marLeft w:val="0"/>
      <w:marRight w:val="0"/>
      <w:marTop w:val="0"/>
      <w:marBottom w:val="0"/>
      <w:divBdr>
        <w:top w:val="none" w:sz="0" w:space="0" w:color="auto"/>
        <w:left w:val="none" w:sz="0" w:space="0" w:color="auto"/>
        <w:bottom w:val="none" w:sz="0" w:space="0" w:color="auto"/>
        <w:right w:val="none" w:sz="0" w:space="0" w:color="auto"/>
      </w:divBdr>
      <w:divsChild>
        <w:div w:id="664549782">
          <w:marLeft w:val="547"/>
          <w:marRight w:val="0"/>
          <w:marTop w:val="0"/>
          <w:marBottom w:val="0"/>
          <w:divBdr>
            <w:top w:val="none" w:sz="0" w:space="0" w:color="auto"/>
            <w:left w:val="none" w:sz="0" w:space="0" w:color="auto"/>
            <w:bottom w:val="none" w:sz="0" w:space="0" w:color="auto"/>
            <w:right w:val="none" w:sz="0" w:space="0" w:color="auto"/>
          </w:divBdr>
        </w:div>
        <w:div w:id="843279259">
          <w:marLeft w:val="547"/>
          <w:marRight w:val="0"/>
          <w:marTop w:val="0"/>
          <w:marBottom w:val="0"/>
          <w:divBdr>
            <w:top w:val="none" w:sz="0" w:space="0" w:color="auto"/>
            <w:left w:val="none" w:sz="0" w:space="0" w:color="auto"/>
            <w:bottom w:val="none" w:sz="0" w:space="0" w:color="auto"/>
            <w:right w:val="none" w:sz="0" w:space="0" w:color="auto"/>
          </w:divBdr>
        </w:div>
        <w:div w:id="948783726">
          <w:marLeft w:val="547"/>
          <w:marRight w:val="0"/>
          <w:marTop w:val="0"/>
          <w:marBottom w:val="0"/>
          <w:divBdr>
            <w:top w:val="none" w:sz="0" w:space="0" w:color="auto"/>
            <w:left w:val="none" w:sz="0" w:space="0" w:color="auto"/>
            <w:bottom w:val="none" w:sz="0" w:space="0" w:color="auto"/>
            <w:right w:val="none" w:sz="0" w:space="0" w:color="auto"/>
          </w:divBdr>
        </w:div>
        <w:div w:id="1834568692">
          <w:marLeft w:val="547"/>
          <w:marRight w:val="0"/>
          <w:marTop w:val="0"/>
          <w:marBottom w:val="0"/>
          <w:divBdr>
            <w:top w:val="none" w:sz="0" w:space="0" w:color="auto"/>
            <w:left w:val="none" w:sz="0" w:space="0" w:color="auto"/>
            <w:bottom w:val="none" w:sz="0" w:space="0" w:color="auto"/>
            <w:right w:val="none" w:sz="0" w:space="0" w:color="auto"/>
          </w:divBdr>
        </w:div>
      </w:divsChild>
    </w:div>
    <w:div w:id="824664435">
      <w:bodyDiv w:val="1"/>
      <w:marLeft w:val="0"/>
      <w:marRight w:val="0"/>
      <w:marTop w:val="0"/>
      <w:marBottom w:val="0"/>
      <w:divBdr>
        <w:top w:val="none" w:sz="0" w:space="0" w:color="auto"/>
        <w:left w:val="none" w:sz="0" w:space="0" w:color="auto"/>
        <w:bottom w:val="none" w:sz="0" w:space="0" w:color="auto"/>
        <w:right w:val="none" w:sz="0" w:space="0" w:color="auto"/>
      </w:divBdr>
    </w:div>
    <w:div w:id="962199607">
      <w:bodyDiv w:val="1"/>
      <w:marLeft w:val="0"/>
      <w:marRight w:val="0"/>
      <w:marTop w:val="0"/>
      <w:marBottom w:val="0"/>
      <w:divBdr>
        <w:top w:val="none" w:sz="0" w:space="0" w:color="auto"/>
        <w:left w:val="none" w:sz="0" w:space="0" w:color="auto"/>
        <w:bottom w:val="none" w:sz="0" w:space="0" w:color="auto"/>
        <w:right w:val="none" w:sz="0" w:space="0" w:color="auto"/>
      </w:divBdr>
    </w:div>
    <w:div w:id="1003509463">
      <w:bodyDiv w:val="1"/>
      <w:marLeft w:val="0"/>
      <w:marRight w:val="0"/>
      <w:marTop w:val="0"/>
      <w:marBottom w:val="0"/>
      <w:divBdr>
        <w:top w:val="none" w:sz="0" w:space="0" w:color="auto"/>
        <w:left w:val="none" w:sz="0" w:space="0" w:color="auto"/>
        <w:bottom w:val="none" w:sz="0" w:space="0" w:color="auto"/>
        <w:right w:val="none" w:sz="0" w:space="0" w:color="auto"/>
      </w:divBdr>
    </w:div>
    <w:div w:id="1010984185">
      <w:bodyDiv w:val="1"/>
      <w:marLeft w:val="0"/>
      <w:marRight w:val="0"/>
      <w:marTop w:val="0"/>
      <w:marBottom w:val="0"/>
      <w:divBdr>
        <w:top w:val="none" w:sz="0" w:space="0" w:color="auto"/>
        <w:left w:val="none" w:sz="0" w:space="0" w:color="auto"/>
        <w:bottom w:val="none" w:sz="0" w:space="0" w:color="auto"/>
        <w:right w:val="none" w:sz="0" w:space="0" w:color="auto"/>
      </w:divBdr>
    </w:div>
    <w:div w:id="1019966477">
      <w:bodyDiv w:val="1"/>
      <w:marLeft w:val="0"/>
      <w:marRight w:val="0"/>
      <w:marTop w:val="0"/>
      <w:marBottom w:val="0"/>
      <w:divBdr>
        <w:top w:val="none" w:sz="0" w:space="0" w:color="auto"/>
        <w:left w:val="none" w:sz="0" w:space="0" w:color="auto"/>
        <w:bottom w:val="none" w:sz="0" w:space="0" w:color="auto"/>
        <w:right w:val="none" w:sz="0" w:space="0" w:color="auto"/>
      </w:divBdr>
    </w:div>
    <w:div w:id="1062605413">
      <w:bodyDiv w:val="1"/>
      <w:marLeft w:val="0"/>
      <w:marRight w:val="0"/>
      <w:marTop w:val="0"/>
      <w:marBottom w:val="0"/>
      <w:divBdr>
        <w:top w:val="none" w:sz="0" w:space="0" w:color="auto"/>
        <w:left w:val="none" w:sz="0" w:space="0" w:color="auto"/>
        <w:bottom w:val="none" w:sz="0" w:space="0" w:color="auto"/>
        <w:right w:val="none" w:sz="0" w:space="0" w:color="auto"/>
      </w:divBdr>
    </w:div>
    <w:div w:id="1166869890">
      <w:bodyDiv w:val="1"/>
      <w:marLeft w:val="0"/>
      <w:marRight w:val="0"/>
      <w:marTop w:val="0"/>
      <w:marBottom w:val="0"/>
      <w:divBdr>
        <w:top w:val="none" w:sz="0" w:space="0" w:color="auto"/>
        <w:left w:val="none" w:sz="0" w:space="0" w:color="auto"/>
        <w:bottom w:val="none" w:sz="0" w:space="0" w:color="auto"/>
        <w:right w:val="none" w:sz="0" w:space="0" w:color="auto"/>
      </w:divBdr>
    </w:div>
    <w:div w:id="1186217071">
      <w:bodyDiv w:val="1"/>
      <w:marLeft w:val="0"/>
      <w:marRight w:val="0"/>
      <w:marTop w:val="0"/>
      <w:marBottom w:val="0"/>
      <w:divBdr>
        <w:top w:val="none" w:sz="0" w:space="0" w:color="auto"/>
        <w:left w:val="none" w:sz="0" w:space="0" w:color="auto"/>
        <w:bottom w:val="none" w:sz="0" w:space="0" w:color="auto"/>
        <w:right w:val="none" w:sz="0" w:space="0" w:color="auto"/>
      </w:divBdr>
    </w:div>
    <w:div w:id="1239708231">
      <w:bodyDiv w:val="1"/>
      <w:marLeft w:val="0"/>
      <w:marRight w:val="0"/>
      <w:marTop w:val="0"/>
      <w:marBottom w:val="0"/>
      <w:divBdr>
        <w:top w:val="none" w:sz="0" w:space="0" w:color="auto"/>
        <w:left w:val="none" w:sz="0" w:space="0" w:color="auto"/>
        <w:bottom w:val="none" w:sz="0" w:space="0" w:color="auto"/>
        <w:right w:val="none" w:sz="0" w:space="0" w:color="auto"/>
      </w:divBdr>
      <w:divsChild>
        <w:div w:id="64713268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44425595">
              <w:marLeft w:val="0"/>
              <w:marRight w:val="0"/>
              <w:marTop w:val="0"/>
              <w:marBottom w:val="0"/>
              <w:divBdr>
                <w:top w:val="none" w:sz="0" w:space="0" w:color="auto"/>
                <w:left w:val="none" w:sz="0" w:space="0" w:color="auto"/>
                <w:bottom w:val="none" w:sz="0" w:space="0" w:color="auto"/>
                <w:right w:val="none" w:sz="0" w:space="0" w:color="auto"/>
              </w:divBdr>
              <w:divsChild>
                <w:div w:id="1373069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192499">
      <w:bodyDiv w:val="1"/>
      <w:marLeft w:val="0"/>
      <w:marRight w:val="0"/>
      <w:marTop w:val="0"/>
      <w:marBottom w:val="0"/>
      <w:divBdr>
        <w:top w:val="none" w:sz="0" w:space="0" w:color="auto"/>
        <w:left w:val="none" w:sz="0" w:space="0" w:color="auto"/>
        <w:bottom w:val="none" w:sz="0" w:space="0" w:color="auto"/>
        <w:right w:val="none" w:sz="0" w:space="0" w:color="auto"/>
      </w:divBdr>
      <w:divsChild>
        <w:div w:id="212623454">
          <w:marLeft w:val="360"/>
          <w:marRight w:val="0"/>
          <w:marTop w:val="200"/>
          <w:marBottom w:val="0"/>
          <w:divBdr>
            <w:top w:val="none" w:sz="0" w:space="0" w:color="auto"/>
            <w:left w:val="none" w:sz="0" w:space="0" w:color="auto"/>
            <w:bottom w:val="none" w:sz="0" w:space="0" w:color="auto"/>
            <w:right w:val="none" w:sz="0" w:space="0" w:color="auto"/>
          </w:divBdr>
        </w:div>
        <w:div w:id="466581504">
          <w:marLeft w:val="360"/>
          <w:marRight w:val="0"/>
          <w:marTop w:val="200"/>
          <w:marBottom w:val="0"/>
          <w:divBdr>
            <w:top w:val="none" w:sz="0" w:space="0" w:color="auto"/>
            <w:left w:val="none" w:sz="0" w:space="0" w:color="auto"/>
            <w:bottom w:val="none" w:sz="0" w:space="0" w:color="auto"/>
            <w:right w:val="none" w:sz="0" w:space="0" w:color="auto"/>
          </w:divBdr>
        </w:div>
      </w:divsChild>
    </w:div>
    <w:div w:id="1396390696">
      <w:bodyDiv w:val="1"/>
      <w:marLeft w:val="0"/>
      <w:marRight w:val="0"/>
      <w:marTop w:val="0"/>
      <w:marBottom w:val="0"/>
      <w:divBdr>
        <w:top w:val="none" w:sz="0" w:space="0" w:color="auto"/>
        <w:left w:val="none" w:sz="0" w:space="0" w:color="auto"/>
        <w:bottom w:val="none" w:sz="0" w:space="0" w:color="auto"/>
        <w:right w:val="none" w:sz="0" w:space="0" w:color="auto"/>
      </w:divBdr>
    </w:div>
    <w:div w:id="1443299463">
      <w:bodyDiv w:val="1"/>
      <w:marLeft w:val="0"/>
      <w:marRight w:val="0"/>
      <w:marTop w:val="0"/>
      <w:marBottom w:val="0"/>
      <w:divBdr>
        <w:top w:val="none" w:sz="0" w:space="0" w:color="auto"/>
        <w:left w:val="none" w:sz="0" w:space="0" w:color="auto"/>
        <w:bottom w:val="none" w:sz="0" w:space="0" w:color="auto"/>
        <w:right w:val="none" w:sz="0" w:space="0" w:color="auto"/>
      </w:divBdr>
    </w:div>
    <w:div w:id="1528064371">
      <w:bodyDiv w:val="1"/>
      <w:marLeft w:val="0"/>
      <w:marRight w:val="0"/>
      <w:marTop w:val="0"/>
      <w:marBottom w:val="0"/>
      <w:divBdr>
        <w:top w:val="none" w:sz="0" w:space="0" w:color="auto"/>
        <w:left w:val="none" w:sz="0" w:space="0" w:color="auto"/>
        <w:bottom w:val="none" w:sz="0" w:space="0" w:color="auto"/>
        <w:right w:val="none" w:sz="0" w:space="0" w:color="auto"/>
      </w:divBdr>
    </w:div>
    <w:div w:id="1593929740">
      <w:bodyDiv w:val="1"/>
      <w:marLeft w:val="0"/>
      <w:marRight w:val="0"/>
      <w:marTop w:val="0"/>
      <w:marBottom w:val="0"/>
      <w:divBdr>
        <w:top w:val="none" w:sz="0" w:space="0" w:color="auto"/>
        <w:left w:val="none" w:sz="0" w:space="0" w:color="auto"/>
        <w:bottom w:val="none" w:sz="0" w:space="0" w:color="auto"/>
        <w:right w:val="none" w:sz="0" w:space="0" w:color="auto"/>
      </w:divBdr>
    </w:div>
    <w:div w:id="1673138608">
      <w:bodyDiv w:val="1"/>
      <w:marLeft w:val="0"/>
      <w:marRight w:val="0"/>
      <w:marTop w:val="0"/>
      <w:marBottom w:val="0"/>
      <w:divBdr>
        <w:top w:val="none" w:sz="0" w:space="0" w:color="auto"/>
        <w:left w:val="none" w:sz="0" w:space="0" w:color="auto"/>
        <w:bottom w:val="none" w:sz="0" w:space="0" w:color="auto"/>
        <w:right w:val="none" w:sz="0" w:space="0" w:color="auto"/>
      </w:divBdr>
    </w:div>
    <w:div w:id="1680425686">
      <w:bodyDiv w:val="1"/>
      <w:marLeft w:val="0"/>
      <w:marRight w:val="0"/>
      <w:marTop w:val="0"/>
      <w:marBottom w:val="0"/>
      <w:divBdr>
        <w:top w:val="none" w:sz="0" w:space="0" w:color="auto"/>
        <w:left w:val="none" w:sz="0" w:space="0" w:color="auto"/>
        <w:bottom w:val="none" w:sz="0" w:space="0" w:color="auto"/>
        <w:right w:val="none" w:sz="0" w:space="0" w:color="auto"/>
      </w:divBdr>
    </w:div>
    <w:div w:id="1690763786">
      <w:bodyDiv w:val="1"/>
      <w:marLeft w:val="0"/>
      <w:marRight w:val="0"/>
      <w:marTop w:val="0"/>
      <w:marBottom w:val="0"/>
      <w:divBdr>
        <w:top w:val="none" w:sz="0" w:space="0" w:color="auto"/>
        <w:left w:val="none" w:sz="0" w:space="0" w:color="auto"/>
        <w:bottom w:val="none" w:sz="0" w:space="0" w:color="auto"/>
        <w:right w:val="none" w:sz="0" w:space="0" w:color="auto"/>
      </w:divBdr>
    </w:div>
    <w:div w:id="1755131090">
      <w:bodyDiv w:val="1"/>
      <w:marLeft w:val="0"/>
      <w:marRight w:val="0"/>
      <w:marTop w:val="0"/>
      <w:marBottom w:val="0"/>
      <w:divBdr>
        <w:top w:val="none" w:sz="0" w:space="0" w:color="auto"/>
        <w:left w:val="none" w:sz="0" w:space="0" w:color="auto"/>
        <w:bottom w:val="none" w:sz="0" w:space="0" w:color="auto"/>
        <w:right w:val="none" w:sz="0" w:space="0" w:color="auto"/>
      </w:divBdr>
    </w:div>
    <w:div w:id="1916012631">
      <w:bodyDiv w:val="1"/>
      <w:marLeft w:val="0"/>
      <w:marRight w:val="0"/>
      <w:marTop w:val="0"/>
      <w:marBottom w:val="0"/>
      <w:divBdr>
        <w:top w:val="none" w:sz="0" w:space="0" w:color="auto"/>
        <w:left w:val="none" w:sz="0" w:space="0" w:color="auto"/>
        <w:bottom w:val="none" w:sz="0" w:space="0" w:color="auto"/>
        <w:right w:val="none" w:sz="0" w:space="0" w:color="auto"/>
      </w:divBdr>
    </w:div>
    <w:div w:id="2021662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C9E270311FC9114DBFCF0383B36E446D" ma:contentTypeVersion="13" ma:contentTypeDescription="Create a new document." ma:contentTypeScope="" ma:versionID="101772a28d24473aaa3d3d2b8b1ca93a">
  <xsd:schema xmlns:xsd="http://www.w3.org/2001/XMLSchema" xmlns:xs="http://www.w3.org/2001/XMLSchema" xmlns:p="http://schemas.microsoft.com/office/2006/metadata/properties" xmlns:ns3="00088c88-00fb-47d9-9185-0188e64dfd41" xmlns:ns4="b81e32c3-512f-4a5e-8fb6-0aac50bccc3b" targetNamespace="http://schemas.microsoft.com/office/2006/metadata/properties" ma:root="true" ma:fieldsID="167e713e8d5fffe91b4da85ca81e5c55" ns3:_="" ns4:_="">
    <xsd:import namespace="00088c88-00fb-47d9-9185-0188e64dfd41"/>
    <xsd:import namespace="b81e32c3-512f-4a5e-8fb6-0aac50bccc3b"/>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4:SharedWithUsers" minOccurs="0"/>
                <xsd:element ref="ns4:SharedWithDetails" minOccurs="0"/>
                <xsd:element ref="ns4:SharingHintHash"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0088c88-00fb-47d9-9185-0188e64dfd41"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81e32c3-512f-4a5e-8fb6-0aac50bccc3b"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717857F-58DD-42B3-B0F1-CCAB083583C2}">
  <ds:schemaRefs>
    <ds:schemaRef ds:uri="http://purl.org/dc/elements/1.1/"/>
    <ds:schemaRef ds:uri="http://schemas.microsoft.com/office/2006/documentManagement/types"/>
    <ds:schemaRef ds:uri="http://purl.org/dc/terms/"/>
    <ds:schemaRef ds:uri="b81e32c3-512f-4a5e-8fb6-0aac50bccc3b"/>
    <ds:schemaRef ds:uri="http://purl.org/dc/dcmitype/"/>
    <ds:schemaRef ds:uri="00088c88-00fb-47d9-9185-0188e64dfd41"/>
    <ds:schemaRef ds:uri="http://schemas.microsoft.com/office/infopath/2007/PartnerControls"/>
    <ds:schemaRef ds:uri="http://schemas.openxmlformats.org/package/2006/metadata/core-properties"/>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FDA47B0D-CCE2-487C-8956-2E1048B6C1F4}">
  <ds:schemaRefs>
    <ds:schemaRef ds:uri="http://schemas.openxmlformats.org/officeDocument/2006/bibliography"/>
  </ds:schemaRefs>
</ds:datastoreItem>
</file>

<file path=customXml/itemProps3.xml><?xml version="1.0" encoding="utf-8"?>
<ds:datastoreItem xmlns:ds="http://schemas.openxmlformats.org/officeDocument/2006/customXml" ds:itemID="{2D424C55-B460-4B1F-973A-E9F7ADFD7E5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0088c88-00fb-47d9-9185-0188e64dfd41"/>
    <ds:schemaRef ds:uri="b81e32c3-512f-4a5e-8fb6-0aac50bccc3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9A63811-3D72-4254-A877-FD4957EF8E7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4</Pages>
  <Words>4898</Words>
  <Characters>27922</Characters>
  <Application>Microsoft Office Word</Application>
  <DocSecurity>0</DocSecurity>
  <Lines>232</Lines>
  <Paragraphs>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Shan Hou</dc:creator>
  <cp:keywords/>
  <dc:description/>
  <cp:lastModifiedBy>jxhuang</cp:lastModifiedBy>
  <cp:revision>2</cp:revision>
  <cp:lastPrinted>2021-03-21T04:26:00Z</cp:lastPrinted>
  <dcterms:created xsi:type="dcterms:W3CDTF">2021-04-17T13:19:00Z</dcterms:created>
  <dcterms:modified xsi:type="dcterms:W3CDTF">2021-04-17T13:19:00Z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http://www.zotero.org/styles/apa</vt:lpwstr>
  </property>
  <property fmtid="{D5CDD505-2E9C-101B-9397-08002B2CF9AE}" pid="3" name="Mendeley Recent Style Name 0_1">
    <vt:lpwstr>American Psychological Association 6th edition</vt:lpwstr>
  </property>
  <property fmtid="{D5CDD505-2E9C-101B-9397-08002B2CF9AE}" pid="4" name="Mendeley Recent Style Id 1_1">
    <vt:lpwstr>http://www.zotero.org/styles/american-sociological-association</vt:lpwstr>
  </property>
  <property fmtid="{D5CDD505-2E9C-101B-9397-08002B2CF9AE}" pid="5" name="Mendeley Recent Style Name 1_1">
    <vt:lpwstr>American Sociological Association</vt:lpwstr>
  </property>
  <property fmtid="{D5CDD505-2E9C-101B-9397-08002B2CF9AE}" pid="6" name="Mendeley Recent Style Id 2_1">
    <vt:lpwstr>https://csl.mendeley.com/styles/145724921/Sage-Vancouver-2</vt:lpwstr>
  </property>
  <property fmtid="{D5CDD505-2E9C-101B-9397-08002B2CF9AE}" pid="7" name="Mendeley Recent Style Name 2_1">
    <vt:lpwstr>Cardiff University - Vancouver - Jianxiang Huang</vt:lpwstr>
  </property>
  <property fmtid="{D5CDD505-2E9C-101B-9397-08002B2CF9AE}" pid="8" name="Mendeley Recent Style Id 3_1">
    <vt:lpwstr>http://www.zotero.org/styles/chicago-author-date</vt:lpwstr>
  </property>
  <property fmtid="{D5CDD505-2E9C-101B-9397-08002B2CF9AE}" pid="9" name="Mendeley Recent Style Name 3_1">
    <vt:lpwstr>Chicago Manual of Style 17th edition (author-date)</vt:lpwstr>
  </property>
  <property fmtid="{D5CDD505-2E9C-101B-9397-08002B2CF9AE}" pid="10" name="Mendeley Recent Style Id 4_1">
    <vt:lpwstr>http://www.zotero.org/styles/harvard-cite-them-right</vt:lpwstr>
  </property>
  <property fmtid="{D5CDD505-2E9C-101B-9397-08002B2CF9AE}" pid="11" name="Mendeley Recent Style Name 4_1">
    <vt:lpwstr>Cite Them Right 10th edition - Harvard</vt:lpwstr>
  </property>
  <property fmtid="{D5CDD505-2E9C-101B-9397-08002B2CF9AE}" pid="12" name="Mendeley Recent Style Id 5_1">
    <vt:lpwstr>http://www.zotero.org/styles/harvard1</vt:lpwstr>
  </property>
  <property fmtid="{D5CDD505-2E9C-101B-9397-08002B2CF9AE}" pid="13" name="Mendeley Recent Style Name 5_1">
    <vt:lpwstr>Harvard reference format 1 (deprecated)</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8th edition</vt:lpwstr>
  </property>
  <property fmtid="{D5CDD505-2E9C-101B-9397-08002B2CF9AE}" pid="20" name="Mendeley Recent Style Id 9_1">
    <vt:lpwstr>http://www.zotero.org/styles/sage-vancouver</vt:lpwstr>
  </property>
  <property fmtid="{D5CDD505-2E9C-101B-9397-08002B2CF9AE}" pid="21" name="Mendeley Recent Style Name 9_1">
    <vt:lpwstr>SAGE - Vancouver</vt:lpwstr>
  </property>
  <property fmtid="{D5CDD505-2E9C-101B-9397-08002B2CF9AE}" pid="22" name="Mendeley Document_1">
    <vt:lpwstr>True</vt:lpwstr>
  </property>
  <property fmtid="{D5CDD505-2E9C-101B-9397-08002B2CF9AE}" pid="23" name="Mendeley Unique User Id_1">
    <vt:lpwstr>23ca808d-ac56-3ea8-a2e3-533ce5d1f307</vt:lpwstr>
  </property>
  <property fmtid="{D5CDD505-2E9C-101B-9397-08002B2CF9AE}" pid="24" name="Mendeley Citation Style_1">
    <vt:lpwstr>http://www.zotero.org/styles/harvard1</vt:lpwstr>
  </property>
  <property fmtid="{D5CDD505-2E9C-101B-9397-08002B2CF9AE}" pid="25" name="ContentTypeId">
    <vt:lpwstr>0x010100C9E270311FC9114DBFCF0383B36E446D</vt:lpwstr>
  </property>
</Properties>
</file>