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B592C2" w14:textId="7C5B9993" w:rsidR="00F21985" w:rsidRPr="001D11EE" w:rsidRDefault="00F21985" w:rsidP="00EC019F">
      <w:pPr>
        <w:widowControl w:val="0"/>
        <w:autoSpaceDE w:val="0"/>
        <w:autoSpaceDN w:val="0"/>
        <w:adjustRightInd w:val="0"/>
        <w:snapToGrid w:val="0"/>
        <w:jc w:val="left"/>
        <w:rPr>
          <w:rFonts w:ascii="Times New Roman" w:hAnsi="Times New Roman"/>
          <w:b/>
          <w:bCs/>
          <w:iCs/>
          <w:color w:val="000000" w:themeColor="text1"/>
          <w:kern w:val="0"/>
          <w:sz w:val="24"/>
          <w:szCs w:val="24"/>
        </w:rPr>
      </w:pPr>
      <w:r w:rsidRPr="001D11EE">
        <w:rPr>
          <w:rFonts w:ascii="Times New Roman" w:hAnsi="Times New Roman"/>
          <w:b/>
          <w:bCs/>
          <w:iCs/>
          <w:color w:val="000000" w:themeColor="text1"/>
          <w:kern w:val="0"/>
          <w:sz w:val="24"/>
          <w:szCs w:val="24"/>
        </w:rPr>
        <w:t>Materials and methods</w:t>
      </w:r>
    </w:p>
    <w:p w14:paraId="6188B4B6" w14:textId="06146D66" w:rsidR="00EC019F" w:rsidRPr="001D11EE" w:rsidRDefault="00EC019F" w:rsidP="00EC019F">
      <w:pPr>
        <w:widowControl w:val="0"/>
        <w:autoSpaceDE w:val="0"/>
        <w:autoSpaceDN w:val="0"/>
        <w:adjustRightInd w:val="0"/>
        <w:snapToGrid w:val="0"/>
        <w:jc w:val="left"/>
        <w:rPr>
          <w:rFonts w:ascii="Times New Roman" w:hAnsi="Times New Roman"/>
          <w:i/>
          <w:color w:val="000000" w:themeColor="text1"/>
          <w:kern w:val="0"/>
          <w:sz w:val="24"/>
          <w:szCs w:val="24"/>
        </w:rPr>
      </w:pPr>
      <w:r w:rsidRPr="001D11EE">
        <w:rPr>
          <w:rFonts w:ascii="Times New Roman" w:hAnsi="Times New Roman"/>
          <w:i/>
          <w:color w:val="000000" w:themeColor="text1"/>
          <w:kern w:val="0"/>
          <w:sz w:val="24"/>
          <w:szCs w:val="24"/>
        </w:rPr>
        <w:t>Tissue preparation and flow cytometry</w:t>
      </w:r>
    </w:p>
    <w:p w14:paraId="54899809" w14:textId="77777777" w:rsidR="009A7DE2" w:rsidRPr="001D11EE" w:rsidRDefault="00EC019F">
      <w:pPr>
        <w:rPr>
          <w:rFonts w:ascii="Times New Roman" w:hAnsi="Times New Roman"/>
          <w:bCs/>
          <w:iCs/>
          <w:color w:val="000000" w:themeColor="text1"/>
          <w:sz w:val="24"/>
          <w:szCs w:val="24"/>
        </w:rPr>
      </w:pPr>
      <w:r w:rsidRPr="001D11EE">
        <w:rPr>
          <w:rFonts w:ascii="Times New Roman" w:hAnsi="Times New Roman"/>
          <w:bCs/>
          <w:iCs/>
          <w:color w:val="000000" w:themeColor="text1"/>
          <w:sz w:val="24"/>
          <w:szCs w:val="24"/>
        </w:rPr>
        <w:t xml:space="preserve">Biotin-CD3e (100304; clone: 145-2C11; 1/200;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San Diego, CA, USA), Biotin- CD45R/B220 (103204; clone: RA3–6B2; 1/200;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Biotin-Gr-1 (108404; clone: RB6-8C5; 1/200;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Biotin-CD11c (117304; clone: N418; 1/200;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Biotin-CD11b (101204; clone: M1/70; 1/200;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Biotin-Ter119 (116204; clone: TER-119; 1/200;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Biotin-</w:t>
      </w:r>
      <w:proofErr w:type="spellStart"/>
      <w:r w:rsidRPr="001D11EE">
        <w:rPr>
          <w:rFonts w:ascii="Times New Roman" w:hAnsi="Times New Roman"/>
          <w:bCs/>
          <w:iCs/>
          <w:color w:val="000000" w:themeColor="text1"/>
          <w:sz w:val="24"/>
          <w:szCs w:val="24"/>
        </w:rPr>
        <w:t>FceRIa</w:t>
      </w:r>
      <w:proofErr w:type="spellEnd"/>
      <w:r w:rsidRPr="001D11EE">
        <w:rPr>
          <w:rFonts w:ascii="Times New Roman" w:hAnsi="Times New Roman"/>
          <w:bCs/>
          <w:iCs/>
          <w:color w:val="000000" w:themeColor="text1"/>
          <w:sz w:val="24"/>
          <w:szCs w:val="24"/>
        </w:rPr>
        <w:t xml:space="preserve"> (134304; clone: MAR-1; 1/200;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FITC-Streptavidin (405202; 1/500;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PE-Cy7-CD127 (135014; clone: A7R34; 1/100;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Pacific Blue-CD45 (103116; clone: 30-F11; 1/100;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PE -GATA-3 (clone TWAJ, 1/50;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APC -</w:t>
      </w:r>
      <w:proofErr w:type="spellStart"/>
      <w:r w:rsidRPr="001D11EE">
        <w:rPr>
          <w:rFonts w:ascii="Times New Roman" w:hAnsi="Times New Roman"/>
          <w:bCs/>
          <w:iCs/>
          <w:color w:val="000000" w:themeColor="text1"/>
          <w:sz w:val="24"/>
          <w:szCs w:val="24"/>
        </w:rPr>
        <w:t>RORγ</w:t>
      </w:r>
      <w:proofErr w:type="spellEnd"/>
      <w:r w:rsidRPr="001D11EE">
        <w:rPr>
          <w:rFonts w:ascii="Times New Roman" w:hAnsi="Times New Roman"/>
          <w:bCs/>
          <w:iCs/>
          <w:color w:val="000000" w:themeColor="text1"/>
          <w:sz w:val="24"/>
          <w:szCs w:val="24"/>
        </w:rPr>
        <w:t xml:space="preserve"> (clone AFKJS-9, 1/50,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and Fixable Viability Dye </w:t>
      </w:r>
      <w:proofErr w:type="spellStart"/>
      <w:r w:rsidRPr="001D11EE">
        <w:rPr>
          <w:rFonts w:ascii="Times New Roman" w:hAnsi="Times New Roman"/>
          <w:bCs/>
          <w:iCs/>
          <w:color w:val="000000" w:themeColor="text1"/>
          <w:sz w:val="24"/>
          <w:szCs w:val="24"/>
        </w:rPr>
        <w:t>eFluor</w:t>
      </w:r>
      <w:proofErr w:type="spellEnd"/>
      <w:r w:rsidRPr="001D11EE">
        <w:rPr>
          <w:rFonts w:ascii="Times New Roman" w:hAnsi="Times New Roman"/>
          <w:bCs/>
          <w:iCs/>
          <w:color w:val="000000" w:themeColor="text1"/>
          <w:sz w:val="24"/>
          <w:szCs w:val="24"/>
        </w:rPr>
        <w:t xml:space="preserve"> 780 (1/400;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w:t>
      </w:r>
      <w:r w:rsidRPr="001D11EE">
        <w:rPr>
          <w:rFonts w:ascii="Times New Roman" w:hAnsi="Times New Roman"/>
          <w:bCs/>
          <w:iCs/>
          <w:color w:val="000000" w:themeColor="text1"/>
          <w:sz w:val="24"/>
          <w:szCs w:val="24"/>
        </w:rPr>
        <w:fldChar w:fldCharType="begin" w:fldLock="1"/>
      </w:r>
      <w:r w:rsidRPr="001D11EE">
        <w:rPr>
          <w:rFonts w:ascii="Times New Roman" w:hAnsi="Times New Roman"/>
          <w:bCs/>
          <w:iCs/>
          <w:color w:val="000000" w:themeColor="text1"/>
          <w:sz w:val="24"/>
          <w:szCs w:val="24"/>
        </w:rPr>
        <w:instrText>ADDIN CSL_CITATION {"citationItems":[{"id":"ITEM-1","itemData":{"DOI":"10.1084/jem.20121964","ISSN":"0022-1007","PMID":"23420878","abstract":"&lt;p&gt; Eosinophils in visceral adipose tissue (VAT) have been implicated in metabolic homeostasis and the maintenance of alternatively activated macrophages (AAMs). The absence of eosinophils can lead to adiposity and systemic insulin resistance in experimental animals, but what maintains eosinophils in adipose tissue is unknown. We show that interleukin-5 (IL-5) deficiency profoundly impairs VAT eosinophil accumulation and results in increased adiposity and insulin resistance when animals are placed on a high-fat diet. Innate lymphoid type 2 cells (ILC2s) are resident in VAT and are the major source of IL-5 and IL-13, which promote the accumulation of eosinophils and AAM. Deletion of ILC2s causes significant reductions in VAT eosinophils and AAMs, and also impairs the expansion of VAT eosinophils after infection with &lt;italic&gt;Nippostrongylus brasiliensis&lt;/italic&gt; , an intestinal parasite associated with increased adipose ILC2 cytokine production and enhanced insulin sensitivity. Further, IL-33, a cytokine previously shown to promote cytokine production by ILC2s, leads to rapid ILC2-dependent increases in VAT eosinophils and AAMs. Thus, ILC2s are resident in VAT and promote eosinophils and AAM implicated in metabolic homeostasis, and this axis is enhanced during Th2-associated immune stimulation. &lt;/p&gt;","author":[{"dropping-particle":"","family":"Molofsky","given":"Ari B.","non-dropping-particle":"","parse-names":false,"suffix":""},{"dropping-particle":"","family":"Nussbaum","given":"Jesse C.","non-dropping-particle":"","parse-names":false,"suffix":""},{"dropping-particle":"","family":"Liang","given":"Hong-Erh","non-dropping-particle":"","parse-names":false,"suffix":""},{"dropping-particle":"","family":"Dyken","given":"Steven J.","non-dropping-particle":"Van","parse-names":false,"suffix":""},{"dropping-particle":"","family":"Cheng","given":"Laurence E.","non-dropping-particle":"","parse-names":false,"suffix":""},{"dropping-particle":"","family":"Mohapatra","given":"Alexander","non-dropping-particle":"","parse-names":false,"suffix":""},{"dropping-particle":"","family":"Chawla","given":"Ajay","non-dropping-particle":"","parse-names":false,"suffix":""},{"dropping-particle":"","family":"Locksley","given":"Richard M.","non-dropping-particle":"","parse-names":false,"suffix":""}],"container-title":"The Journal of Experimental Medicine","id":"ITEM-1","issue":"3","issued":{"date-parts":[["2013","3","11"]]},"page":"535-549","title":"Innate lymphoid type 2 cells sustain visceral adipose tissue eosinophils and alternatively activated macrophages","type":"article-journal","volume":"210"},"uris":["http://www.mendeley.com/documents/?uuid=9eb03cb3-c824-37b3-a4e3-d553564d8093"]}],"mendeley":{"formattedCitation":"(16)","plainTextFormattedCitation":"(16)","previouslyFormattedCitation":"(17)"},"properties":{"noteIndex":0},"schema":"https://github.com/citation-style-language/schema/raw/master/csl-citation.json"}</w:instrText>
      </w:r>
      <w:r w:rsidRPr="001D11EE">
        <w:rPr>
          <w:rFonts w:ascii="Times New Roman" w:hAnsi="Times New Roman"/>
          <w:bCs/>
          <w:iCs/>
          <w:color w:val="000000" w:themeColor="text1"/>
          <w:sz w:val="24"/>
          <w:szCs w:val="24"/>
        </w:rPr>
        <w:fldChar w:fldCharType="separate"/>
      </w:r>
      <w:r w:rsidRPr="001D11EE">
        <w:rPr>
          <w:rFonts w:ascii="Times New Roman" w:hAnsi="Times New Roman"/>
          <w:bCs/>
          <w:iCs/>
          <w:noProof/>
          <w:color w:val="000000" w:themeColor="text1"/>
          <w:sz w:val="24"/>
          <w:szCs w:val="24"/>
        </w:rPr>
        <w:t>(16)</w:t>
      </w:r>
      <w:r w:rsidRPr="001D11EE">
        <w:rPr>
          <w:rFonts w:ascii="Times New Roman" w:hAnsi="Times New Roman"/>
          <w:bCs/>
          <w:iCs/>
          <w:color w:val="000000" w:themeColor="text1"/>
          <w:sz w:val="24"/>
          <w:szCs w:val="24"/>
        </w:rPr>
        <w:fldChar w:fldCharType="end"/>
      </w:r>
      <w:r w:rsidRPr="001D11EE">
        <w:rPr>
          <w:rFonts w:ascii="Times New Roman" w:hAnsi="Times New Roman"/>
          <w:bCs/>
          <w:iCs/>
          <w:color w:val="000000" w:themeColor="text1"/>
          <w:sz w:val="24"/>
          <w:szCs w:val="24"/>
        </w:rPr>
        <w:fldChar w:fldCharType="begin" w:fldLock="1"/>
      </w:r>
      <w:r w:rsidRPr="001D11EE">
        <w:rPr>
          <w:rFonts w:ascii="Times New Roman" w:hAnsi="Times New Roman"/>
          <w:bCs/>
          <w:iCs/>
          <w:color w:val="000000" w:themeColor="text1"/>
          <w:sz w:val="24"/>
          <w:szCs w:val="24"/>
        </w:rPr>
        <w:instrText>ADDIN CSL_CITATION {"citationItems":[{"id":"ITEM-1","itemData":{"DOI":"10.1042/CS20180482","ISSN":"0143-5221","PMID":"30459204","abstract":"Type 3 innate lymphoid cell (ILC3) has recently emerged as a crucial effector in inflammatory and fibrotic diseases. The present study was designed to determine the roles of ILC3 in liver fibrosis. By flow cytometry, we documented increased frequencies of peripheral ILC3 (Lin-CD127+CD117+CD294- lymphocytes) in patients, especially at the advanced stage of hepatitis B virus (HBV)-related chronic liver diseases, and demonstrated their correlations with disease progression. The in vitro fibrogenic effects by ILC3 were determined by co-culture experiments with LX-2 (a human hepatic stellate cell (HSC) line). The data indicate that pathogenic ILC3 can directly promote LX-2 fibrogenesis in non-contact manners by producing interleukin (IL)-17A and IL-22. Additionally, they had indirect fibrogenic effects by producing IL-22 to suppress interferon (IFN)-γ (a well-known anti-fibrotic cytokine) production by other immune cells. In carbon tetrachloride (CCl4)-induced wild-type mouse liver fibrosis models, we also documented significantly increased frequencies of both non-natural killer (NK) ILC (Lin-CD127+ lymphocytes) and ILC3 (Lin-CD127+RORγt+ lymphocytes) in liver and spleen specimens. Furthermore, the ILC3 from fibrotic mice contained more IL-17A+ILC3 and IL-22+ILC3 subsets than those from normal and less-fibrotic mice. The in vivo effects of ILC3 in liver fibrogenesis were further determined using RAG-1-/- mice with ILC depletion and further adoptive transfer of ILC3 from wild-type mice. The immunohistochemical staining of liver specimens showed the beneficial effects by ILC depletion and the detrimental effects by ILC3 transfer in CCl4-induced mouse liver fibrosis models. Collectively, ILC3 plays a pro-fibrotic role in liver fibrosis progression.","author":[{"dropping-particle":"","family":"Wang","given":"Siqi","non-dropping-particle":"","parse-names":false,"suffix":""},{"dropping-particle":"","family":"Li","given":"Jing","non-dropping-particle":"","parse-names":false,"suffix":""},{"dropping-particle":"","family":"Wu","given":"Shengdi","non-dropping-particle":"","parse-names":false,"suffix":""},{"dropping-particle":"","family":"Cheng","given":"Lisha","non-dropping-particle":"","parse-names":false,"suffix":""},{"dropping-particle":"","family":"Shen","given":"Yue","non-dropping-particle":"","parse-names":false,"suffix":""},{"dropping-particle":"","family":"Ma","given":"Wei","non-dropping-particle":"","parse-names":false,"suffix":""},{"dropping-particle":"","family":"She","given":"Weimin","non-dropping-particle":"","parse-names":false,"suffix":""},{"dropping-particle":"","family":"Yang","given":"Changqing","non-dropping-particle":"","parse-names":false,"suffix":""},{"dropping-particle":"","family":"Wang","given":"Jiyao","non-dropping-particle":"","parse-names":false,"suffix":""},{"dropping-particle":"","family":"Jiang","given":"Wei","non-dropping-particle":"","parse-names":false,"suffix":""}],"container-title":"Clinical Science","id":"ITEM-1","issue":"24","issued":{"date-parts":[["2018","12","21"]]},"page":"2565-2582","title":"Type 3 innate lymphoid cell: a new player in liver fibrosis progression","type":"article-journal","volume":"132"},"uris":["http://www.mendeley.com/documents/?uuid=f35147a1-0014-31ea-99bf-1255f7109840"]}],"mendeley":{"formattedCitation":"(17)","plainTextFormattedCitation":"(17)","previouslyFormattedCitation":"(18)"},"properties":{"noteIndex":0},"schema":"https://github.com/citation-style-language/schema/raw/master/csl-citation.json"}</w:instrText>
      </w:r>
      <w:r w:rsidRPr="001D11EE">
        <w:rPr>
          <w:rFonts w:ascii="Times New Roman" w:hAnsi="Times New Roman"/>
          <w:bCs/>
          <w:iCs/>
          <w:color w:val="000000" w:themeColor="text1"/>
          <w:sz w:val="24"/>
          <w:szCs w:val="24"/>
        </w:rPr>
        <w:fldChar w:fldCharType="separate"/>
      </w:r>
      <w:r w:rsidRPr="001D11EE">
        <w:rPr>
          <w:rFonts w:ascii="Times New Roman" w:hAnsi="Times New Roman"/>
          <w:bCs/>
          <w:iCs/>
          <w:noProof/>
          <w:color w:val="000000" w:themeColor="text1"/>
          <w:sz w:val="24"/>
          <w:szCs w:val="24"/>
        </w:rPr>
        <w:t>(17)</w:t>
      </w:r>
      <w:r w:rsidRPr="001D11EE">
        <w:rPr>
          <w:rFonts w:ascii="Times New Roman" w:hAnsi="Times New Roman"/>
          <w:bCs/>
          <w:iCs/>
          <w:color w:val="000000" w:themeColor="text1"/>
          <w:sz w:val="24"/>
          <w:szCs w:val="24"/>
        </w:rPr>
        <w:fldChar w:fldCharType="end"/>
      </w:r>
      <w:r w:rsidRPr="001D11EE">
        <w:rPr>
          <w:rFonts w:ascii="Times New Roman" w:hAnsi="Times New Roman"/>
          <w:bCs/>
          <w:iCs/>
          <w:color w:val="000000" w:themeColor="text1"/>
          <w:sz w:val="24"/>
          <w:szCs w:val="24"/>
        </w:rPr>
        <w:t xml:space="preserve">. Additionally, we used the following antibodies for gating of M1 and M2 macrophages: APC- CD45.2 (17045482; clone: 104, 1/50;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PE-F4/80 (12480182; clone: BM8, 1/50,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APC-Cy7-CD11b (47011282; clone: M1/70, 1/50;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FITC-CD206 (MA516870; clone: MR5D3, 1/50,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 xml:space="preserve">), and PE-Cy7-CD11c (25011482; clone: N418, 1/50, </w:t>
      </w:r>
      <w:proofErr w:type="spellStart"/>
      <w:r w:rsidRPr="001D11EE">
        <w:rPr>
          <w:rFonts w:ascii="Times New Roman" w:hAnsi="Times New Roman"/>
          <w:bCs/>
          <w:iCs/>
          <w:color w:val="000000" w:themeColor="text1"/>
          <w:sz w:val="24"/>
          <w:szCs w:val="24"/>
        </w:rPr>
        <w:t>eBioscience</w:t>
      </w:r>
      <w:proofErr w:type="spellEnd"/>
      <w:r w:rsidRPr="001D11EE">
        <w:rPr>
          <w:rFonts w:ascii="Times New Roman" w:hAnsi="Times New Roman"/>
          <w:bCs/>
          <w:iCs/>
          <w:color w:val="000000" w:themeColor="text1"/>
          <w:sz w:val="24"/>
          <w:szCs w:val="24"/>
        </w:rPr>
        <w:t>).</w:t>
      </w:r>
    </w:p>
    <w:p w14:paraId="3D9A7D04" w14:textId="77777777" w:rsidR="00EC019F" w:rsidRPr="001D11EE" w:rsidRDefault="00EC019F">
      <w:pPr>
        <w:rPr>
          <w:rFonts w:ascii="Times New Roman" w:hAnsi="Times New Roman"/>
          <w:bCs/>
          <w:iCs/>
          <w:color w:val="000000" w:themeColor="text1"/>
          <w:sz w:val="24"/>
          <w:szCs w:val="24"/>
        </w:rPr>
      </w:pPr>
    </w:p>
    <w:p w14:paraId="6ABAE3EF" w14:textId="77777777" w:rsidR="00EC019F" w:rsidRPr="001D11EE" w:rsidRDefault="00EC019F" w:rsidP="00EC019F">
      <w:pPr>
        <w:widowControl w:val="0"/>
        <w:autoSpaceDE w:val="0"/>
        <w:autoSpaceDN w:val="0"/>
        <w:adjustRightInd w:val="0"/>
        <w:snapToGrid w:val="0"/>
        <w:jc w:val="left"/>
        <w:rPr>
          <w:rFonts w:ascii="Times New Roman" w:hAnsi="Times New Roman"/>
          <w:i/>
          <w:color w:val="000000" w:themeColor="text1"/>
          <w:kern w:val="0"/>
          <w:sz w:val="24"/>
          <w:szCs w:val="24"/>
        </w:rPr>
      </w:pPr>
      <w:r w:rsidRPr="001D11EE">
        <w:rPr>
          <w:rFonts w:ascii="Times New Roman" w:hAnsi="Times New Roman"/>
          <w:i/>
          <w:color w:val="000000" w:themeColor="text1"/>
          <w:kern w:val="0"/>
          <w:sz w:val="24"/>
          <w:szCs w:val="24"/>
        </w:rPr>
        <w:t>Liver histology</w:t>
      </w:r>
    </w:p>
    <w:p w14:paraId="1EC72DBB" w14:textId="77777777" w:rsidR="00EC019F" w:rsidRPr="001D11EE" w:rsidRDefault="00EC019F" w:rsidP="00EC019F">
      <w:pPr>
        <w:widowControl w:val="0"/>
        <w:autoSpaceDE w:val="0"/>
        <w:autoSpaceDN w:val="0"/>
        <w:adjustRightInd w:val="0"/>
        <w:snapToGrid w:val="0"/>
        <w:ind w:firstLineChars="400" w:firstLine="960"/>
        <w:jc w:val="left"/>
        <w:rPr>
          <w:rFonts w:ascii="Times New Roman" w:hAnsi="Times New Roman"/>
          <w:color w:val="000000" w:themeColor="text1"/>
          <w:kern w:val="0"/>
          <w:sz w:val="24"/>
          <w:szCs w:val="24"/>
        </w:rPr>
      </w:pPr>
      <w:r w:rsidRPr="001D11EE">
        <w:rPr>
          <w:rFonts w:ascii="Times New Roman" w:hAnsi="Times New Roman"/>
          <w:color w:val="000000" w:themeColor="text1"/>
          <w:kern w:val="0"/>
          <w:sz w:val="24"/>
          <w:szCs w:val="24"/>
        </w:rPr>
        <w:t xml:space="preserve">NAFLD activity score, which is a well-known standard, used for assessing </w:t>
      </w:r>
      <w:r w:rsidRPr="001D11EE">
        <w:rPr>
          <w:rFonts w:ascii="Times New Roman" w:hAnsi="Times New Roman"/>
          <w:color w:val="000000" w:themeColor="text1"/>
          <w:kern w:val="0"/>
          <w:sz w:val="24"/>
          <w:szCs w:val="24"/>
        </w:rPr>
        <w:lastRenderedPageBreak/>
        <w:t xml:space="preserve">NASH severity and measuring changes in NAFLD. A trained </w:t>
      </w:r>
      <w:proofErr w:type="spellStart"/>
      <w:r w:rsidRPr="001D11EE">
        <w:rPr>
          <w:rFonts w:ascii="Times New Roman" w:hAnsi="Times New Roman"/>
          <w:color w:val="000000" w:themeColor="text1"/>
          <w:kern w:val="0"/>
          <w:sz w:val="24"/>
          <w:szCs w:val="24"/>
        </w:rPr>
        <w:t>hepatopathologist</w:t>
      </w:r>
      <w:proofErr w:type="spellEnd"/>
      <w:r w:rsidRPr="001D11EE">
        <w:rPr>
          <w:rFonts w:ascii="Times New Roman" w:hAnsi="Times New Roman"/>
          <w:color w:val="000000" w:themeColor="text1"/>
          <w:kern w:val="0"/>
          <w:sz w:val="24"/>
          <w:szCs w:val="24"/>
        </w:rPr>
        <w:t xml:space="preserve">, who was masked to the experimental conditions, examined all the sections for steatosis, lobular inflammation, hepatocyte ballooning, and fibrosis, according to the NAFLD activity score (NAS) </w:t>
      </w:r>
      <w:r w:rsidRPr="001D11EE">
        <w:rPr>
          <w:rFonts w:ascii="Times New Roman" w:hAnsi="Times New Roman"/>
          <w:color w:val="000000" w:themeColor="text1"/>
          <w:kern w:val="0"/>
          <w:sz w:val="24"/>
          <w:szCs w:val="24"/>
        </w:rPr>
        <w:fldChar w:fldCharType="begin" w:fldLock="1"/>
      </w:r>
      <w:r w:rsidRPr="001D11EE">
        <w:rPr>
          <w:rFonts w:ascii="Times New Roman" w:hAnsi="Times New Roman"/>
          <w:color w:val="000000" w:themeColor="text1"/>
          <w:kern w:val="0"/>
          <w:sz w:val="24"/>
          <w:szCs w:val="24"/>
        </w:rPr>
        <w:instrText>ADDIN CSL_CITATION {"citationItems":[{"id":"ITEM-1","itemData":{"DOI":"10.1002/hep.20701","ISSN":"0270-9139","PMID":"15915461","abstract":"Nonalcoholic fatty liver disease (NAFLD) is characterized by hepatic steatosis in the absence of a history of significant alcohol use or other known liver disease. Nonalcoholic steatohepatitis (NASH) is the progressive form of NAFLD. The Pathology Committee of the NASH Clinical Research Network designed and validated a histological feature scoring system that addresses the full spectrum of lesions of NAFLD and proposed a NAFLD activity score (NAS) for use in clinical trials. The scoring system comprised 14 histological features, 4 of which were evaluated semi-quantitatively: steatosis (0-3), lobular inflammation (0-2), hepatocellular ballooning (0-2), and fibrosis (0-4). Another nine features were recorded as present or absent. An anonymized study set of 50 cases (32 from adult hepatology services, 18 from pediatric hepatology services) was assembled, coded, and circulated. For the validation study, agreement on scoring and a diagnostic categorization (\"NASH,\" \"borderline,\" or \"not NASH\") were evaluated by using weighted kappa statistics. Inter-rater agreement on adult cases was: 0.84 for fibrosis, 0.79 for steatosis, 0.56 for injury, and 0.45 for lobular inflammation. Agreement on diagnostic category was 0.61. Using multiple logistic regression, five features were independently associated with the diagnosis of NASH in adult biopsies: steatosis (P = .009), hepatocellular ballooning (P = .0001), lobular inflammation (P = .0001), fibrosis (P = .0001), and the absence of lipogranulomas (P = .001). The proposed NAS is the unweighted sum of steatosis, lobular inflammation, and hepatocellular ballooning scores. In conclusion, we present a strong scoring system and NAS for NAFLD and NASH with reasonable inter-rater reproducibility that should be useful for studies of both adults and children with any degree of NAFLD. NAS of &gt; or =5 correlated with a diagnosis of NASH, and biopsies with scores of less than 3 were diagnosed as \"not NASH.\"","author":[{"dropping-particle":"","family":"Kleiner","given":"David E.","non-dropping-particle":"","parse-names":false,"suffix":""},{"dropping-particle":"","family":"Brunt","given":"Elizabeth M.","non-dropping-particle":"","parse-names":false,"suffix":""},{"dropping-particle":"","family":"Natta","given":"Mark","non-dropping-particle":"Van","parse-names":false,"suffix":""},{"dropping-particle":"","family":"Behling","given":"Cynthia","non-dropping-particle":"","parse-names":false,"suffix":""},{"dropping-particle":"","family":"Contos","given":"Melissa J.","non-dropping-particle":"","parse-names":false,"suffix":""},{"dropping-particle":"","family":"Cummings","given":"Oscar W.","non-dropping-particle":"","parse-names":false,"suffix":""},{"dropping-particle":"","family":"Ferrell","given":"Linda D.","non-dropping-particle":"","parse-names":false,"suffix":""},{"dropping-particle":"","family":"Liu","given":"Yao-Chang","non-dropping-particle":"","parse-names":false,"suffix":""},{"dropping-particle":"","family":"Torbenson","given":"Michael S.","non-dropping-particle":"","parse-names":false,"suffix":""},{"dropping-particle":"","family":"Unalp-Arida","given":"Aynur","non-dropping-particle":"","parse-names":false,"suffix":""},{"dropping-particle":"","family":"Yeh","given":"Matthew","non-dropping-particle":"","parse-names":false,"suffix":""},{"dropping-particle":"","family":"McCullough","given":"Arthur J.","non-dropping-particle":"","parse-names":false,"suffix":""},{"dropping-particle":"","family":"Sanyal","given":"Arun J.","non-dropping-particle":"","parse-names":false,"suffix":""},{"dropping-particle":"","family":"Nonalcoholic Steatohepatitis Clinical Research Network","given":"","non-dropping-particle":"","parse-names":false,"suffix":""}],"container-title":"Hepatology","id":"ITEM-1","issue":"6","issued":{"date-parts":[["2005","6"]]},"page":"1313-1321","title":"Design and validation of a histological scoring system for nonalcoholic fatty liver disease","type":"article-journal","volume":"41"},"uris":["http://www.mendeley.com/documents/?uuid=b829d749-a138-3dd6-9b6e-42a66392dac6"]}],"mendeley":{"formattedCitation":"(19)","plainTextFormattedCitation":"(19)","previouslyFormattedCitation":"(20)"},"properties":{"noteIndex":0},"schema":"https://github.com/citation-style-language/schema/raw/master/csl-citation.json"}</w:instrText>
      </w:r>
      <w:r w:rsidRPr="001D11EE">
        <w:rPr>
          <w:rFonts w:ascii="Times New Roman" w:hAnsi="Times New Roman"/>
          <w:color w:val="000000" w:themeColor="text1"/>
          <w:kern w:val="0"/>
          <w:sz w:val="24"/>
          <w:szCs w:val="24"/>
        </w:rPr>
        <w:fldChar w:fldCharType="separate"/>
      </w:r>
      <w:r w:rsidRPr="001D11EE">
        <w:rPr>
          <w:rFonts w:ascii="Times New Roman" w:hAnsi="Times New Roman"/>
          <w:noProof/>
          <w:color w:val="000000" w:themeColor="text1"/>
          <w:kern w:val="0"/>
          <w:sz w:val="24"/>
          <w:szCs w:val="24"/>
        </w:rPr>
        <w:t>(19)</w:t>
      </w:r>
      <w:r w:rsidRPr="001D11EE">
        <w:rPr>
          <w:rFonts w:ascii="Times New Roman" w:hAnsi="Times New Roman"/>
          <w:color w:val="000000" w:themeColor="text1"/>
          <w:kern w:val="0"/>
          <w:sz w:val="24"/>
          <w:szCs w:val="24"/>
        </w:rPr>
        <w:fldChar w:fldCharType="end"/>
      </w:r>
      <w:r w:rsidRPr="001D11EE">
        <w:rPr>
          <w:rFonts w:ascii="Times New Roman" w:hAnsi="Times New Roman"/>
          <w:color w:val="000000" w:themeColor="text1"/>
          <w:kern w:val="0"/>
          <w:sz w:val="24"/>
          <w:szCs w:val="24"/>
        </w:rPr>
        <w:t>. Briefly, the scoring system comprised 14 histological features, four of which were evaluated semi-quantitatively: steatosis (0–3), lobular inflammation (0–2), hepatocellular ballooning (0–2), and fibrosis (0–4). In addition, to assess the fibrosis, Stage 1 was classified as 1A for mild peri-central perisinusoidal fibrosis, 1B for moderate or greater perisinusoidal fibrosis, and 1C for fibrosis in the portal region or peri-portal vein. Stage 2 was classified for perisinusoidal and periportal fibrosis, Stage 3 was classified for bridging fibrosis, and Stage 4 was classified for liver cirrhosis.</w:t>
      </w:r>
    </w:p>
    <w:p w14:paraId="5A32139B" w14:textId="77777777" w:rsidR="00EC019F" w:rsidRPr="001D11EE" w:rsidRDefault="00EC019F">
      <w:pPr>
        <w:rPr>
          <w:rFonts w:ascii="Times New Roman" w:hAnsi="Times New Roman"/>
          <w:sz w:val="24"/>
          <w:szCs w:val="24"/>
        </w:rPr>
      </w:pPr>
    </w:p>
    <w:p w14:paraId="4E2715BF" w14:textId="77777777" w:rsidR="00EC019F" w:rsidRPr="001D11EE" w:rsidRDefault="00EC019F" w:rsidP="00EC019F">
      <w:pPr>
        <w:widowControl w:val="0"/>
        <w:autoSpaceDE w:val="0"/>
        <w:autoSpaceDN w:val="0"/>
        <w:adjustRightInd w:val="0"/>
        <w:snapToGrid w:val="0"/>
        <w:jc w:val="left"/>
        <w:rPr>
          <w:rFonts w:ascii="Times New Roman" w:hAnsi="Times New Roman"/>
          <w:i/>
          <w:color w:val="000000" w:themeColor="text1"/>
          <w:kern w:val="0"/>
          <w:sz w:val="24"/>
          <w:szCs w:val="24"/>
        </w:rPr>
      </w:pPr>
      <w:r w:rsidRPr="001D11EE">
        <w:rPr>
          <w:rFonts w:ascii="Times New Roman" w:hAnsi="Times New Roman"/>
          <w:i/>
          <w:color w:val="000000" w:themeColor="text1"/>
          <w:kern w:val="0"/>
          <w:sz w:val="24"/>
          <w:szCs w:val="24"/>
        </w:rPr>
        <w:t>Gene expression in murine liver and small intestine</w:t>
      </w:r>
    </w:p>
    <w:p w14:paraId="4C7A2491" w14:textId="77777777" w:rsidR="00EC019F" w:rsidRPr="001D11EE" w:rsidRDefault="00EC019F" w:rsidP="00EC019F">
      <w:pPr>
        <w:widowControl w:val="0"/>
        <w:autoSpaceDE w:val="0"/>
        <w:autoSpaceDN w:val="0"/>
        <w:adjustRightInd w:val="0"/>
        <w:snapToGrid w:val="0"/>
        <w:ind w:firstLineChars="400" w:firstLine="960"/>
        <w:jc w:val="left"/>
        <w:rPr>
          <w:rFonts w:ascii="Times New Roman" w:hAnsi="Times New Roman"/>
          <w:color w:val="000000" w:themeColor="text1"/>
          <w:kern w:val="0"/>
          <w:sz w:val="24"/>
          <w:szCs w:val="24"/>
        </w:rPr>
      </w:pPr>
      <w:r w:rsidRPr="001D11EE">
        <w:rPr>
          <w:rFonts w:ascii="Times New Roman" w:hAnsi="Times New Roman"/>
          <w:color w:val="000000" w:themeColor="text1"/>
          <w:kern w:val="0"/>
          <w:sz w:val="24"/>
          <w:szCs w:val="24"/>
        </w:rPr>
        <w:t xml:space="preserve">The liver and small intestine tissues of fasting mice were resected and immediately frozen using liquid nitrogen. The liver and small intestine tissues were homogenized in ice-cold </w:t>
      </w:r>
      <w:proofErr w:type="spellStart"/>
      <w:r w:rsidRPr="001D11EE">
        <w:rPr>
          <w:rFonts w:ascii="Times New Roman" w:hAnsi="Times New Roman"/>
          <w:color w:val="000000" w:themeColor="text1"/>
          <w:kern w:val="0"/>
          <w:sz w:val="24"/>
          <w:szCs w:val="24"/>
        </w:rPr>
        <w:t>QIAzol</w:t>
      </w:r>
      <w:proofErr w:type="spellEnd"/>
      <w:r w:rsidRPr="001D11EE">
        <w:rPr>
          <w:rFonts w:ascii="Times New Roman" w:hAnsi="Times New Roman"/>
          <w:color w:val="000000" w:themeColor="text1"/>
          <w:kern w:val="0"/>
          <w:sz w:val="24"/>
          <w:szCs w:val="24"/>
        </w:rPr>
        <w:t xml:space="preserve"> Lysis reagent (Qiagen, Hilden, Germany), and total RNA was isolated according to the manufacturer's instructions. Total RNA (0.5 </w:t>
      </w:r>
      <w:proofErr w:type="spellStart"/>
      <w:r w:rsidRPr="001D11EE">
        <w:rPr>
          <w:rFonts w:ascii="Times New Roman" w:hAnsi="Times New Roman"/>
          <w:color w:val="000000" w:themeColor="text1"/>
          <w:kern w:val="0"/>
          <w:sz w:val="24"/>
          <w:szCs w:val="24"/>
        </w:rPr>
        <w:t>μg</w:t>
      </w:r>
      <w:proofErr w:type="spellEnd"/>
      <w:r w:rsidRPr="001D11EE">
        <w:rPr>
          <w:rFonts w:ascii="Times New Roman" w:hAnsi="Times New Roman"/>
          <w:color w:val="000000" w:themeColor="text1"/>
          <w:kern w:val="0"/>
          <w:sz w:val="24"/>
          <w:szCs w:val="24"/>
        </w:rPr>
        <w:t xml:space="preserve">) was reverse-transcribed using a High-Capacity cDNA Reverse Transcription Kit (Applied Biosystems, Foster City, CA, USA) for first-strand cDNA synthesis, using an oligonucleotide dT primer and random hexamer priming, according to the manufacturer's recommendations. The reverse transcription reaction was performed for 120 min at 37°C and the inactivation of reverse transcription was performed for 5 min at 85°C. The RT-PCR was performed using TaqMan Fast Advanced Master Mix (Applied Biosystems), according to the manufacturer's instructions. The following PCR </w:t>
      </w:r>
      <w:r w:rsidRPr="001D11EE">
        <w:rPr>
          <w:rFonts w:ascii="Times New Roman" w:hAnsi="Times New Roman"/>
          <w:color w:val="000000" w:themeColor="text1"/>
          <w:kern w:val="0"/>
          <w:sz w:val="24"/>
          <w:szCs w:val="24"/>
        </w:rPr>
        <w:lastRenderedPageBreak/>
        <w:t>conditions were used: 1 cycle for 2 min at 50°C and 20 s at 95°C, followed by 40 cycles for 1 s at 95°C, and 20 s at 60°C.</w:t>
      </w:r>
    </w:p>
    <w:p w14:paraId="04D9A2E6" w14:textId="3B0B14B7" w:rsidR="00EC019F" w:rsidRPr="001D11EE" w:rsidRDefault="00EC019F" w:rsidP="00EC019F">
      <w:pPr>
        <w:widowControl w:val="0"/>
        <w:autoSpaceDE w:val="0"/>
        <w:autoSpaceDN w:val="0"/>
        <w:adjustRightInd w:val="0"/>
        <w:snapToGrid w:val="0"/>
        <w:ind w:firstLineChars="400" w:firstLine="960"/>
        <w:jc w:val="left"/>
        <w:rPr>
          <w:rFonts w:ascii="Times New Roman" w:hAnsi="Times New Roman"/>
          <w:color w:val="000000" w:themeColor="text1"/>
          <w:kern w:val="0"/>
          <w:sz w:val="24"/>
          <w:szCs w:val="24"/>
        </w:rPr>
      </w:pPr>
      <w:r w:rsidRPr="001D11EE">
        <w:rPr>
          <w:rFonts w:ascii="Times New Roman" w:hAnsi="Times New Roman"/>
          <w:color w:val="000000" w:themeColor="text1"/>
          <w:kern w:val="0"/>
          <w:sz w:val="24"/>
          <w:szCs w:val="24"/>
        </w:rPr>
        <w:t xml:space="preserve">The relative expression levels of each targeted gene were normalized to </w:t>
      </w:r>
      <w:proofErr w:type="spellStart"/>
      <w:r w:rsidRPr="001D11EE">
        <w:rPr>
          <w:rFonts w:ascii="Times New Roman" w:hAnsi="Times New Roman"/>
          <w:i/>
          <w:color w:val="000000" w:themeColor="text1"/>
          <w:kern w:val="0"/>
          <w:sz w:val="24"/>
          <w:szCs w:val="24"/>
        </w:rPr>
        <w:t>Gapdh</w:t>
      </w:r>
      <w:proofErr w:type="spellEnd"/>
      <w:r w:rsidRPr="001D11EE">
        <w:rPr>
          <w:rFonts w:ascii="Times New Roman" w:hAnsi="Times New Roman"/>
          <w:color w:val="000000" w:themeColor="text1"/>
          <w:kern w:val="0"/>
          <w:sz w:val="24"/>
          <w:szCs w:val="24"/>
        </w:rPr>
        <w:t xml:space="preserve"> threshold cycle (CT) values and quantified using the comparative threshold cycle 2−ΔΔCT method. Signals from C57BL6/J mice fed ND were assigned a relative value of 1.0. Six mice from each group were examined, and an RT-PCR was run in triplicate for each sample.</w:t>
      </w:r>
    </w:p>
    <w:p w14:paraId="2C4B0B53" w14:textId="77777777" w:rsidR="00EC019F" w:rsidRPr="001D11EE" w:rsidRDefault="00EC019F">
      <w:pPr>
        <w:rPr>
          <w:rFonts w:ascii="Times New Roman" w:hAnsi="Times New Roman"/>
          <w:sz w:val="24"/>
          <w:szCs w:val="24"/>
        </w:rPr>
      </w:pPr>
    </w:p>
    <w:p w14:paraId="55FE4AB7" w14:textId="77777777" w:rsidR="002E0459" w:rsidRPr="001D11EE" w:rsidRDefault="002E0459" w:rsidP="002E0459">
      <w:pPr>
        <w:adjustRightInd w:val="0"/>
        <w:snapToGrid w:val="0"/>
        <w:rPr>
          <w:rFonts w:ascii="Times New Roman" w:hAnsi="Times New Roman"/>
          <w:i/>
          <w:color w:val="000000" w:themeColor="text1"/>
          <w:sz w:val="24"/>
          <w:szCs w:val="24"/>
        </w:rPr>
      </w:pPr>
      <w:r w:rsidRPr="001D11EE">
        <w:rPr>
          <w:rFonts w:ascii="Times New Roman" w:hAnsi="Times New Roman"/>
          <w:i/>
          <w:color w:val="000000" w:themeColor="text1"/>
          <w:sz w:val="24"/>
          <w:szCs w:val="24"/>
        </w:rPr>
        <w:t xml:space="preserve">Murine macrophage cell culture </w:t>
      </w:r>
      <w:r w:rsidRPr="001D11EE">
        <w:rPr>
          <w:rFonts w:ascii="Times New Roman" w:hAnsi="Times New Roman"/>
          <w:bCs/>
          <w:i/>
          <w:color w:val="000000" w:themeColor="text1"/>
          <w:sz w:val="24"/>
          <w:szCs w:val="24"/>
        </w:rPr>
        <w:t>and flow cytometry</w:t>
      </w:r>
    </w:p>
    <w:p w14:paraId="178526F9" w14:textId="207B7B85" w:rsidR="006D086E" w:rsidRPr="001D11EE" w:rsidRDefault="002E0459" w:rsidP="002E0459">
      <w:pPr>
        <w:ind w:firstLineChars="400" w:firstLine="960"/>
        <w:rPr>
          <w:rFonts w:ascii="Times New Roman" w:hAnsi="Times New Roman"/>
          <w:bCs/>
          <w:iCs/>
          <w:color w:val="000000" w:themeColor="text1"/>
          <w:sz w:val="24"/>
          <w:szCs w:val="24"/>
        </w:rPr>
      </w:pPr>
      <w:r w:rsidRPr="001D11EE">
        <w:rPr>
          <w:rFonts w:ascii="Times New Roman" w:hAnsi="Times New Roman"/>
          <w:bCs/>
          <w:iCs/>
          <w:color w:val="000000" w:themeColor="text1"/>
          <w:sz w:val="24"/>
          <w:szCs w:val="24"/>
        </w:rPr>
        <w:t xml:space="preserve">We used the following antibodies for gating of </w:t>
      </w:r>
      <w:r w:rsidRPr="001D11EE">
        <w:rPr>
          <w:rFonts w:ascii="Times New Roman" w:hAnsi="Times New Roman"/>
          <w:bCs/>
          <w:i/>
          <w:color w:val="000000" w:themeColor="text1"/>
          <w:sz w:val="24"/>
          <w:szCs w:val="24"/>
        </w:rPr>
        <w:t xml:space="preserve">il-12 </w:t>
      </w:r>
      <w:r w:rsidRPr="001D11EE">
        <w:rPr>
          <w:rFonts w:ascii="Times New Roman" w:hAnsi="Times New Roman"/>
          <w:bCs/>
          <w:iCs/>
          <w:color w:val="000000" w:themeColor="text1"/>
          <w:sz w:val="24"/>
          <w:szCs w:val="24"/>
        </w:rPr>
        <w:t>and</w:t>
      </w:r>
      <w:r w:rsidRPr="001D11EE">
        <w:rPr>
          <w:rFonts w:ascii="Times New Roman" w:hAnsi="Times New Roman"/>
          <w:bCs/>
          <w:i/>
          <w:color w:val="000000" w:themeColor="text1"/>
          <w:sz w:val="24"/>
          <w:szCs w:val="24"/>
        </w:rPr>
        <w:t xml:space="preserve"> il-1β</w:t>
      </w:r>
      <w:r w:rsidRPr="001D11EE">
        <w:rPr>
          <w:rFonts w:ascii="Times New Roman" w:hAnsi="Times New Roman"/>
          <w:bCs/>
          <w:iCs/>
          <w:color w:val="000000" w:themeColor="text1"/>
          <w:sz w:val="24"/>
          <w:szCs w:val="24"/>
        </w:rPr>
        <w:t xml:space="preserve"> positive cells: PE-Cy-7-CD45 (103113; clone: 30-F11; 1/100; </w:t>
      </w:r>
      <w:proofErr w:type="spellStart"/>
      <w:r w:rsidRPr="001D11EE">
        <w:rPr>
          <w:rFonts w:ascii="Times New Roman" w:hAnsi="Times New Roman"/>
          <w:bCs/>
          <w:iCs/>
          <w:color w:val="000000" w:themeColor="text1"/>
          <w:sz w:val="24"/>
          <w:szCs w:val="24"/>
        </w:rPr>
        <w:t>BioLegend</w:t>
      </w:r>
      <w:proofErr w:type="spellEnd"/>
      <w:r w:rsidRPr="001D11EE">
        <w:rPr>
          <w:rFonts w:ascii="Times New Roman" w:hAnsi="Times New Roman"/>
          <w:bCs/>
          <w:iCs/>
          <w:color w:val="000000" w:themeColor="text1"/>
          <w:sz w:val="24"/>
          <w:szCs w:val="24"/>
        </w:rPr>
        <w:t xml:space="preserve">, San Diego, CA, USA), Pacific Blue-F4/80 (123123; clone: BM8; 1/100; </w:t>
      </w:r>
      <w:proofErr w:type="spellStart"/>
      <w:r w:rsidRPr="001D11EE">
        <w:rPr>
          <w:rFonts w:ascii="Times New Roman" w:hAnsi="Times New Roman"/>
          <w:bCs/>
          <w:iCs/>
          <w:color w:val="000000" w:themeColor="text1"/>
          <w:sz w:val="24"/>
          <w:szCs w:val="24"/>
        </w:rPr>
        <w:t>BioLegend</w:t>
      </w:r>
      <w:proofErr w:type="spellEnd"/>
      <w:r w:rsidRPr="001D11EE">
        <w:rPr>
          <w:rFonts w:ascii="Times New Roman" w:hAnsi="Times New Roman"/>
          <w:bCs/>
          <w:iCs/>
          <w:color w:val="000000" w:themeColor="text1"/>
          <w:sz w:val="24"/>
          <w:szCs w:val="24"/>
        </w:rPr>
        <w:t xml:space="preserve">), PerCP-Cy5.5-CD11b(101227; clone: M1/70; 1/100; </w:t>
      </w:r>
      <w:proofErr w:type="spellStart"/>
      <w:r w:rsidRPr="001D11EE">
        <w:rPr>
          <w:rFonts w:ascii="Times New Roman" w:hAnsi="Times New Roman"/>
          <w:bCs/>
          <w:iCs/>
          <w:color w:val="000000" w:themeColor="text1"/>
          <w:sz w:val="24"/>
          <w:szCs w:val="24"/>
        </w:rPr>
        <w:t>BioLegend</w:t>
      </w:r>
      <w:proofErr w:type="spellEnd"/>
      <w:r w:rsidRPr="001D11EE">
        <w:rPr>
          <w:rFonts w:ascii="Times New Roman" w:hAnsi="Times New Roman"/>
          <w:bCs/>
          <w:iCs/>
          <w:color w:val="000000" w:themeColor="text1"/>
          <w:sz w:val="24"/>
          <w:szCs w:val="24"/>
        </w:rPr>
        <w:t>), PE-IL-1β (17711480; clone: NJTEN3; 1/50; Invitrogen, Carlsbad, CA, USA), and FITC-IL-12 (560564; clone: C15.6; 1/50, Biosciences</w:t>
      </w:r>
      <w:r w:rsidR="00F21985" w:rsidRPr="001D11EE">
        <w:rPr>
          <w:rFonts w:ascii="Times New Roman" w:hAnsi="Times New Roman"/>
          <w:bCs/>
          <w:iCs/>
          <w:color w:val="000000" w:themeColor="text1"/>
          <w:sz w:val="24"/>
          <w:szCs w:val="24"/>
        </w:rPr>
        <w:t>.</w:t>
      </w:r>
    </w:p>
    <w:p w14:paraId="3C3E6985" w14:textId="77777777" w:rsidR="006D086E" w:rsidRPr="001D11EE" w:rsidRDefault="006D086E">
      <w:pPr>
        <w:spacing w:line="240" w:lineRule="auto"/>
        <w:jc w:val="left"/>
        <w:rPr>
          <w:rFonts w:ascii="Times New Roman" w:hAnsi="Times New Roman"/>
          <w:bCs/>
          <w:iCs/>
          <w:color w:val="000000" w:themeColor="text1"/>
          <w:sz w:val="24"/>
          <w:szCs w:val="24"/>
        </w:rPr>
      </w:pPr>
      <w:r w:rsidRPr="001D11EE">
        <w:rPr>
          <w:rFonts w:ascii="Times New Roman" w:hAnsi="Times New Roman"/>
          <w:bCs/>
          <w:iCs/>
          <w:color w:val="000000" w:themeColor="text1"/>
          <w:sz w:val="24"/>
          <w:szCs w:val="24"/>
        </w:rPr>
        <w:br w:type="page"/>
      </w:r>
    </w:p>
    <w:p w14:paraId="35D9C5E4" w14:textId="77777777" w:rsidR="006D086E" w:rsidRPr="001D11EE" w:rsidRDefault="006D086E" w:rsidP="006D086E">
      <w:pPr>
        <w:rPr>
          <w:rFonts w:ascii="Times New Roman" w:hAnsi="Times New Roman"/>
          <w:sz w:val="24"/>
          <w:szCs w:val="24"/>
        </w:rPr>
        <w:sectPr w:rsidR="006D086E" w:rsidRPr="001D11EE">
          <w:pgSz w:w="11906" w:h="16838"/>
          <w:pgMar w:top="1985" w:right="1701" w:bottom="1701" w:left="1701" w:header="851" w:footer="992" w:gutter="0"/>
          <w:cols w:space="425"/>
          <w:docGrid w:type="lines" w:linePitch="360"/>
        </w:sectPr>
      </w:pPr>
    </w:p>
    <w:p w14:paraId="2AAD1B0F" w14:textId="7984BB41" w:rsidR="006D086E" w:rsidRPr="001D11EE" w:rsidRDefault="006D086E" w:rsidP="006D086E">
      <w:pPr>
        <w:rPr>
          <w:rFonts w:ascii="Times New Roman" w:hAnsi="Times New Roman"/>
          <w:sz w:val="24"/>
          <w:szCs w:val="24"/>
        </w:rPr>
      </w:pPr>
      <w:r w:rsidRPr="001D11EE">
        <w:rPr>
          <w:rFonts w:ascii="Times New Roman" w:hAnsi="Times New Roman"/>
          <w:sz w:val="24"/>
          <w:szCs w:val="24"/>
        </w:rPr>
        <w:lastRenderedPageBreak/>
        <w:t xml:space="preserve">Supplementary Table. </w:t>
      </w:r>
      <w:r w:rsidRPr="001D11EE">
        <w:rPr>
          <w:rFonts w:ascii="Times New Roman" w:hAnsi="Times New Roman"/>
          <w:sz w:val="24"/>
          <w:szCs w:val="24"/>
        </w:rPr>
        <w:t>Primer sequences of mouse for RT-PCR</w:t>
      </w:r>
    </w:p>
    <w:tbl>
      <w:tblPr>
        <w:tblStyle w:val="a3"/>
        <w:tblW w:w="0" w:type="auto"/>
        <w:tblLook w:val="04A0" w:firstRow="1" w:lastRow="0" w:firstColumn="1" w:lastColumn="0" w:noHBand="0" w:noVBand="1"/>
      </w:tblPr>
      <w:tblGrid>
        <w:gridCol w:w="4247"/>
        <w:gridCol w:w="4291"/>
        <w:gridCol w:w="4247"/>
      </w:tblGrid>
      <w:tr w:rsidR="006D086E" w:rsidRPr="001D11EE" w14:paraId="03548813" w14:textId="77777777" w:rsidTr="008B6810">
        <w:tc>
          <w:tcPr>
            <w:tcW w:w="4247" w:type="dxa"/>
          </w:tcPr>
          <w:p w14:paraId="4DF3E37E"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Primer name</w:t>
            </w:r>
          </w:p>
        </w:tc>
        <w:tc>
          <w:tcPr>
            <w:tcW w:w="4247" w:type="dxa"/>
          </w:tcPr>
          <w:p w14:paraId="206B38D5"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Forward</w:t>
            </w:r>
          </w:p>
        </w:tc>
        <w:tc>
          <w:tcPr>
            <w:tcW w:w="4247" w:type="dxa"/>
          </w:tcPr>
          <w:p w14:paraId="4C7017F9"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Reverse</w:t>
            </w:r>
          </w:p>
        </w:tc>
      </w:tr>
      <w:tr w:rsidR="006D086E" w:rsidRPr="001D11EE" w14:paraId="42284EB2" w14:textId="77777777" w:rsidTr="008B6810">
        <w:tc>
          <w:tcPr>
            <w:tcW w:w="4247" w:type="dxa"/>
          </w:tcPr>
          <w:p w14:paraId="5CF4E17F"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TNFα</w:t>
            </w:r>
          </w:p>
        </w:tc>
        <w:tc>
          <w:tcPr>
            <w:tcW w:w="4247" w:type="dxa"/>
          </w:tcPr>
          <w:p w14:paraId="397B9F81"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ATGGATCTCAAAGACAACCAACTAG</w:t>
            </w:r>
          </w:p>
        </w:tc>
        <w:tc>
          <w:tcPr>
            <w:tcW w:w="4247" w:type="dxa"/>
          </w:tcPr>
          <w:p w14:paraId="56A2E497"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ACGGCAGAGAGGAGGTTGACTT</w:t>
            </w:r>
          </w:p>
        </w:tc>
      </w:tr>
      <w:tr w:rsidR="006D086E" w:rsidRPr="001D11EE" w14:paraId="3A262C05" w14:textId="77777777" w:rsidTr="008B6810">
        <w:tc>
          <w:tcPr>
            <w:tcW w:w="4247" w:type="dxa"/>
          </w:tcPr>
          <w:p w14:paraId="1F5FD457"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IL-6</w:t>
            </w:r>
          </w:p>
        </w:tc>
        <w:tc>
          <w:tcPr>
            <w:tcW w:w="4247" w:type="dxa"/>
          </w:tcPr>
          <w:p w14:paraId="3A61C0A2"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AACCACGGCCTTCCCTACTT</w:t>
            </w:r>
          </w:p>
        </w:tc>
        <w:tc>
          <w:tcPr>
            <w:tcW w:w="4247" w:type="dxa"/>
          </w:tcPr>
          <w:p w14:paraId="5327D513"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TCTGTTGGGAGTGGTATCCTCTGT</w:t>
            </w:r>
          </w:p>
        </w:tc>
      </w:tr>
      <w:tr w:rsidR="006D086E" w:rsidRPr="001D11EE" w14:paraId="75AC725E" w14:textId="77777777" w:rsidTr="008B6810">
        <w:tc>
          <w:tcPr>
            <w:tcW w:w="4247" w:type="dxa"/>
          </w:tcPr>
          <w:p w14:paraId="657387CB"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IL-1β</w:t>
            </w:r>
          </w:p>
        </w:tc>
        <w:tc>
          <w:tcPr>
            <w:tcW w:w="4247" w:type="dxa"/>
          </w:tcPr>
          <w:p w14:paraId="1C2D57A2"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TCGTGCTGTCGGACCCATAT</w:t>
            </w:r>
          </w:p>
        </w:tc>
        <w:tc>
          <w:tcPr>
            <w:tcW w:w="4247" w:type="dxa"/>
          </w:tcPr>
          <w:p w14:paraId="12879003"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GGTTCTCCTTGTACAAAGCTCATG</w:t>
            </w:r>
          </w:p>
        </w:tc>
      </w:tr>
      <w:tr w:rsidR="006D086E" w:rsidRPr="001D11EE" w14:paraId="31D60911" w14:textId="77777777" w:rsidTr="008B6810">
        <w:tc>
          <w:tcPr>
            <w:tcW w:w="4247" w:type="dxa"/>
          </w:tcPr>
          <w:p w14:paraId="73AC7196"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CD36</w:t>
            </w:r>
          </w:p>
        </w:tc>
        <w:tc>
          <w:tcPr>
            <w:tcW w:w="4247" w:type="dxa"/>
          </w:tcPr>
          <w:p w14:paraId="398E87FF"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GCTTGCAACTGTCAGCACAT</w:t>
            </w:r>
          </w:p>
        </w:tc>
        <w:tc>
          <w:tcPr>
            <w:tcW w:w="4247" w:type="dxa"/>
          </w:tcPr>
          <w:p w14:paraId="2C0408E5"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GCCTTGCTGTAGCCAAGAAC</w:t>
            </w:r>
          </w:p>
        </w:tc>
      </w:tr>
      <w:tr w:rsidR="006D086E" w:rsidRPr="001D11EE" w14:paraId="25322C28" w14:textId="77777777" w:rsidTr="008B6810">
        <w:tc>
          <w:tcPr>
            <w:tcW w:w="4247" w:type="dxa"/>
          </w:tcPr>
          <w:p w14:paraId="7B269CC6"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CCL2</w:t>
            </w:r>
          </w:p>
        </w:tc>
        <w:tc>
          <w:tcPr>
            <w:tcW w:w="4247" w:type="dxa"/>
          </w:tcPr>
          <w:p w14:paraId="135962B3"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GCTACAAGAGGATCACCAGCAG</w:t>
            </w:r>
          </w:p>
        </w:tc>
        <w:tc>
          <w:tcPr>
            <w:tcW w:w="4247" w:type="dxa"/>
          </w:tcPr>
          <w:p w14:paraId="672C2FC9"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GTCTGGACCCATTCCTTCTTGG</w:t>
            </w:r>
          </w:p>
        </w:tc>
      </w:tr>
      <w:tr w:rsidR="006D086E" w:rsidRPr="001D11EE" w14:paraId="53401958" w14:textId="77777777" w:rsidTr="008B6810">
        <w:tc>
          <w:tcPr>
            <w:tcW w:w="4247" w:type="dxa"/>
          </w:tcPr>
          <w:p w14:paraId="10D4B0DC"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IL-22</w:t>
            </w:r>
          </w:p>
        </w:tc>
        <w:tc>
          <w:tcPr>
            <w:tcW w:w="4247" w:type="dxa"/>
          </w:tcPr>
          <w:p w14:paraId="4A918F7C"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ATGAGTTTTTCCCTTATGGGGAC</w:t>
            </w:r>
          </w:p>
        </w:tc>
        <w:tc>
          <w:tcPr>
            <w:tcW w:w="4247" w:type="dxa"/>
          </w:tcPr>
          <w:p w14:paraId="4D3A5E4A"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GCTGGAAGTTGGACACCTCAA</w:t>
            </w:r>
          </w:p>
        </w:tc>
      </w:tr>
      <w:tr w:rsidR="006D086E" w:rsidRPr="001D11EE" w14:paraId="5468BCA6" w14:textId="77777777" w:rsidTr="008B6810">
        <w:tc>
          <w:tcPr>
            <w:tcW w:w="4247" w:type="dxa"/>
          </w:tcPr>
          <w:p w14:paraId="5D19245A"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GAPDH</w:t>
            </w:r>
          </w:p>
        </w:tc>
        <w:tc>
          <w:tcPr>
            <w:tcW w:w="4247" w:type="dxa"/>
          </w:tcPr>
          <w:p w14:paraId="2894734D"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TGAGCAAGAGAGGCCCTATC</w:t>
            </w:r>
          </w:p>
        </w:tc>
        <w:tc>
          <w:tcPr>
            <w:tcW w:w="4247" w:type="dxa"/>
          </w:tcPr>
          <w:p w14:paraId="62182C4F" w14:textId="77777777" w:rsidR="006D086E" w:rsidRPr="001D11EE" w:rsidRDefault="006D086E" w:rsidP="008B6810">
            <w:pPr>
              <w:rPr>
                <w:rFonts w:ascii="Times New Roman" w:hAnsi="Times New Roman"/>
                <w:sz w:val="24"/>
                <w:szCs w:val="24"/>
              </w:rPr>
            </w:pPr>
            <w:r w:rsidRPr="001D11EE">
              <w:rPr>
                <w:rFonts w:ascii="Times New Roman" w:hAnsi="Times New Roman"/>
                <w:sz w:val="24"/>
                <w:szCs w:val="24"/>
              </w:rPr>
              <w:t>AGGCCCCTCCTGTTATTATG</w:t>
            </w:r>
          </w:p>
        </w:tc>
      </w:tr>
    </w:tbl>
    <w:p w14:paraId="316C3D61" w14:textId="77777777" w:rsidR="002E0459" w:rsidRPr="001D11EE" w:rsidRDefault="002E0459" w:rsidP="006D086E">
      <w:pPr>
        <w:rPr>
          <w:rFonts w:ascii="Times New Roman" w:hAnsi="Times New Roman"/>
          <w:sz w:val="24"/>
          <w:szCs w:val="24"/>
        </w:rPr>
      </w:pPr>
    </w:p>
    <w:sectPr w:rsidR="002E0459" w:rsidRPr="001D11EE" w:rsidSect="006D086E">
      <w:pgSz w:w="16838" w:h="11906" w:orient="landscape"/>
      <w:pgMar w:top="1701" w:right="1701" w:bottom="1701" w:left="1985"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19F"/>
    <w:rsid w:val="001D11EE"/>
    <w:rsid w:val="002E0459"/>
    <w:rsid w:val="00402C1F"/>
    <w:rsid w:val="00476D59"/>
    <w:rsid w:val="006D086E"/>
    <w:rsid w:val="007E290B"/>
    <w:rsid w:val="00922D3B"/>
    <w:rsid w:val="00A64D28"/>
    <w:rsid w:val="00EC019F"/>
    <w:rsid w:val="00F219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0A604D3A"/>
  <w15:chartTrackingRefBased/>
  <w15:docId w15:val="{FEB55948-6493-3C41-B377-AF8489B6D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019F"/>
    <w:pPr>
      <w:spacing w:line="480" w:lineRule="auto"/>
      <w:jc w:val="both"/>
    </w:pPr>
    <w:rPr>
      <w:rFonts w:ascii="游明朝" w:eastAsia="游明朝" w:hAnsi="游明朝" w:cs="Times New Roman"/>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D08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2334</Words>
  <Characters>13308</Characters>
  <Application>Microsoft Office Word</Application>
  <DocSecurity>0</DocSecurity>
  <Lines>110</Lines>
  <Paragraphs>31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岡村 拓郎</dc:creator>
  <cp:keywords/>
  <dc:description/>
  <cp:lastModifiedBy>岡村 拓郎</cp:lastModifiedBy>
  <cp:revision>4</cp:revision>
  <dcterms:created xsi:type="dcterms:W3CDTF">2020-12-11T08:52:00Z</dcterms:created>
  <dcterms:modified xsi:type="dcterms:W3CDTF">2021-03-29T04:59:00Z</dcterms:modified>
</cp:coreProperties>
</file>