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7B65BC41" w14:textId="57276902" w:rsidR="00DE23E8" w:rsidRDefault="00790839" w:rsidP="00790839">
      <w:pPr>
        <w:keepNext/>
        <w:rPr>
          <w:rFonts w:cs="Times New Roman"/>
          <w:bCs/>
          <w:szCs w:val="24"/>
        </w:rPr>
      </w:pPr>
      <w:r>
        <w:rPr>
          <w:rFonts w:cs="Times New Roman"/>
          <w:b/>
          <w:szCs w:val="24"/>
        </w:rPr>
        <w:t xml:space="preserve">Supplementary </w:t>
      </w:r>
      <w:r w:rsidRPr="00790839">
        <w:rPr>
          <w:rFonts w:cs="Times New Roman"/>
          <w:b/>
          <w:szCs w:val="24"/>
        </w:rPr>
        <w:t xml:space="preserve">Table 2. </w:t>
      </w:r>
      <w:r w:rsidRPr="00790839">
        <w:rPr>
          <w:rFonts w:cs="Times New Roman"/>
          <w:bCs/>
          <w:szCs w:val="24"/>
        </w:rPr>
        <w:t>Summary of Evaluation Approaches: We compare many of the evaluation approaches described in the Literature Review on the basis of target system type, evaluation type, a brief description of the technique, and a list of metrics or criteria.</w:t>
      </w:r>
    </w:p>
    <w:tbl>
      <w:tblPr>
        <w:tblStyle w:val="TableGrid21"/>
        <w:tblW w:w="0" w:type="auto"/>
        <w:tblLayout w:type="fixed"/>
        <w:tblLook w:val="06A0" w:firstRow="1" w:lastRow="0" w:firstColumn="1" w:lastColumn="0" w:noHBand="1" w:noVBand="1"/>
      </w:tblPr>
      <w:tblGrid>
        <w:gridCol w:w="1435"/>
        <w:gridCol w:w="1440"/>
        <w:gridCol w:w="2700"/>
        <w:gridCol w:w="3785"/>
      </w:tblGrid>
      <w:tr w:rsidR="00790839" w:rsidRPr="00790839" w14:paraId="03C9AACC" w14:textId="77777777" w:rsidTr="007C72CB">
        <w:tc>
          <w:tcPr>
            <w:tcW w:w="1435" w:type="dxa"/>
          </w:tcPr>
          <w:p w14:paraId="56BB95C7" w14:textId="77777777" w:rsidR="00790839" w:rsidRPr="00790839" w:rsidRDefault="00790839" w:rsidP="00790839">
            <w:pPr>
              <w:spacing w:before="0" w:after="0"/>
              <w:rPr>
                <w:rFonts w:ascii="Calibri" w:eastAsia="Calibri" w:hAnsi="Calibri" w:cs="Calibri"/>
                <w:b/>
                <w:szCs w:val="24"/>
              </w:rPr>
            </w:pPr>
            <w:r w:rsidRPr="00790839">
              <w:rPr>
                <w:rFonts w:ascii="Calibri" w:eastAsia="Calibri" w:hAnsi="Calibri" w:cs="Calibri"/>
                <w:b/>
                <w:szCs w:val="24"/>
              </w:rPr>
              <w:t>Target</w:t>
            </w:r>
          </w:p>
        </w:tc>
        <w:tc>
          <w:tcPr>
            <w:tcW w:w="1440" w:type="dxa"/>
          </w:tcPr>
          <w:p w14:paraId="756DE9D4" w14:textId="77777777" w:rsidR="00790839" w:rsidRPr="00790839" w:rsidRDefault="00790839" w:rsidP="00790839">
            <w:pPr>
              <w:spacing w:before="0" w:after="0"/>
              <w:rPr>
                <w:rFonts w:ascii="Calibri" w:eastAsia="Calibri" w:hAnsi="Calibri" w:cs="Calibri"/>
                <w:b/>
                <w:szCs w:val="24"/>
              </w:rPr>
            </w:pPr>
            <w:r w:rsidRPr="00790839">
              <w:rPr>
                <w:rFonts w:ascii="Calibri" w:eastAsia="Calibri" w:hAnsi="Calibri" w:cs="Calibri"/>
                <w:b/>
                <w:szCs w:val="24"/>
              </w:rPr>
              <w:t>Types</w:t>
            </w:r>
          </w:p>
        </w:tc>
        <w:tc>
          <w:tcPr>
            <w:tcW w:w="2700" w:type="dxa"/>
          </w:tcPr>
          <w:p w14:paraId="14B0517F" w14:textId="77777777" w:rsidR="00790839" w:rsidRPr="00790839" w:rsidRDefault="00790839" w:rsidP="00790839">
            <w:pPr>
              <w:spacing w:before="0" w:after="0"/>
              <w:rPr>
                <w:rFonts w:ascii="Calibri" w:eastAsia="Calibri" w:hAnsi="Calibri" w:cs="Calibri"/>
                <w:b/>
                <w:szCs w:val="24"/>
              </w:rPr>
            </w:pPr>
            <w:r w:rsidRPr="00790839">
              <w:rPr>
                <w:rFonts w:ascii="Calibri" w:eastAsia="Calibri" w:hAnsi="Calibri" w:cs="Calibri"/>
                <w:b/>
                <w:szCs w:val="24"/>
              </w:rPr>
              <w:t>Technique</w:t>
            </w:r>
          </w:p>
        </w:tc>
        <w:tc>
          <w:tcPr>
            <w:tcW w:w="3785" w:type="dxa"/>
          </w:tcPr>
          <w:p w14:paraId="4B3322C5" w14:textId="77777777" w:rsidR="00790839" w:rsidRPr="00790839" w:rsidRDefault="00790839" w:rsidP="00790839">
            <w:pPr>
              <w:spacing w:before="0" w:after="0"/>
              <w:rPr>
                <w:rFonts w:ascii="Calibri" w:eastAsia="Calibri" w:hAnsi="Calibri" w:cs="Calibri"/>
                <w:b/>
                <w:szCs w:val="24"/>
              </w:rPr>
            </w:pPr>
            <w:r w:rsidRPr="00790839">
              <w:rPr>
                <w:rFonts w:ascii="Calibri" w:eastAsia="Calibri" w:hAnsi="Calibri" w:cs="Calibri"/>
                <w:b/>
                <w:szCs w:val="24"/>
              </w:rPr>
              <w:t>Metrics/Criteria</w:t>
            </w:r>
          </w:p>
        </w:tc>
      </w:tr>
      <w:tr w:rsidR="00790839" w:rsidRPr="00790839" w14:paraId="4C91149A" w14:textId="77777777" w:rsidTr="007C72CB">
        <w:tc>
          <w:tcPr>
            <w:tcW w:w="1435" w:type="dxa"/>
          </w:tcPr>
          <w:p w14:paraId="6AAA15AB"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Speech Recognition</w:t>
            </w:r>
          </w:p>
          <w:p w14:paraId="1A0E3EDA"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(Speech)</w:t>
            </w:r>
          </w:p>
        </w:tc>
        <w:tc>
          <w:tcPr>
            <w:tcW w:w="1440" w:type="dxa"/>
          </w:tcPr>
          <w:p w14:paraId="2F8E0318"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Closed Domain</w:t>
            </w:r>
          </w:p>
          <w:p w14:paraId="761977A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4A100388"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Log-based</w:t>
            </w:r>
          </w:p>
        </w:tc>
        <w:tc>
          <w:tcPr>
            <w:tcW w:w="2700" w:type="dxa"/>
          </w:tcPr>
          <w:p w14:paraId="6364455B"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Compare recognized words to human-transcribed words (ground truth)</w:t>
            </w:r>
          </w:p>
        </w:tc>
        <w:tc>
          <w:tcPr>
            <w:tcW w:w="3785" w:type="dxa"/>
          </w:tcPr>
          <w:p w14:paraId="18C5A2CE"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Precision</w:t>
            </w:r>
          </w:p>
          <w:p w14:paraId="71037E24"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Recall</w:t>
            </w:r>
          </w:p>
          <w:p w14:paraId="2E0B2BF5"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Perplexity</w:t>
            </w:r>
          </w:p>
          <w:p w14:paraId="7DA219A9"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Word Error Rate</w:t>
            </w:r>
          </w:p>
          <w:p w14:paraId="4EBF696C"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Continuous Word Error Rate</w:t>
            </w:r>
          </w:p>
          <w:p w14:paraId="203C25FC" w14:textId="77777777" w:rsidR="00790839" w:rsidRPr="00790839" w:rsidRDefault="00790839" w:rsidP="00790839">
            <w:pPr>
              <w:spacing w:before="0" w:after="0"/>
              <w:rPr>
                <w:rFonts w:ascii="Calibri" w:eastAsia="Calibri" w:hAnsi="Calibri" w:cs="Calibri"/>
                <w:sz w:val="20"/>
                <w:szCs w:val="20"/>
              </w:rPr>
            </w:pPr>
          </w:p>
          <w:p w14:paraId="3E89EE8B" w14:textId="77777777" w:rsidR="00790839" w:rsidRPr="00790839" w:rsidRDefault="00790839" w:rsidP="00790839">
            <w:pPr>
              <w:spacing w:before="0" w:after="0"/>
              <w:rPr>
                <w:rFonts w:eastAsia="Times New Roman" w:cs="Times New Roman"/>
                <w:iCs/>
                <w:sz w:val="20"/>
                <w:szCs w:val="20"/>
              </w:rPr>
            </w:pPr>
            <w:r w:rsidRPr="00790839">
              <w:rPr>
                <w:rFonts w:eastAsia="Times New Roman" w:cs="Times New Roman"/>
                <w:iCs/>
                <w:sz w:val="20"/>
                <w:szCs w:val="20"/>
              </w:rPr>
              <w:fldChar w:fldCharType="begin"/>
            </w:r>
            <w:r w:rsidRPr="00790839">
              <w:rPr>
                <w:rFonts w:eastAsia="Times New Roman" w:cs="Times New Roman"/>
                <w:iCs/>
                <w:sz w:val="20"/>
                <w:szCs w:val="20"/>
              </w:rPr>
              <w:instrText xml:space="preserve"> ADDIN ZOTERO_ITEM CSL_CITATION {"citationID":"VgMO3AS9","properties":{"formattedCitation":"(Furui 2007)","plainCitation":"(Furui 2007)","noteIndex":0},"citationItems":[{"id":4665,"uris":["http://zotero.org/users/6715/items/DUT7ZYJW"],"uri":["http://zotero.org/users/6715/items/DUT7ZYJW"],"itemData":{"id":4665,"type":"chapter","abstract":"This chapter overviews techniques for evaluating speech and speaker recognition systems. The chapter first describes principles of recognition methods, and specifies types of systems as well as their applications. The evaluation methods can be classified into subjective and objective methods, among which the chapter focuses on the latter methods. In order to compare/normalize performances of different speech recognition systems, test set perplexity is introduced as a measure of the difficulty of each task. Objective evaluation methods of spoken dialogue and transcription systems are respectively described. Speaker recognition can be classified into speaker identification and verification, and most of the application systems fall into the speaker verification category. Since variation of speech features over time is a serious problem in speaker recognition, normalization and adaptation techniques are also described. Speaker verification performance is typically measured by equal error rate, detection error trade-off (DET) curves, and a weighted cost value. The chapter concludes by summarizing various issues for future research.","collection-title":"Text, Speech and Language Technology","container-title":"Evaluation of Text and Speech Systems","event-place":"Dordrecht","ISBN":"978-1-4020-5817-2","language":"en","note":"DOI: 10.1007/978-1-4020-5817-2_1","page":"1-27","publisher":"Springer Netherlands","publisher-place":"Dordrecht","source":"Springer Link","title":"Speech and Speaker Recognition Evaluation","URL":"https://doi.org/10.1007/978-1-4020-5817-2_1","author":[{"family":"Furui","given":"Sadaoki"}],"editor":[{"family":"Dybkjær","given":"Laila"},{"family":"Hemsen","given":"Holmer"},{"family":"Minker","given":"Wolfgang"}],"accessed":{"date-parts":[["2021",1,28]]},"issued":{"date-parts":[["2007"]]}}}],"schema":"https://github.com/citation-style-language/schema/raw/master/csl-citation.json"} </w:instrText>
            </w:r>
            <w:r w:rsidRPr="00790839">
              <w:rPr>
                <w:rFonts w:eastAsia="Times New Roman" w:cs="Times New Roman"/>
                <w:iCs/>
                <w:sz w:val="20"/>
                <w:szCs w:val="20"/>
              </w:rPr>
              <w:fldChar w:fldCharType="separate"/>
            </w:r>
            <w:r w:rsidRPr="00790839">
              <w:rPr>
                <w:rFonts w:eastAsia="Times New Roman" w:cs="Times New Roman"/>
                <w:iCs/>
                <w:sz w:val="20"/>
                <w:szCs w:val="20"/>
              </w:rPr>
              <w:t>(</w:t>
            </w:r>
            <w:r w:rsidRPr="0065541E">
              <w:rPr>
                <w:rFonts w:eastAsia="Times New Roman" w:cs="Times New Roman"/>
                <w:i/>
                <w:sz w:val="20"/>
                <w:szCs w:val="20"/>
              </w:rPr>
              <w:t>Furui 2007</w:t>
            </w:r>
            <w:r w:rsidRPr="00790839">
              <w:rPr>
                <w:rFonts w:eastAsia="Times New Roman" w:cs="Times New Roman"/>
                <w:iCs/>
                <w:sz w:val="20"/>
                <w:szCs w:val="20"/>
              </w:rPr>
              <w:t>)</w:t>
            </w:r>
            <w:r w:rsidRPr="00790839">
              <w:rPr>
                <w:rFonts w:eastAsia="Times New Roman" w:cs="Times New Roman"/>
                <w:iCs/>
                <w:sz w:val="20"/>
                <w:szCs w:val="20"/>
              </w:rPr>
              <w:fldChar w:fldCharType="end"/>
            </w:r>
            <w:r w:rsidRPr="00790839">
              <w:rPr>
                <w:rFonts w:eastAsia="Times New Roman" w:cs="Times New Roman"/>
                <w:iCs/>
                <w:sz w:val="20"/>
                <w:szCs w:val="20"/>
              </w:rPr>
              <w:t xml:space="preserve"> </w:t>
            </w:r>
          </w:p>
        </w:tc>
      </w:tr>
      <w:tr w:rsidR="00790839" w:rsidRPr="00790839" w14:paraId="5838BD47" w14:textId="77777777" w:rsidTr="007C72CB">
        <w:tc>
          <w:tcPr>
            <w:tcW w:w="1435" w:type="dxa"/>
          </w:tcPr>
          <w:p w14:paraId="74D02412"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Spoken dialogue</w:t>
            </w:r>
          </w:p>
          <w:p w14:paraId="7004B55B"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(Speech)</w:t>
            </w:r>
          </w:p>
          <w:p w14:paraId="7FAE56C5"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5E43C75D"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Task-Oriented</w:t>
            </w:r>
          </w:p>
        </w:tc>
        <w:tc>
          <w:tcPr>
            <w:tcW w:w="1440" w:type="dxa"/>
          </w:tcPr>
          <w:p w14:paraId="6944281A"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Closed Domain</w:t>
            </w:r>
          </w:p>
          <w:p w14:paraId="76C36E2B"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42666A12"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Log-based</w:t>
            </w:r>
          </w:p>
        </w:tc>
        <w:tc>
          <w:tcPr>
            <w:tcW w:w="2700" w:type="dxa"/>
          </w:tcPr>
          <w:p w14:paraId="6E001784"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Measure understanding and task performance when couple speech recognition with language understanding</w:t>
            </w:r>
          </w:p>
          <w:p w14:paraId="14932123"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(ground truth)</w:t>
            </w:r>
          </w:p>
        </w:tc>
        <w:tc>
          <w:tcPr>
            <w:tcW w:w="3785" w:type="dxa"/>
          </w:tcPr>
          <w:p w14:paraId="6B6AEAB1"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Sentence Error Rate (speech in, correct set of words out)</w:t>
            </w:r>
          </w:p>
          <w:p w14:paraId="7FBA843B"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Spoken Language Understanding (speech in, database tuples out)</w:t>
            </w:r>
          </w:p>
          <w:p w14:paraId="316FB60F"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Natural Language Understanding (correct transcription in, database tuples out)</w:t>
            </w:r>
          </w:p>
          <w:p w14:paraId="25A82336" w14:textId="77777777" w:rsidR="00790839" w:rsidRPr="00790839" w:rsidRDefault="00790839" w:rsidP="00790839">
            <w:pPr>
              <w:spacing w:before="0" w:after="0"/>
              <w:rPr>
                <w:rFonts w:ascii="Calibri" w:eastAsia="Calibri" w:hAnsi="Calibri" w:cs="Calibri"/>
                <w:sz w:val="20"/>
                <w:szCs w:val="20"/>
              </w:rPr>
            </w:pPr>
          </w:p>
          <w:p w14:paraId="3E5B8637" w14:textId="77777777" w:rsidR="00790839" w:rsidRPr="00790839" w:rsidRDefault="00790839" w:rsidP="00790839">
            <w:pPr>
              <w:spacing w:before="0" w:after="0"/>
              <w:rPr>
                <w:rFonts w:eastAsia="Times New Roman" w:cs="Times New Roman"/>
                <w:iCs/>
                <w:sz w:val="20"/>
                <w:szCs w:val="20"/>
              </w:rPr>
            </w:pPr>
            <w:r w:rsidRPr="00790839">
              <w:rPr>
                <w:rFonts w:eastAsia="Times New Roman" w:cs="Times New Roman"/>
                <w:iCs/>
                <w:sz w:val="20"/>
                <w:szCs w:val="20"/>
              </w:rPr>
              <w:t>(</w:t>
            </w:r>
            <w:r w:rsidRPr="0065541E">
              <w:rPr>
                <w:rFonts w:eastAsia="Times New Roman" w:cs="Times New Roman"/>
                <w:i/>
                <w:sz w:val="20"/>
                <w:szCs w:val="20"/>
              </w:rPr>
              <w:t>Hirschman, 1998</w:t>
            </w:r>
            <w:r w:rsidRPr="00790839">
              <w:rPr>
                <w:rFonts w:eastAsia="Times New Roman" w:cs="Times New Roman"/>
                <w:iCs/>
                <w:sz w:val="20"/>
                <w:szCs w:val="20"/>
              </w:rPr>
              <w:t>)</w:t>
            </w:r>
          </w:p>
        </w:tc>
      </w:tr>
      <w:tr w:rsidR="00790839" w:rsidRPr="00790839" w14:paraId="224DF883" w14:textId="77777777" w:rsidTr="007C72CB">
        <w:tc>
          <w:tcPr>
            <w:tcW w:w="1435" w:type="dxa"/>
          </w:tcPr>
          <w:p w14:paraId="13C229B5"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Spoken dialogue</w:t>
            </w:r>
          </w:p>
          <w:p w14:paraId="1AC6C139"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(Speech)</w:t>
            </w:r>
          </w:p>
          <w:p w14:paraId="55EF719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5DE56513"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Task-Oriented</w:t>
            </w:r>
          </w:p>
        </w:tc>
        <w:tc>
          <w:tcPr>
            <w:tcW w:w="1440" w:type="dxa"/>
          </w:tcPr>
          <w:p w14:paraId="4463851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Closed Domain</w:t>
            </w:r>
          </w:p>
          <w:p w14:paraId="38F56825"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39A9346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Decision theory based</w:t>
            </w:r>
          </w:p>
          <w:p w14:paraId="2B4C088B"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1EF08E05"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Log-based</w:t>
            </w:r>
          </w:p>
        </w:tc>
        <w:tc>
          <w:tcPr>
            <w:tcW w:w="2700" w:type="dxa"/>
          </w:tcPr>
          <w:p w14:paraId="0D85214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Decouple what an agent needs to accomplish a task from how the task is carried out via (spoken) dialogue while maximizing</w:t>
            </w:r>
          </w:p>
          <w:p w14:paraId="475A2A89"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sz w:val="20"/>
                <w:szCs w:val="20"/>
              </w:rPr>
              <w:t xml:space="preserve">user satisfaction and using task success and various interaction costs as predictors of user satisfaction </w:t>
            </w:r>
            <w:r w:rsidRPr="00790839">
              <w:rPr>
                <w:rFonts w:ascii="Calibri" w:eastAsia="Calibri" w:hAnsi="Calibri" w:cs="Calibri"/>
                <w:i/>
                <w:iCs/>
                <w:sz w:val="20"/>
                <w:szCs w:val="20"/>
              </w:rPr>
              <w:t>(Walker et al. 1998, pp. 271-272)</w:t>
            </w:r>
          </w:p>
        </w:tc>
        <w:tc>
          <w:tcPr>
            <w:tcW w:w="3785" w:type="dxa"/>
          </w:tcPr>
          <w:p w14:paraId="691E94C5"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Dialogue Efficiency Metrics</w:t>
            </w:r>
          </w:p>
          <w:p w14:paraId="553E42F3"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b/>
                <w:bCs/>
                <w:sz w:val="20"/>
                <w:szCs w:val="20"/>
              </w:rPr>
              <w:t xml:space="preserve">– </w:t>
            </w:r>
            <w:r w:rsidRPr="00790839">
              <w:rPr>
                <w:rFonts w:ascii="Calibri" w:eastAsia="Calibri" w:hAnsi="Calibri" w:cs="Calibri"/>
                <w:sz w:val="20"/>
                <w:szCs w:val="20"/>
              </w:rPr>
              <w:t xml:space="preserve">Total elapsed time, Time on task, System turns, User turns, Turns on task </w:t>
            </w:r>
          </w:p>
          <w:p w14:paraId="509B4802"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b/>
                <w:bCs/>
                <w:sz w:val="20"/>
                <w:szCs w:val="20"/>
              </w:rPr>
              <w:t xml:space="preserve">– </w:t>
            </w:r>
            <w:r w:rsidRPr="00790839">
              <w:rPr>
                <w:rFonts w:ascii="Calibri" w:eastAsia="Calibri" w:hAnsi="Calibri" w:cs="Calibri"/>
                <w:sz w:val="20"/>
                <w:szCs w:val="20"/>
              </w:rPr>
              <w:t xml:space="preserve">Time per turn for each system module </w:t>
            </w:r>
          </w:p>
          <w:p w14:paraId="7026457F"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Dialogue Quality Metrics </w:t>
            </w:r>
          </w:p>
          <w:p w14:paraId="07451200"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b/>
                <w:bCs/>
                <w:sz w:val="20"/>
                <w:szCs w:val="20"/>
              </w:rPr>
              <w:t xml:space="preserve">– </w:t>
            </w:r>
            <w:r w:rsidRPr="00790839">
              <w:rPr>
                <w:rFonts w:ascii="Calibri" w:eastAsia="Calibri" w:hAnsi="Calibri" w:cs="Calibri"/>
                <w:sz w:val="20"/>
                <w:szCs w:val="20"/>
              </w:rPr>
              <w:t xml:space="preserve">Word error rate, Reprompts, Error messages, Help messages, Response latency. </w:t>
            </w:r>
          </w:p>
          <w:p w14:paraId="7FD03D0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b/>
                <w:bCs/>
                <w:sz w:val="20"/>
                <w:szCs w:val="20"/>
              </w:rPr>
              <w:t xml:space="preserve">– </w:t>
            </w:r>
            <w:r w:rsidRPr="00790839">
              <w:rPr>
                <w:rFonts w:ascii="Calibri" w:eastAsia="Calibri" w:hAnsi="Calibri" w:cs="Calibri"/>
                <w:sz w:val="20"/>
                <w:szCs w:val="20"/>
              </w:rPr>
              <w:t xml:space="preserve">Mean word error rate, Reprompt %, Mean response latency, Variance response latency, Help % </w:t>
            </w:r>
          </w:p>
          <w:p w14:paraId="72C203C4"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Task Success Metrics</w:t>
            </w:r>
            <w:r w:rsidRPr="00790839">
              <w:rPr>
                <w:rFonts w:eastAsia="Times New Roman" w:cs="Times New Roman"/>
                <w:szCs w:val="24"/>
              </w:rPr>
              <w:br/>
            </w:r>
            <w:r w:rsidRPr="00790839">
              <w:rPr>
                <w:rFonts w:ascii="Calibri" w:eastAsia="Calibri" w:hAnsi="Calibri" w:cs="Calibri"/>
                <w:sz w:val="20"/>
                <w:szCs w:val="20"/>
              </w:rPr>
              <w:t xml:space="preserve">– Perceived task completion, Objective task completion </w:t>
            </w:r>
          </w:p>
          <w:p w14:paraId="18176852"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User Satisfaction</w:t>
            </w:r>
            <w:r w:rsidRPr="00790839">
              <w:rPr>
                <w:rFonts w:eastAsia="Times New Roman" w:cs="Times New Roman"/>
                <w:szCs w:val="24"/>
              </w:rPr>
              <w:br/>
            </w:r>
            <w:r w:rsidRPr="00790839">
              <w:rPr>
                <w:rFonts w:ascii="Calibri" w:eastAsia="Calibri" w:hAnsi="Calibri" w:cs="Calibri"/>
                <w:sz w:val="20"/>
                <w:szCs w:val="20"/>
              </w:rPr>
              <w:t>– Sum of TTS performance, Task ease, User expertise, Expected behavior, Future use.</w:t>
            </w:r>
          </w:p>
          <w:p w14:paraId="5509DDD7" w14:textId="77777777" w:rsidR="00790839" w:rsidRPr="00790839" w:rsidRDefault="00790839" w:rsidP="00790839">
            <w:pPr>
              <w:spacing w:before="0" w:after="0"/>
              <w:rPr>
                <w:rFonts w:eastAsia="Times New Roman" w:cs="Times New Roman"/>
                <w:i/>
                <w:sz w:val="20"/>
                <w:szCs w:val="20"/>
              </w:rPr>
            </w:pPr>
          </w:p>
          <w:p w14:paraId="769068F4" w14:textId="77777777" w:rsidR="00790839" w:rsidRPr="00790839" w:rsidRDefault="00790839" w:rsidP="00790839">
            <w:pPr>
              <w:spacing w:before="0" w:after="0"/>
              <w:rPr>
                <w:rFonts w:eastAsia="Times New Roman" w:cs="Times New Roman"/>
                <w:iCs/>
                <w:sz w:val="20"/>
                <w:szCs w:val="20"/>
              </w:rPr>
            </w:pPr>
            <w:r w:rsidRPr="00790839">
              <w:rPr>
                <w:rFonts w:eastAsia="Times New Roman" w:cs="Times New Roman"/>
                <w:iCs/>
                <w:sz w:val="20"/>
                <w:szCs w:val="20"/>
              </w:rPr>
              <w:fldChar w:fldCharType="begin"/>
            </w:r>
            <w:r w:rsidRPr="00790839">
              <w:rPr>
                <w:rFonts w:eastAsia="Times New Roman" w:cs="Times New Roman"/>
                <w:iCs/>
                <w:sz w:val="20"/>
                <w:szCs w:val="20"/>
              </w:rPr>
              <w:instrText xml:space="preserve"> ADDIN ZOTERO_ITEM CSL_CITATION {"citationID":"ZR0yOe15","properties":{"formattedCitation":"(Walker et al. 1997)","plainCitation":"(Walker et al. 1997)","noteIndex":0},"citationItems":[{"id":4666,"uris":["http://zotero.org/users/6715/items/5DDRLLED"],"uri":["http://zotero.org/users/6715/items/5DDRLLED"],"itemData":{"id":4666,"type":"paper-conference","abstract":"This paper presents PARADISE (PARAdigm for DIalogue System Evaluation), a general framework for evaluating spoken dialogue agents. The framework decouples task requirements from an agent's dialogue behaviors, supports comparisons among dialogue strategies, enables the calculation of performance over subdialogues and whole dialogues, specifies the relative contribution of various factors to performance, and makes it possible to compare agents performing different tasks by normalizing for task complexity.","collection-title":"ACL '98/EACL '98","container-title":"Proceedings of the 35th Annual Meeting of the Association for Computational Linguistics and Eighth Conference of the European Chapter of the Association for Computational Linguistics","DOI":"10.3115/976909.979652","event-place":"USA","page":"271–280","publisher":"Association for Computational Linguistics","publisher-place":"USA","source":"ACM Digital Library","title":"PARADISE: a framework for evaluating spoken dialogue agents","title-short":"PARADISE","URL":"https://doi.org/10.3115/976909.979652","author":[{"family":"Walker","given":"Marilyn A."},{"family":"Litman","given":"Diane J."},{"family":"Kamm","given":"Candace A."},{"family":"Abella","given":"Alicia"}],"accessed":{"date-parts":[["2021",1,28]]},"issued":{"date-parts":[["1997",7,7]]}}}],"schema":"https://github.com/citation-style-language/schema/raw/master/csl-citation.json"} </w:instrText>
            </w:r>
            <w:r w:rsidRPr="00790839">
              <w:rPr>
                <w:rFonts w:eastAsia="Times New Roman" w:cs="Times New Roman"/>
                <w:iCs/>
                <w:sz w:val="20"/>
                <w:szCs w:val="20"/>
              </w:rPr>
              <w:fldChar w:fldCharType="separate"/>
            </w:r>
            <w:r w:rsidRPr="00790839">
              <w:rPr>
                <w:rFonts w:eastAsia="Times New Roman" w:cs="Times New Roman"/>
                <w:iCs/>
                <w:noProof/>
                <w:sz w:val="20"/>
                <w:szCs w:val="20"/>
              </w:rPr>
              <w:t>(</w:t>
            </w:r>
            <w:r w:rsidRPr="0065541E">
              <w:rPr>
                <w:rFonts w:eastAsia="Times New Roman" w:cs="Times New Roman"/>
                <w:i/>
                <w:noProof/>
                <w:sz w:val="20"/>
                <w:szCs w:val="20"/>
              </w:rPr>
              <w:t>Walker et al. 1997</w:t>
            </w:r>
            <w:r w:rsidRPr="00790839">
              <w:rPr>
                <w:rFonts w:eastAsia="Times New Roman" w:cs="Times New Roman"/>
                <w:iCs/>
                <w:noProof/>
                <w:sz w:val="20"/>
                <w:szCs w:val="20"/>
              </w:rPr>
              <w:t>)</w:t>
            </w:r>
            <w:r w:rsidRPr="00790839">
              <w:rPr>
                <w:rFonts w:eastAsia="Times New Roman" w:cs="Times New Roman"/>
                <w:iCs/>
                <w:sz w:val="20"/>
                <w:szCs w:val="20"/>
              </w:rPr>
              <w:fldChar w:fldCharType="end"/>
            </w:r>
          </w:p>
          <w:p w14:paraId="1D174F68" w14:textId="77777777" w:rsidR="00790839" w:rsidRPr="00790839" w:rsidRDefault="00790839" w:rsidP="00790839">
            <w:pPr>
              <w:spacing w:before="0" w:after="0"/>
              <w:rPr>
                <w:rFonts w:eastAsia="Times New Roman" w:cs="Times New Roman"/>
                <w:i/>
                <w:sz w:val="20"/>
                <w:szCs w:val="20"/>
              </w:rPr>
            </w:pPr>
            <w:r w:rsidRPr="00790839">
              <w:rPr>
                <w:rFonts w:eastAsia="Times New Roman" w:cs="Times New Roman"/>
                <w:iCs/>
                <w:sz w:val="20"/>
                <w:szCs w:val="20"/>
              </w:rPr>
              <w:fldChar w:fldCharType="begin"/>
            </w:r>
            <w:r w:rsidRPr="00790839">
              <w:rPr>
                <w:rFonts w:eastAsia="Times New Roman" w:cs="Times New Roman"/>
                <w:iCs/>
                <w:sz w:val="20"/>
                <w:szCs w:val="20"/>
              </w:rPr>
              <w:instrText xml:space="preserve"> ADDIN ZOTERO_ITEM CSL_CITATION {"citationID":"dZcOdRFN","properties":{"formattedCitation":"(Walker, Hirschman, and Aberdeen 2000)","plainCitation":"(Walker, Hirschman, and Aberdeen 2000)","noteIndex":0},"citationItems":[{"id":4646,"uris":["http://zotero.org/users/6715/items/7YDXGMWT"],"uri":["http://zotero.org/users/6715/items/7YDXGMWT"],"itemData":{"id":4646,"type":"paper-conference","abstract":"The overall objective of the DARPA COMMUNICATOR project is to support rapid, cost-effective development of multi-modal speechenabled dialogue systems with advanced conversational capabilities, such as plan optimization, explanation and negotiation. In order to make this a reality, we need to find methods for evaluating the contribution of various techniques to the users ’ willingness and ability to use the system. This paper reports on the approach to spoken dialogue system evaluation that we are applying in the COMMUNICATOR program. We describe our overall approach, the experimental design, the logfile standard, and the metrics applied in the experimental evaluation planned for June of 2000. 1.","container-title":"in Proc. of the Second Int’l Conference on Language Resources and Evaluation","source":"CiteSeer","title":"Evaluation for DARPA Communicator spoken dialogue systems","author":[{"family":"Walker","given":"Marilyn A."},{"family":"Hirschman","given":"Lynette"},{"family":"Aberdeen","given":"John"}],"issued":{"date-parts":[["2000"]]}}}],"schema":"https://github.com/citation-style-language/schema/raw/master/csl-citation.json"} </w:instrText>
            </w:r>
            <w:r w:rsidRPr="00790839">
              <w:rPr>
                <w:rFonts w:eastAsia="Times New Roman" w:cs="Times New Roman"/>
                <w:iCs/>
                <w:sz w:val="20"/>
                <w:szCs w:val="20"/>
              </w:rPr>
              <w:fldChar w:fldCharType="separate"/>
            </w:r>
            <w:r w:rsidRPr="00790839">
              <w:rPr>
                <w:rFonts w:eastAsia="Times New Roman" w:cs="Times New Roman"/>
                <w:iCs/>
                <w:noProof/>
                <w:sz w:val="20"/>
                <w:szCs w:val="20"/>
              </w:rPr>
              <w:t>(</w:t>
            </w:r>
            <w:r w:rsidRPr="0065541E">
              <w:rPr>
                <w:rFonts w:eastAsia="Times New Roman" w:cs="Times New Roman"/>
                <w:i/>
                <w:noProof/>
                <w:sz w:val="20"/>
                <w:szCs w:val="20"/>
                <w:u w:val="single"/>
              </w:rPr>
              <w:t>Walker, Hirschman, and Aberdeen 2000</w:t>
            </w:r>
            <w:r w:rsidRPr="00790839">
              <w:rPr>
                <w:rFonts w:eastAsia="Times New Roman" w:cs="Times New Roman"/>
                <w:iCs/>
                <w:noProof/>
                <w:sz w:val="20"/>
                <w:szCs w:val="20"/>
              </w:rPr>
              <w:t>)</w:t>
            </w:r>
            <w:r w:rsidRPr="00790839">
              <w:rPr>
                <w:rFonts w:eastAsia="Times New Roman" w:cs="Times New Roman"/>
                <w:iCs/>
                <w:sz w:val="20"/>
                <w:szCs w:val="20"/>
              </w:rPr>
              <w:fldChar w:fldCharType="end"/>
            </w:r>
          </w:p>
        </w:tc>
      </w:tr>
      <w:tr w:rsidR="00790839" w:rsidRPr="00790839" w14:paraId="33E8B8BD" w14:textId="77777777" w:rsidTr="007C72CB">
        <w:tc>
          <w:tcPr>
            <w:tcW w:w="1435" w:type="dxa"/>
          </w:tcPr>
          <w:p w14:paraId="2443881E"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Multimodal Dialogue System</w:t>
            </w:r>
          </w:p>
          <w:p w14:paraId="4DC9A829"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4C450EC0"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Chatbots</w:t>
            </w:r>
          </w:p>
        </w:tc>
        <w:tc>
          <w:tcPr>
            <w:tcW w:w="1440" w:type="dxa"/>
          </w:tcPr>
          <w:p w14:paraId="1053BE22"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Open Domain</w:t>
            </w:r>
          </w:p>
          <w:p w14:paraId="77B1E4C8"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7EA2C2F7"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Survey-based</w:t>
            </w:r>
          </w:p>
        </w:tc>
        <w:tc>
          <w:tcPr>
            <w:tcW w:w="2700" w:type="dxa"/>
          </w:tcPr>
          <w:p w14:paraId="451E76BD"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Crowd sourcing </w:t>
            </w:r>
          </w:p>
          <w:p w14:paraId="3CBE17FD"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Focus on capturing different aspects of conversational quality from responses to questions in crowd-worker surveys</w:t>
            </w:r>
          </w:p>
        </w:tc>
        <w:tc>
          <w:tcPr>
            <w:tcW w:w="3785" w:type="dxa"/>
          </w:tcPr>
          <w:p w14:paraId="63AB0AE4"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Control (avoiding repetition, interestingness, listening, inquisitiveness)</w:t>
            </w:r>
          </w:p>
          <w:p w14:paraId="33CDBFB2"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Error classes affected by the controls (fluency, making sense)</w:t>
            </w:r>
          </w:p>
          <w:p w14:paraId="773FD498" w14:textId="2CB82B2E" w:rsid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Overall quality measures (engagingness, humanness)</w:t>
            </w:r>
          </w:p>
          <w:p w14:paraId="305D52D6" w14:textId="77777777" w:rsidR="0065541E" w:rsidRPr="00790839" w:rsidRDefault="0065541E" w:rsidP="00790839">
            <w:pPr>
              <w:spacing w:before="0" w:after="0"/>
              <w:rPr>
                <w:rFonts w:ascii="Calibri" w:eastAsia="Calibri" w:hAnsi="Calibri" w:cs="Calibri"/>
                <w:sz w:val="20"/>
                <w:szCs w:val="20"/>
              </w:rPr>
            </w:pPr>
          </w:p>
          <w:p w14:paraId="66CBCF9D"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i/>
                <w:iCs/>
                <w:sz w:val="20"/>
                <w:szCs w:val="20"/>
              </w:rPr>
              <w:t>(See et al. 2019, pg. 1708)</w:t>
            </w:r>
          </w:p>
        </w:tc>
      </w:tr>
      <w:tr w:rsidR="00790839" w:rsidRPr="00790839" w14:paraId="728D9BD9" w14:textId="77777777" w:rsidTr="007C72CB">
        <w:tc>
          <w:tcPr>
            <w:tcW w:w="1435" w:type="dxa"/>
          </w:tcPr>
          <w:p w14:paraId="02040A6C"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lastRenderedPageBreak/>
              <w:t>Multimodal Dialogue System</w:t>
            </w:r>
          </w:p>
          <w:p w14:paraId="701089F4"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458942BD"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Conversational dialogue agents</w:t>
            </w:r>
          </w:p>
        </w:tc>
        <w:tc>
          <w:tcPr>
            <w:tcW w:w="1440" w:type="dxa"/>
          </w:tcPr>
          <w:p w14:paraId="3DD22932"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Open Domain</w:t>
            </w:r>
          </w:p>
          <w:p w14:paraId="42834984"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41A82B70"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Log-based</w:t>
            </w:r>
          </w:p>
        </w:tc>
        <w:tc>
          <w:tcPr>
            <w:tcW w:w="2700" w:type="dxa"/>
          </w:tcPr>
          <w:p w14:paraId="6B97436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Analysis of logs and annotated responses</w:t>
            </w:r>
          </w:p>
        </w:tc>
        <w:tc>
          <w:tcPr>
            <w:tcW w:w="3785" w:type="dxa"/>
          </w:tcPr>
          <w:p w14:paraId="2501867C"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Engagement, Coherence, Topical Metrics</w:t>
            </w:r>
          </w:p>
          <w:p w14:paraId="4691023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User Experience (including Expectation, Behavior and Sentiment, Trust, and Visual Cues and Physicality)</w:t>
            </w:r>
          </w:p>
          <w:p w14:paraId="440EB02D" w14:textId="073FAE64" w:rsid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Domain Coverage, Conversational Depth, and Topical Diversity/Conversational Breadth</w:t>
            </w:r>
          </w:p>
          <w:p w14:paraId="3111F338" w14:textId="77777777" w:rsidR="0065541E" w:rsidRPr="00790839" w:rsidRDefault="0065541E" w:rsidP="00790839">
            <w:pPr>
              <w:spacing w:before="0" w:after="0"/>
              <w:rPr>
                <w:rFonts w:ascii="Calibri" w:eastAsia="Calibri" w:hAnsi="Calibri" w:cs="Calibri"/>
                <w:sz w:val="20"/>
                <w:szCs w:val="20"/>
              </w:rPr>
            </w:pPr>
          </w:p>
          <w:p w14:paraId="02899108"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i/>
                <w:iCs/>
                <w:sz w:val="20"/>
                <w:szCs w:val="20"/>
              </w:rPr>
              <w:t>(Venkatesh et al., 2018)</w:t>
            </w:r>
          </w:p>
        </w:tc>
      </w:tr>
      <w:tr w:rsidR="00790839" w:rsidRPr="00790839" w14:paraId="2D57467B" w14:textId="77777777" w:rsidTr="007C72CB">
        <w:tc>
          <w:tcPr>
            <w:tcW w:w="1435" w:type="dxa"/>
          </w:tcPr>
          <w:p w14:paraId="3DA0B9AA"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Multimodal (Collaborative) Dialogue System</w:t>
            </w:r>
          </w:p>
          <w:p w14:paraId="59FF7377"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37FD8BB9"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Conversational dialogue agents</w:t>
            </w:r>
          </w:p>
        </w:tc>
        <w:tc>
          <w:tcPr>
            <w:tcW w:w="1440" w:type="dxa"/>
          </w:tcPr>
          <w:p w14:paraId="14E61CD7"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Open Domain</w:t>
            </w:r>
          </w:p>
          <w:p w14:paraId="5AED1568"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545B248D"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Usability-based</w:t>
            </w:r>
          </w:p>
          <w:p w14:paraId="47961308"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636503A1"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Survey-based</w:t>
            </w:r>
          </w:p>
        </w:tc>
        <w:tc>
          <w:tcPr>
            <w:tcW w:w="2700" w:type="dxa"/>
          </w:tcPr>
          <w:p w14:paraId="35491CA4"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sz w:val="20"/>
                <w:szCs w:val="20"/>
              </w:rPr>
              <w:t xml:space="preserve">Measure general usability metrics defined in ISO standards in the evaluation of multimodal dialogue systems using a Usability Perception Questionnaire given to users </w:t>
            </w:r>
            <w:r w:rsidRPr="00790839">
              <w:rPr>
                <w:rFonts w:ascii="Calibri" w:eastAsia="Calibri" w:hAnsi="Calibri" w:cs="Calibri"/>
                <w:i/>
                <w:iCs/>
                <w:sz w:val="20"/>
                <w:szCs w:val="20"/>
              </w:rPr>
              <w:t>(Malchanau et al., 2019)</w:t>
            </w:r>
          </w:p>
          <w:p w14:paraId="50DCA1A9"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3B32A151"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sz w:val="20"/>
                <w:szCs w:val="20"/>
              </w:rPr>
              <w:t xml:space="preserve">Determine if a set of 18 generally applicable design guidelines for human-AI interaction apply to a collaborative dialogue system </w:t>
            </w:r>
            <w:r w:rsidRPr="00790839">
              <w:rPr>
                <w:rFonts w:ascii="Calibri" w:eastAsia="Calibri" w:hAnsi="Calibri" w:cs="Calibri"/>
                <w:i/>
                <w:iCs/>
                <w:sz w:val="20"/>
                <w:szCs w:val="20"/>
              </w:rPr>
              <w:t>(Amershi et al., 2019)</w:t>
            </w:r>
          </w:p>
          <w:p w14:paraId="206380DC"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245348FF"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sz w:val="20"/>
                <w:szCs w:val="20"/>
              </w:rPr>
              <w:t xml:space="preserve">Determine if a set of usability heuristics apply to a collaborative dialogue system </w:t>
            </w:r>
            <w:r w:rsidRPr="00790839">
              <w:rPr>
                <w:rFonts w:ascii="Calibri" w:eastAsia="Calibri" w:hAnsi="Calibri" w:cs="Calibri"/>
                <w:i/>
                <w:iCs/>
                <w:sz w:val="20"/>
                <w:szCs w:val="20"/>
              </w:rPr>
              <w:t>(Wei et al., 2018)</w:t>
            </w:r>
          </w:p>
        </w:tc>
        <w:tc>
          <w:tcPr>
            <w:tcW w:w="3785" w:type="dxa"/>
          </w:tcPr>
          <w:p w14:paraId="2A2426A5" w14:textId="18AC6A5C" w:rsid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General usability metrics</w:t>
            </w:r>
          </w:p>
          <w:p w14:paraId="29791C0C" w14:textId="77777777" w:rsidR="0065541E" w:rsidRPr="00790839" w:rsidRDefault="0065541E" w:rsidP="00790839">
            <w:pPr>
              <w:spacing w:before="0" w:after="0"/>
              <w:rPr>
                <w:rFonts w:ascii="Calibri" w:eastAsia="Calibri" w:hAnsi="Calibri" w:cs="Calibri"/>
                <w:sz w:val="20"/>
                <w:szCs w:val="20"/>
              </w:rPr>
            </w:pPr>
          </w:p>
          <w:p w14:paraId="47EB50C6"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i/>
                <w:iCs/>
                <w:sz w:val="20"/>
                <w:szCs w:val="20"/>
              </w:rPr>
              <w:t>(Malchanau et al., 2019)</w:t>
            </w:r>
          </w:p>
          <w:p w14:paraId="298684B0"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i/>
                <w:iCs/>
                <w:sz w:val="20"/>
                <w:szCs w:val="20"/>
              </w:rPr>
              <w:t>(Amershi et al., 2019)</w:t>
            </w:r>
          </w:p>
          <w:p w14:paraId="289D15BA" w14:textId="77777777" w:rsidR="00790839" w:rsidRPr="00790839" w:rsidRDefault="00790839" w:rsidP="00790839">
            <w:pPr>
              <w:spacing w:before="0" w:after="0"/>
              <w:rPr>
                <w:rFonts w:ascii="Calibri" w:eastAsia="Calibri" w:hAnsi="Calibri" w:cs="Calibri"/>
                <w:i/>
                <w:iCs/>
                <w:sz w:val="20"/>
                <w:szCs w:val="20"/>
              </w:rPr>
            </w:pPr>
            <w:r w:rsidRPr="00790839">
              <w:rPr>
                <w:rFonts w:ascii="Calibri" w:eastAsia="Calibri" w:hAnsi="Calibri" w:cs="Calibri"/>
                <w:i/>
                <w:iCs/>
                <w:sz w:val="20"/>
                <w:szCs w:val="20"/>
              </w:rPr>
              <w:t>(Wei et al., 2018)</w:t>
            </w:r>
          </w:p>
        </w:tc>
      </w:tr>
      <w:tr w:rsidR="00790839" w:rsidRPr="00790839" w14:paraId="6336DAC9" w14:textId="77777777" w:rsidTr="007C72CB">
        <w:tc>
          <w:tcPr>
            <w:tcW w:w="1435" w:type="dxa"/>
          </w:tcPr>
          <w:p w14:paraId="0837A239"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Multimodal (Collaborative) Dialogue System</w:t>
            </w:r>
          </w:p>
          <w:p w14:paraId="5957076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7AC3B1B6"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General human-computer collaborative creation tasks</w:t>
            </w:r>
          </w:p>
        </w:tc>
        <w:tc>
          <w:tcPr>
            <w:tcW w:w="1440" w:type="dxa"/>
          </w:tcPr>
          <w:p w14:paraId="40859545"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Open Domain</w:t>
            </w:r>
          </w:p>
          <w:p w14:paraId="5FBC3F2C"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53D06349"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Log-based</w:t>
            </w:r>
          </w:p>
          <w:p w14:paraId="7C7DBB5C"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p w14:paraId="7E89C270"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Survey-based</w:t>
            </w:r>
          </w:p>
        </w:tc>
        <w:tc>
          <w:tcPr>
            <w:tcW w:w="2700" w:type="dxa"/>
          </w:tcPr>
          <w:p w14:paraId="05F53302"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Check for properties of successful dialogue systems and instances of those properties that can be observed or measured by (human) evaluators or as determined from surveys of human partners</w:t>
            </w:r>
          </w:p>
          <w:p w14:paraId="2AB291FE" w14:textId="77777777" w:rsidR="00790839" w:rsidRPr="00790839" w:rsidRDefault="00790839" w:rsidP="00790839">
            <w:pPr>
              <w:spacing w:before="0" w:after="0"/>
              <w:rPr>
                <w:rFonts w:ascii="Calibri" w:eastAsia="Calibri" w:hAnsi="Calibri" w:cs="Calibri"/>
                <w:sz w:val="20"/>
                <w:szCs w:val="20"/>
              </w:rPr>
            </w:pPr>
            <w:r w:rsidRPr="00790839">
              <w:rPr>
                <w:rFonts w:ascii="Calibri" w:eastAsia="Calibri" w:hAnsi="Calibri" w:cs="Calibri"/>
                <w:sz w:val="20"/>
                <w:szCs w:val="20"/>
              </w:rPr>
              <w:t xml:space="preserve"> </w:t>
            </w:r>
          </w:p>
        </w:tc>
        <w:tc>
          <w:tcPr>
            <w:tcW w:w="3785" w:type="dxa"/>
          </w:tcPr>
          <w:p w14:paraId="1F9794F1" w14:textId="77777777" w:rsidR="00790839" w:rsidRPr="00790839" w:rsidRDefault="00790839" w:rsidP="00790839">
            <w:pPr>
              <w:numPr>
                <w:ilvl w:val="3"/>
                <w:numId w:val="20"/>
              </w:numPr>
              <w:spacing w:before="0" w:after="0"/>
              <w:ind w:left="607"/>
              <w:contextualSpacing/>
              <w:rPr>
                <w:rFonts w:asciiTheme="minorHAnsi" w:eastAsia="MS Mincho" w:hAnsiTheme="minorHAnsi" w:cstheme="minorHAnsi"/>
                <w:sz w:val="20"/>
                <w:szCs w:val="20"/>
              </w:rPr>
            </w:pPr>
            <w:r w:rsidRPr="00790839">
              <w:rPr>
                <w:rFonts w:asciiTheme="minorHAnsi" w:eastAsia="MS Mincho" w:hAnsiTheme="minorHAnsi" w:cstheme="minorHAnsi"/>
                <w:sz w:val="20"/>
                <w:szCs w:val="20"/>
              </w:rPr>
              <w:t>Successful Collaboration</w:t>
            </w:r>
          </w:p>
          <w:p w14:paraId="1539A8F6" w14:textId="77777777" w:rsidR="00790839" w:rsidRPr="00790839" w:rsidRDefault="00790839" w:rsidP="00790839">
            <w:pPr>
              <w:numPr>
                <w:ilvl w:val="3"/>
                <w:numId w:val="20"/>
              </w:numPr>
              <w:spacing w:before="0" w:after="0"/>
              <w:ind w:left="607"/>
              <w:contextualSpacing/>
              <w:rPr>
                <w:rFonts w:asciiTheme="minorHAnsi" w:eastAsia="MS Mincho" w:hAnsiTheme="minorHAnsi" w:cstheme="minorHAnsi"/>
                <w:sz w:val="20"/>
                <w:szCs w:val="20"/>
              </w:rPr>
            </w:pPr>
            <w:r w:rsidRPr="00790839">
              <w:rPr>
                <w:rFonts w:asciiTheme="minorHAnsi" w:eastAsia="MS Mincho" w:hAnsiTheme="minorHAnsi" w:cstheme="minorHAnsi"/>
                <w:sz w:val="20"/>
                <w:szCs w:val="20"/>
              </w:rPr>
              <w:t>Robustness</w:t>
            </w:r>
          </w:p>
          <w:p w14:paraId="60139CD0" w14:textId="77777777" w:rsidR="00790839" w:rsidRPr="00790839" w:rsidRDefault="00790839" w:rsidP="00790839">
            <w:pPr>
              <w:numPr>
                <w:ilvl w:val="3"/>
                <w:numId w:val="20"/>
              </w:numPr>
              <w:spacing w:before="0" w:after="0"/>
              <w:ind w:left="607"/>
              <w:contextualSpacing/>
              <w:rPr>
                <w:rFonts w:asciiTheme="minorHAnsi" w:eastAsia="MS Mincho" w:hAnsiTheme="minorHAnsi" w:cstheme="minorHAnsi"/>
                <w:sz w:val="20"/>
                <w:szCs w:val="20"/>
              </w:rPr>
            </w:pPr>
            <w:r w:rsidRPr="00790839">
              <w:rPr>
                <w:rFonts w:asciiTheme="minorHAnsi" w:eastAsia="MS Mincho" w:hAnsiTheme="minorHAnsi" w:cstheme="minorHAnsi"/>
                <w:sz w:val="20"/>
                <w:szCs w:val="20"/>
              </w:rPr>
              <w:t>Mutual Contribution of Meaningful Content</w:t>
            </w:r>
          </w:p>
          <w:p w14:paraId="6B73C149" w14:textId="77777777" w:rsidR="00790839" w:rsidRPr="00790839" w:rsidRDefault="00790839" w:rsidP="00790839">
            <w:pPr>
              <w:numPr>
                <w:ilvl w:val="3"/>
                <w:numId w:val="20"/>
              </w:numPr>
              <w:spacing w:before="0" w:after="0"/>
              <w:ind w:left="607"/>
              <w:contextualSpacing/>
              <w:rPr>
                <w:rFonts w:asciiTheme="minorHAnsi" w:eastAsia="MS Mincho" w:hAnsiTheme="minorHAnsi" w:cstheme="minorHAnsi"/>
                <w:sz w:val="20"/>
                <w:szCs w:val="20"/>
              </w:rPr>
            </w:pPr>
            <w:r w:rsidRPr="00790839">
              <w:rPr>
                <w:rFonts w:asciiTheme="minorHAnsi" w:eastAsia="MS Mincho" w:hAnsiTheme="minorHAnsi" w:cstheme="minorHAnsi"/>
                <w:sz w:val="20"/>
                <w:szCs w:val="20"/>
              </w:rPr>
              <w:t>Consistent Human Engagement</w:t>
            </w:r>
          </w:p>
          <w:p w14:paraId="52CAF2AC" w14:textId="77777777" w:rsidR="00790839" w:rsidRPr="00790839" w:rsidRDefault="00790839" w:rsidP="00790839">
            <w:pPr>
              <w:numPr>
                <w:ilvl w:val="3"/>
                <w:numId w:val="20"/>
              </w:numPr>
              <w:spacing w:before="0" w:after="0"/>
              <w:ind w:left="607"/>
              <w:contextualSpacing/>
              <w:rPr>
                <w:rFonts w:asciiTheme="minorHAnsi" w:eastAsia="MS Mincho" w:hAnsiTheme="minorHAnsi" w:cstheme="minorHAnsi"/>
                <w:sz w:val="20"/>
                <w:szCs w:val="20"/>
              </w:rPr>
            </w:pPr>
            <w:r w:rsidRPr="00790839">
              <w:rPr>
                <w:rFonts w:asciiTheme="minorHAnsi" w:eastAsia="MS Mincho" w:hAnsiTheme="minorHAnsi" w:cstheme="minorHAnsi"/>
                <w:sz w:val="20"/>
                <w:szCs w:val="20"/>
              </w:rPr>
              <w:t>Context-awareness</w:t>
            </w:r>
          </w:p>
          <w:p w14:paraId="4ECC92B7" w14:textId="77777777" w:rsidR="00790839" w:rsidRPr="00790839" w:rsidRDefault="00790839" w:rsidP="00790839">
            <w:pPr>
              <w:numPr>
                <w:ilvl w:val="3"/>
                <w:numId w:val="20"/>
              </w:numPr>
              <w:spacing w:before="0" w:after="0"/>
              <w:ind w:left="607"/>
              <w:contextualSpacing/>
              <w:rPr>
                <w:rFonts w:asciiTheme="minorHAnsi" w:eastAsia="MS Mincho" w:hAnsiTheme="minorHAnsi" w:cstheme="minorHAnsi"/>
                <w:sz w:val="20"/>
                <w:szCs w:val="20"/>
              </w:rPr>
            </w:pPr>
            <w:r w:rsidRPr="00790839">
              <w:rPr>
                <w:rFonts w:asciiTheme="minorHAnsi" w:eastAsia="MS Mincho" w:hAnsiTheme="minorHAnsi" w:cstheme="minorHAnsi"/>
                <w:sz w:val="20"/>
                <w:szCs w:val="20"/>
              </w:rPr>
              <w:t>Provision of Rational</w:t>
            </w:r>
          </w:p>
          <w:p w14:paraId="19255558" w14:textId="77777777" w:rsidR="00790839" w:rsidRPr="00790839" w:rsidRDefault="00790839" w:rsidP="00790839">
            <w:pPr>
              <w:numPr>
                <w:ilvl w:val="3"/>
                <w:numId w:val="20"/>
              </w:numPr>
              <w:spacing w:before="0" w:after="0"/>
              <w:ind w:left="607"/>
              <w:contextualSpacing/>
              <w:rPr>
                <w:rFonts w:asciiTheme="minorHAnsi" w:eastAsia="MS Mincho" w:hAnsiTheme="minorHAnsi" w:cstheme="minorHAnsi"/>
                <w:sz w:val="20"/>
                <w:szCs w:val="20"/>
              </w:rPr>
            </w:pPr>
            <w:r w:rsidRPr="00790839">
              <w:rPr>
                <w:rFonts w:asciiTheme="minorHAnsi" w:eastAsia="MS Mincho" w:hAnsiTheme="minorHAnsi" w:cstheme="minorHAnsi"/>
                <w:sz w:val="20"/>
                <w:szCs w:val="20"/>
              </w:rPr>
              <w:t>Habitability</w:t>
            </w:r>
          </w:p>
          <w:p w14:paraId="4847C2CC" w14:textId="2635BCEC" w:rsidR="00790839" w:rsidRDefault="00790839" w:rsidP="00790839">
            <w:pPr>
              <w:numPr>
                <w:ilvl w:val="3"/>
                <w:numId w:val="20"/>
              </w:numPr>
              <w:spacing w:before="0" w:after="0"/>
              <w:ind w:left="607"/>
              <w:contextualSpacing/>
              <w:rPr>
                <w:rFonts w:asciiTheme="minorHAnsi" w:eastAsia="MS Mincho" w:hAnsiTheme="minorHAnsi" w:cstheme="minorHAnsi"/>
                <w:sz w:val="20"/>
                <w:szCs w:val="20"/>
              </w:rPr>
            </w:pPr>
            <w:r w:rsidRPr="00790839">
              <w:rPr>
                <w:rFonts w:asciiTheme="minorHAnsi" w:eastAsia="MS Mincho" w:hAnsiTheme="minorHAnsi" w:cstheme="minorHAnsi"/>
                <w:sz w:val="20"/>
                <w:szCs w:val="20"/>
              </w:rPr>
              <w:t>Use of Elementary Concepts to Teach and Learn New Concepts</w:t>
            </w:r>
          </w:p>
          <w:p w14:paraId="769D64ED" w14:textId="77777777" w:rsidR="0065541E" w:rsidRPr="00790839" w:rsidRDefault="0065541E" w:rsidP="0065541E">
            <w:pPr>
              <w:spacing w:before="0" w:after="0"/>
              <w:ind w:left="247"/>
              <w:contextualSpacing/>
              <w:rPr>
                <w:rFonts w:asciiTheme="minorHAnsi" w:eastAsia="MS Mincho" w:hAnsiTheme="minorHAnsi" w:cstheme="minorHAnsi"/>
                <w:sz w:val="20"/>
                <w:szCs w:val="20"/>
              </w:rPr>
            </w:pPr>
          </w:p>
          <w:p w14:paraId="0408DDEF" w14:textId="77777777" w:rsidR="00790839" w:rsidRPr="00790839" w:rsidRDefault="00790839" w:rsidP="00790839">
            <w:pPr>
              <w:spacing w:before="0" w:after="0"/>
              <w:rPr>
                <w:rFonts w:asciiTheme="minorHAnsi" w:eastAsia="MS Mincho" w:hAnsiTheme="minorHAnsi" w:cstheme="minorHAnsi"/>
                <w:i/>
                <w:sz w:val="20"/>
                <w:szCs w:val="20"/>
              </w:rPr>
            </w:pPr>
            <w:r w:rsidRPr="00790839">
              <w:rPr>
                <w:rFonts w:asciiTheme="minorHAnsi" w:eastAsia="MS Mincho" w:hAnsiTheme="minorHAnsi" w:cstheme="minorHAnsi"/>
                <w:i/>
                <w:iCs/>
                <w:sz w:val="20"/>
                <w:szCs w:val="20"/>
              </w:rPr>
              <w:t>(Kozierok et al., 2021)</w:t>
            </w:r>
          </w:p>
        </w:tc>
      </w:tr>
    </w:tbl>
    <w:p w14:paraId="62990303" w14:textId="77777777" w:rsidR="00790839" w:rsidRPr="00790839" w:rsidRDefault="00790839" w:rsidP="00790839">
      <w:pPr>
        <w:keepNext/>
        <w:rPr>
          <w:bCs/>
        </w:rPr>
      </w:pPr>
    </w:p>
    <w:sectPr w:rsidR="00790839" w:rsidRPr="00790839"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F49D" w14:textId="77777777" w:rsidR="00992BC1" w:rsidRDefault="00992BC1" w:rsidP="00117666">
      <w:pPr>
        <w:spacing w:after="0"/>
      </w:pPr>
      <w:r>
        <w:separator/>
      </w:r>
    </w:p>
  </w:endnote>
  <w:endnote w:type="continuationSeparator" w:id="0">
    <w:p w14:paraId="710A0694" w14:textId="77777777" w:rsidR="00992BC1" w:rsidRDefault="00992BC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029A" w14:textId="77777777" w:rsidR="00992BC1" w:rsidRDefault="00992BC1" w:rsidP="00117666">
      <w:pPr>
        <w:spacing w:after="0"/>
      </w:pPr>
      <w:r>
        <w:separator/>
      </w:r>
    </w:p>
  </w:footnote>
  <w:footnote w:type="continuationSeparator" w:id="0">
    <w:p w14:paraId="560813E0" w14:textId="77777777" w:rsidR="00992BC1" w:rsidRDefault="00992BC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28752A5"/>
    <w:multiLevelType w:val="hybridMultilevel"/>
    <w:tmpl w:val="FFFFFFFF"/>
    <w:lvl w:ilvl="0" w:tplc="8B4AFD56">
      <w:start w:val="1"/>
      <w:numFmt w:val="decimal"/>
      <w:lvlText w:val="%1."/>
      <w:lvlJc w:val="left"/>
      <w:pPr>
        <w:ind w:left="720" w:hanging="360"/>
      </w:pPr>
    </w:lvl>
    <w:lvl w:ilvl="1" w:tplc="8AD0D4A2">
      <w:start w:val="1"/>
      <w:numFmt w:val="lowerLetter"/>
      <w:lvlText w:val="%2."/>
      <w:lvlJc w:val="left"/>
      <w:pPr>
        <w:ind w:left="1440" w:hanging="360"/>
      </w:pPr>
    </w:lvl>
    <w:lvl w:ilvl="2" w:tplc="C29437B4">
      <w:start w:val="1"/>
      <w:numFmt w:val="lowerRoman"/>
      <w:lvlText w:val="%3."/>
      <w:lvlJc w:val="right"/>
      <w:pPr>
        <w:ind w:left="2160" w:hanging="180"/>
      </w:pPr>
    </w:lvl>
    <w:lvl w:ilvl="3" w:tplc="7F5A479E">
      <w:start w:val="1"/>
      <w:numFmt w:val="decimal"/>
      <w:lvlText w:val="%4."/>
      <w:lvlJc w:val="left"/>
      <w:pPr>
        <w:ind w:left="2880" w:hanging="360"/>
      </w:pPr>
    </w:lvl>
    <w:lvl w:ilvl="4" w:tplc="F4C85978">
      <w:start w:val="1"/>
      <w:numFmt w:val="lowerLetter"/>
      <w:lvlText w:val="%5."/>
      <w:lvlJc w:val="left"/>
      <w:pPr>
        <w:ind w:left="3600" w:hanging="360"/>
      </w:pPr>
    </w:lvl>
    <w:lvl w:ilvl="5" w:tplc="CC02FC28">
      <w:start w:val="1"/>
      <w:numFmt w:val="lowerRoman"/>
      <w:lvlText w:val="%6."/>
      <w:lvlJc w:val="right"/>
      <w:pPr>
        <w:ind w:left="4320" w:hanging="180"/>
      </w:pPr>
    </w:lvl>
    <w:lvl w:ilvl="6" w:tplc="3264A470">
      <w:start w:val="1"/>
      <w:numFmt w:val="decimal"/>
      <w:lvlText w:val="%7."/>
      <w:lvlJc w:val="left"/>
      <w:pPr>
        <w:ind w:left="5040" w:hanging="360"/>
      </w:pPr>
    </w:lvl>
    <w:lvl w:ilvl="7" w:tplc="07D024C8">
      <w:start w:val="1"/>
      <w:numFmt w:val="lowerLetter"/>
      <w:lvlText w:val="%8."/>
      <w:lvlJc w:val="left"/>
      <w:pPr>
        <w:ind w:left="5760" w:hanging="360"/>
      </w:pPr>
    </w:lvl>
    <w:lvl w:ilvl="8" w:tplc="6C4E63F0">
      <w:start w:val="1"/>
      <w:numFmt w:val="lowerRoman"/>
      <w:lvlText w:val="%9."/>
      <w:lvlJc w:val="right"/>
      <w:pPr>
        <w:ind w:left="6480" w:hanging="18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5541E"/>
    <w:rsid w:val="00656AEB"/>
    <w:rsid w:val="00660D05"/>
    <w:rsid w:val="006820B1"/>
    <w:rsid w:val="006B7D14"/>
    <w:rsid w:val="00701727"/>
    <w:rsid w:val="0070566C"/>
    <w:rsid w:val="00713326"/>
    <w:rsid w:val="00714C50"/>
    <w:rsid w:val="00725A7D"/>
    <w:rsid w:val="007501BE"/>
    <w:rsid w:val="00790839"/>
    <w:rsid w:val="00790BB3"/>
    <w:rsid w:val="007C206C"/>
    <w:rsid w:val="00817DD6"/>
    <w:rsid w:val="0083759F"/>
    <w:rsid w:val="00885156"/>
    <w:rsid w:val="009151AA"/>
    <w:rsid w:val="0093429D"/>
    <w:rsid w:val="00943573"/>
    <w:rsid w:val="00964134"/>
    <w:rsid w:val="00970F7D"/>
    <w:rsid w:val="00992BC1"/>
    <w:rsid w:val="00994A3D"/>
    <w:rsid w:val="009C2B12"/>
    <w:rsid w:val="00A174D9"/>
    <w:rsid w:val="00AA4D24"/>
    <w:rsid w:val="00AB6715"/>
    <w:rsid w:val="00B139FB"/>
    <w:rsid w:val="00B1671E"/>
    <w:rsid w:val="00B25EB8"/>
    <w:rsid w:val="00B37F4D"/>
    <w:rsid w:val="00B66B89"/>
    <w:rsid w:val="00C05748"/>
    <w:rsid w:val="00C52A7B"/>
    <w:rsid w:val="00C56BAF"/>
    <w:rsid w:val="00C679AA"/>
    <w:rsid w:val="00C75972"/>
    <w:rsid w:val="00CD066B"/>
    <w:rsid w:val="00CE4FEE"/>
    <w:rsid w:val="00D060CF"/>
    <w:rsid w:val="00DB59C3"/>
    <w:rsid w:val="00DC259A"/>
    <w:rsid w:val="00DE23E8"/>
    <w:rsid w:val="00DF640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21">
    <w:name w:val="Table Grid21"/>
    <w:basedOn w:val="TableNormal"/>
    <w:next w:val="TableGrid"/>
    <w:uiPriority w:val="39"/>
    <w:rsid w:val="00790839"/>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2</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Robyn Kozierok</cp:lastModifiedBy>
  <cp:revision>4</cp:revision>
  <cp:lastPrinted>2013-10-03T12:51:00Z</cp:lastPrinted>
  <dcterms:created xsi:type="dcterms:W3CDTF">2021-09-19T16:39:00Z</dcterms:created>
  <dcterms:modified xsi:type="dcterms:W3CDTF">2021-09-19T23:04:00Z</dcterms:modified>
</cp:coreProperties>
</file>