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6A89" w14:textId="77777777" w:rsidR="005B7CAE" w:rsidRDefault="005B7CAE" w:rsidP="005B7CAE">
      <w:pPr>
        <w:pStyle w:val="af4"/>
        <w:kinsoku w:val="0"/>
        <w:overflowPunct w:val="0"/>
        <w:spacing w:before="117"/>
        <w:ind w:firstLineChars="450" w:firstLine="126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Suppl. Table 1 </w:t>
      </w:r>
      <w:r>
        <w:rPr>
          <w:sz w:val="28"/>
          <w:szCs w:val="28"/>
        </w:rPr>
        <w:t xml:space="preserve">Patients’ </w:t>
      </w:r>
      <w:r w:rsidRPr="00AB05EC">
        <w:rPr>
          <w:sz w:val="28"/>
          <w:szCs w:val="28"/>
        </w:rPr>
        <w:t>peripheral blood indexes</w:t>
      </w:r>
      <w:r>
        <w:rPr>
          <w:sz w:val="28"/>
          <w:szCs w:val="28"/>
        </w:rPr>
        <w:t xml:space="preserve"> after treatment(6 weeks)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6"/>
        <w:gridCol w:w="2916"/>
        <w:gridCol w:w="2559"/>
      </w:tblGrid>
      <w:tr w:rsidR="005B7CAE" w:rsidRPr="00C7016C" w14:paraId="2ACE9AA0" w14:textId="77777777" w:rsidTr="00BD701D">
        <w:trPr>
          <w:trHeight w:val="321"/>
        </w:trPr>
        <w:tc>
          <w:tcPr>
            <w:tcW w:w="294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607E86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301" w:lineRule="exact"/>
              <w:ind w:left="115"/>
              <w:rPr>
                <w:sz w:val="28"/>
                <w:szCs w:val="28"/>
              </w:rPr>
            </w:pPr>
            <w:r w:rsidRPr="00C7016C">
              <w:rPr>
                <w:sz w:val="28"/>
                <w:szCs w:val="28"/>
              </w:rPr>
              <w:t>Observation indexes</w:t>
            </w:r>
          </w:p>
        </w:tc>
        <w:tc>
          <w:tcPr>
            <w:tcW w:w="291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86BA11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301" w:lineRule="exact"/>
              <w:ind w:left="114"/>
              <w:rPr>
                <w:sz w:val="28"/>
                <w:szCs w:val="28"/>
              </w:rPr>
            </w:pPr>
            <w:r w:rsidRPr="00C7016C">
              <w:rPr>
                <w:sz w:val="28"/>
                <w:szCs w:val="28"/>
              </w:rPr>
              <w:t>No. of patients(N=151)</w:t>
            </w:r>
          </w:p>
        </w:tc>
        <w:tc>
          <w:tcPr>
            <w:tcW w:w="25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40EE75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301" w:lineRule="exact"/>
              <w:ind w:left="174"/>
              <w:rPr>
                <w:sz w:val="28"/>
                <w:szCs w:val="28"/>
              </w:rPr>
            </w:pPr>
            <w:r w:rsidRPr="00C7016C">
              <w:rPr>
                <w:sz w:val="28"/>
                <w:szCs w:val="28"/>
              </w:rPr>
              <w:t>Percentage(%)</w:t>
            </w:r>
          </w:p>
        </w:tc>
      </w:tr>
      <w:tr w:rsidR="005B7CAE" w:rsidRPr="00C7016C" w14:paraId="58A3A0BD" w14:textId="77777777" w:rsidTr="00BD701D">
        <w:trPr>
          <w:trHeight w:val="834"/>
        </w:trPr>
        <w:tc>
          <w:tcPr>
            <w:tcW w:w="29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EBCA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1"/>
              <w:ind w:left="235" w:right="815" w:hanging="120"/>
            </w:pPr>
            <w:r w:rsidRPr="00C7016C">
              <w:t>NLR, median(IQR) Up</w:t>
            </w:r>
          </w:p>
          <w:p w14:paraId="7768F67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30C5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1"/>
              <w:ind w:left="114"/>
            </w:pPr>
            <w:r w:rsidRPr="00C7016C">
              <w:t>2.88(1.94-4.56)</w:t>
            </w:r>
          </w:p>
          <w:p w14:paraId="25BE385C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77</w:t>
            </w:r>
          </w:p>
          <w:p w14:paraId="0D84DC7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74</w:t>
            </w:r>
          </w:p>
        </w:tc>
        <w:tc>
          <w:tcPr>
            <w:tcW w:w="255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AA02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1"/>
            </w:pPr>
          </w:p>
          <w:p w14:paraId="5BAF4A6A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51.0</w:t>
            </w:r>
          </w:p>
          <w:p w14:paraId="6EC6B89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49.0</w:t>
            </w:r>
          </w:p>
        </w:tc>
      </w:tr>
      <w:tr w:rsidR="005B7CAE" w:rsidRPr="00C7016C" w14:paraId="13C0B8B2" w14:textId="77777777" w:rsidTr="00BD701D">
        <w:trPr>
          <w:trHeight w:val="828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A5B7D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235" w:right="855" w:hanging="120"/>
            </w:pPr>
            <w:r w:rsidRPr="00C7016C">
              <w:t>PLR, median(IQR) Up</w:t>
            </w:r>
          </w:p>
          <w:p w14:paraId="5D74824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B7D78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155.91(112.02-241.56)</w:t>
            </w:r>
          </w:p>
          <w:p w14:paraId="7CD362A6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71</w:t>
            </w:r>
          </w:p>
          <w:p w14:paraId="547C84F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80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70CD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51857F8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47.0</w:t>
            </w:r>
          </w:p>
          <w:p w14:paraId="0979766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53.0</w:t>
            </w:r>
          </w:p>
        </w:tc>
      </w:tr>
      <w:tr w:rsidR="005B7CAE" w:rsidRPr="00C7016C" w14:paraId="1F1EE68C" w14:textId="77777777" w:rsidTr="00BD701D">
        <w:trPr>
          <w:trHeight w:val="827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59B299" w14:textId="77777777" w:rsidR="00665368" w:rsidRDefault="005B7CAE" w:rsidP="00BD701D">
            <w:pPr>
              <w:pStyle w:val="TableParagraph"/>
              <w:kinsoku w:val="0"/>
              <w:overflowPunct w:val="0"/>
              <w:ind w:left="235" w:hanging="120"/>
            </w:pPr>
            <w:r w:rsidRPr="00C7016C">
              <w:t xml:space="preserve">PAR(*10^9), median(IQR) </w:t>
            </w:r>
          </w:p>
          <w:p w14:paraId="637A45A0" w14:textId="1836E0C5" w:rsidR="005B7CAE" w:rsidRPr="00C7016C" w:rsidRDefault="005B7CAE" w:rsidP="00665368">
            <w:pPr>
              <w:pStyle w:val="TableParagraph"/>
              <w:kinsoku w:val="0"/>
              <w:overflowPunct w:val="0"/>
              <w:ind w:left="235"/>
            </w:pPr>
            <w:r w:rsidRPr="00C7016C">
              <w:t>Up</w:t>
            </w:r>
          </w:p>
          <w:p w14:paraId="64CDF77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BA97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4.75(3.78-6.42)</w:t>
            </w:r>
          </w:p>
          <w:p w14:paraId="0AC0D8CE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67</w:t>
            </w:r>
          </w:p>
          <w:p w14:paraId="234A0E8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84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B697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15AADF91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44.4</w:t>
            </w:r>
          </w:p>
          <w:p w14:paraId="574F7A9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55.6</w:t>
            </w:r>
          </w:p>
        </w:tc>
      </w:tr>
      <w:tr w:rsidR="005B7CAE" w:rsidRPr="00C7016C" w14:paraId="5ABC363D" w14:textId="77777777" w:rsidTr="00BD701D">
        <w:trPr>
          <w:trHeight w:val="828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F4DB7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235" w:right="508" w:hanging="120"/>
            </w:pPr>
            <w:r w:rsidRPr="00C7016C">
              <w:t>Hb(g/L), median(IQR) Up</w:t>
            </w:r>
          </w:p>
          <w:p w14:paraId="51D562E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0612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126.00(112.00-133.00)</w:t>
            </w:r>
          </w:p>
          <w:p w14:paraId="7ADD080F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49</w:t>
            </w:r>
          </w:p>
          <w:p w14:paraId="0C8B2C4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102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F525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7C76178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32.5</w:t>
            </w:r>
          </w:p>
          <w:p w14:paraId="5970E2D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67.5</w:t>
            </w:r>
          </w:p>
        </w:tc>
      </w:tr>
      <w:tr w:rsidR="005B7CAE" w:rsidRPr="00C7016C" w14:paraId="4A617E88" w14:textId="77777777" w:rsidTr="00BD701D">
        <w:trPr>
          <w:trHeight w:val="825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9BDE5" w14:textId="77777777" w:rsidR="00665368" w:rsidRDefault="005B7CAE" w:rsidP="00BD701D">
            <w:pPr>
              <w:pStyle w:val="TableParagraph"/>
              <w:kinsoku w:val="0"/>
              <w:overflowPunct w:val="0"/>
              <w:spacing w:line="237" w:lineRule="auto"/>
              <w:ind w:left="235" w:right="95" w:hanging="120"/>
            </w:pPr>
            <w:r w:rsidRPr="00C7016C">
              <w:t xml:space="preserve">LDH(U/L), median(IQR) </w:t>
            </w:r>
          </w:p>
          <w:p w14:paraId="0179A8F7" w14:textId="07D9EBDA" w:rsidR="005B7CAE" w:rsidRPr="00C7016C" w:rsidRDefault="005B7CAE" w:rsidP="00665368">
            <w:pPr>
              <w:pStyle w:val="TableParagraph"/>
              <w:kinsoku w:val="0"/>
              <w:overflowPunct w:val="0"/>
              <w:spacing w:line="237" w:lineRule="auto"/>
              <w:ind w:left="235" w:right="95"/>
            </w:pPr>
            <w:r w:rsidRPr="00C7016C">
              <w:t>Up</w:t>
            </w:r>
          </w:p>
          <w:p w14:paraId="3353C74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197F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0" w:lineRule="exact"/>
              <w:ind w:left="114"/>
            </w:pPr>
            <w:r w:rsidRPr="00C7016C">
              <w:t>228.00(182.00-264.00)</w:t>
            </w:r>
          </w:p>
          <w:p w14:paraId="2DFF862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5" w:lineRule="exact"/>
              <w:ind w:left="114"/>
            </w:pPr>
            <w:r w:rsidRPr="00C7016C">
              <w:t>81</w:t>
            </w:r>
          </w:p>
          <w:p w14:paraId="3ECB71A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70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5160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14:paraId="12BB362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53.6</w:t>
            </w:r>
          </w:p>
          <w:p w14:paraId="3318682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46.4</w:t>
            </w:r>
          </w:p>
        </w:tc>
      </w:tr>
      <w:tr w:rsidR="005B7CAE" w:rsidRPr="00C7016C" w14:paraId="01942888" w14:textId="77777777" w:rsidTr="00BD701D">
        <w:trPr>
          <w:trHeight w:val="825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E95E79" w14:textId="77777777" w:rsidR="00665368" w:rsidRDefault="005B7CAE" w:rsidP="00BD701D">
            <w:pPr>
              <w:pStyle w:val="TableParagraph"/>
              <w:kinsoku w:val="0"/>
              <w:overflowPunct w:val="0"/>
              <w:ind w:left="235" w:right="95" w:hanging="120"/>
            </w:pPr>
            <w:r w:rsidRPr="00C7016C">
              <w:t xml:space="preserve">CEA(ng/ml), median(IQR) </w:t>
            </w:r>
          </w:p>
          <w:p w14:paraId="19400EBC" w14:textId="59D2BEAA" w:rsidR="005B7CAE" w:rsidRPr="00C7016C" w:rsidRDefault="005B7CAE" w:rsidP="00665368">
            <w:pPr>
              <w:pStyle w:val="TableParagraph"/>
              <w:kinsoku w:val="0"/>
              <w:overflowPunct w:val="0"/>
              <w:ind w:left="235" w:right="95"/>
            </w:pPr>
            <w:r w:rsidRPr="00C7016C">
              <w:t>Up</w:t>
            </w:r>
          </w:p>
          <w:p w14:paraId="4982084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9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47EA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5.07(2.94-15.27)</w:t>
            </w:r>
          </w:p>
          <w:p w14:paraId="21FBDE55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97</w:t>
            </w:r>
          </w:p>
          <w:p w14:paraId="568D1A8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9" w:lineRule="exact"/>
              <w:ind w:left="114"/>
            </w:pPr>
            <w:r w:rsidRPr="00C7016C">
              <w:t>54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06B7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08687334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64.2</w:t>
            </w:r>
          </w:p>
          <w:p w14:paraId="2A184EC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9" w:lineRule="exact"/>
              <w:ind w:left="174"/>
            </w:pPr>
            <w:r w:rsidRPr="00C7016C">
              <w:t>35.8</w:t>
            </w:r>
          </w:p>
        </w:tc>
      </w:tr>
      <w:tr w:rsidR="005B7CAE" w:rsidRPr="00C7016C" w14:paraId="2FED7394" w14:textId="77777777" w:rsidTr="00BD701D">
        <w:trPr>
          <w:trHeight w:val="825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BE387E7" w14:textId="77777777" w:rsidR="005B7CAE" w:rsidRDefault="005B7CAE" w:rsidP="00BD701D">
            <w:pPr>
              <w:pStyle w:val="TableParagraph"/>
              <w:kinsoku w:val="0"/>
              <w:overflowPunct w:val="0"/>
              <w:ind w:leftChars="50" w:left="120" w:right="95"/>
            </w:pPr>
            <w:r>
              <w:rPr>
                <w:rFonts w:hint="cs"/>
              </w:rPr>
              <w:t>N</w:t>
            </w:r>
            <w:r>
              <w:t>SE</w:t>
            </w:r>
            <w:r w:rsidRPr="00C76B8C">
              <w:rPr>
                <w:vertAlign w:val="superscript"/>
              </w:rPr>
              <w:t>†</w:t>
            </w:r>
            <w:r w:rsidRPr="00C76B8C">
              <w:t>(ng/ml), median(IQR)</w:t>
            </w:r>
          </w:p>
          <w:p w14:paraId="52E17FFC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Chars="50" w:left="120" w:right="95" w:firstLineChars="50" w:firstLine="110"/>
            </w:pPr>
            <w:r w:rsidRPr="00C7016C">
              <w:t>Up</w:t>
            </w:r>
          </w:p>
          <w:p w14:paraId="2FF7CE70" w14:textId="77777777" w:rsidR="005B7CAE" w:rsidRPr="00C76B8C" w:rsidRDefault="005B7CAE" w:rsidP="00BD701D">
            <w:pPr>
              <w:pStyle w:val="TableParagraph"/>
              <w:kinsoku w:val="0"/>
              <w:overflowPunct w:val="0"/>
              <w:ind w:leftChars="50" w:left="120" w:right="95" w:firstLineChars="50" w:firstLine="110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0B75F6D" w14:textId="77777777" w:rsidR="005B7CAE" w:rsidRPr="00C76B8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>
              <w:rPr>
                <w:rFonts w:hint="cs"/>
              </w:rPr>
              <w:t>1</w:t>
            </w:r>
            <w:r>
              <w:t>4.71(11.72-18.88)</w:t>
            </w:r>
          </w:p>
          <w:p w14:paraId="25D4B00A" w14:textId="77777777" w:rsidR="005B7CAE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>
              <w:rPr>
                <w:rFonts w:hint="eastAsia"/>
              </w:rPr>
              <w:t>5</w:t>
            </w:r>
            <w:r>
              <w:t>1</w:t>
            </w:r>
          </w:p>
          <w:p w14:paraId="6B72487F" w14:textId="77777777" w:rsidR="005B7CAE" w:rsidRPr="00C76B8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A541A50" w14:textId="77777777" w:rsidR="005B7CAE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27823160" w14:textId="77777777" w:rsidR="005B7CAE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35.9</w:t>
            </w:r>
          </w:p>
          <w:p w14:paraId="48AD0033" w14:textId="77777777" w:rsidR="005B7CAE" w:rsidRPr="00C76B8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64.1</w:t>
            </w:r>
          </w:p>
        </w:tc>
      </w:tr>
    </w:tbl>
    <w:p w14:paraId="4377C071" w14:textId="77777777" w:rsidR="005B7CAE" w:rsidRPr="00C76B8C" w:rsidRDefault="005B7CAE" w:rsidP="005B7CAE">
      <w:pPr>
        <w:pStyle w:val="af4"/>
        <w:kinsoku w:val="0"/>
        <w:overflowPunct w:val="0"/>
        <w:spacing w:line="249" w:lineRule="auto"/>
        <w:ind w:left="1257" w:right="4954"/>
      </w:pPr>
      <w:r w:rsidRPr="00C76B8C">
        <w:t>† N=142</w:t>
      </w:r>
    </w:p>
    <w:p w14:paraId="641E9A6C" w14:textId="77777777" w:rsidR="005B7CAE" w:rsidRDefault="005B7CAE" w:rsidP="005B7CAE">
      <w:pPr>
        <w:pStyle w:val="af4"/>
        <w:kinsoku w:val="0"/>
        <w:overflowPunct w:val="0"/>
        <w:spacing w:line="249" w:lineRule="auto"/>
        <w:ind w:left="1257" w:right="4954"/>
      </w:pPr>
      <w:r>
        <w:t>Up: elevated compared to pre-treatment Down: decreased compared to pre-treatment</w:t>
      </w:r>
    </w:p>
    <w:p w14:paraId="0517063E" w14:textId="77777777" w:rsidR="005B7CAE" w:rsidRDefault="005B7CAE" w:rsidP="005B7CAE">
      <w:pPr>
        <w:pStyle w:val="af4"/>
        <w:kinsoku w:val="0"/>
        <w:overflowPunct w:val="0"/>
        <w:spacing w:before="23" w:line="249" w:lineRule="auto"/>
        <w:ind w:left="1239" w:right="906"/>
      </w:pPr>
      <w:r>
        <w:t xml:space="preserve">Abbreviations: NLR: neutrophil-to-lymphocyte ratio; PLR: platelet-to-lymphocyte ratio; PAR: platelet-to-albumin ratio; Hb: hemoglobin; LDH: lactate dehydrogenase; CEA: carcinoembryonic antigen; NSE: </w:t>
      </w:r>
      <w:r w:rsidRPr="007A0CB4">
        <w:t>neuron-specific enolase</w:t>
      </w:r>
    </w:p>
    <w:p w14:paraId="5F57264E" w14:textId="77777777" w:rsidR="005B7CAE" w:rsidRDefault="005B7CAE" w:rsidP="005B7CAE">
      <w:pPr>
        <w:pStyle w:val="af4"/>
        <w:kinsoku w:val="0"/>
        <w:overflowPunct w:val="0"/>
        <w:spacing w:before="23" w:line="249" w:lineRule="auto"/>
        <w:ind w:right="906"/>
        <w:sectPr w:rsidR="005B7CAE" w:rsidSect="005B7CAE">
          <w:footerReference w:type="default" r:id="rId8"/>
          <w:pgSz w:w="11910" w:h="16840"/>
          <w:pgMar w:top="1580" w:right="700" w:bottom="280" w:left="540" w:header="720" w:footer="720" w:gutter="0"/>
          <w:cols w:space="720"/>
          <w:noEndnote/>
        </w:sectPr>
      </w:pPr>
    </w:p>
    <w:p w14:paraId="2D655781" w14:textId="77777777" w:rsidR="005B7CAE" w:rsidRPr="00060C05" w:rsidRDefault="005B7CAE" w:rsidP="005B7CAE">
      <w:pPr>
        <w:pStyle w:val="af4"/>
        <w:kinsoku w:val="0"/>
        <w:overflowPunct w:val="0"/>
        <w:spacing w:before="23" w:line="249" w:lineRule="auto"/>
        <w:ind w:right="906"/>
      </w:pPr>
    </w:p>
    <w:p w14:paraId="23DAA92F" w14:textId="77777777" w:rsidR="005B7CAE" w:rsidRDefault="005B7CAE" w:rsidP="005B7CAE">
      <w:pPr>
        <w:pStyle w:val="af4"/>
        <w:kinsoku w:val="0"/>
        <w:overflowPunct w:val="0"/>
        <w:spacing w:before="221"/>
        <w:ind w:left="125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Suppl. Table 2 </w:t>
      </w:r>
      <w:r>
        <w:rPr>
          <w:sz w:val="28"/>
          <w:szCs w:val="28"/>
        </w:rPr>
        <w:t xml:space="preserve">Patients’ </w:t>
      </w:r>
      <w:r w:rsidRPr="00AB05EC">
        <w:rPr>
          <w:sz w:val="28"/>
          <w:szCs w:val="28"/>
        </w:rPr>
        <w:t>peripheral blood indexes</w:t>
      </w:r>
      <w:r>
        <w:rPr>
          <w:sz w:val="28"/>
          <w:szCs w:val="28"/>
        </w:rPr>
        <w:t xml:space="preserve"> after treatment(12 weeks)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6"/>
        <w:gridCol w:w="2916"/>
        <w:gridCol w:w="2559"/>
      </w:tblGrid>
      <w:tr w:rsidR="005B7CAE" w:rsidRPr="00C7016C" w14:paraId="20ED4882" w14:textId="77777777" w:rsidTr="00BD701D">
        <w:trPr>
          <w:trHeight w:val="321"/>
        </w:trPr>
        <w:tc>
          <w:tcPr>
            <w:tcW w:w="294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699483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301" w:lineRule="exact"/>
              <w:ind w:left="115"/>
              <w:rPr>
                <w:sz w:val="28"/>
                <w:szCs w:val="28"/>
              </w:rPr>
            </w:pPr>
            <w:r w:rsidRPr="00C7016C">
              <w:rPr>
                <w:sz w:val="28"/>
                <w:szCs w:val="28"/>
              </w:rPr>
              <w:t>Observation indexes</w:t>
            </w:r>
          </w:p>
        </w:tc>
        <w:tc>
          <w:tcPr>
            <w:tcW w:w="291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1734AA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301" w:lineRule="exact"/>
              <w:ind w:left="114"/>
              <w:rPr>
                <w:sz w:val="28"/>
                <w:szCs w:val="28"/>
              </w:rPr>
            </w:pPr>
            <w:r w:rsidRPr="00C7016C">
              <w:rPr>
                <w:sz w:val="28"/>
                <w:szCs w:val="28"/>
              </w:rPr>
              <w:t>No. of patients(N=146)</w:t>
            </w:r>
          </w:p>
        </w:tc>
        <w:tc>
          <w:tcPr>
            <w:tcW w:w="25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F03D41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301" w:lineRule="exact"/>
              <w:ind w:left="174"/>
              <w:rPr>
                <w:sz w:val="28"/>
                <w:szCs w:val="28"/>
              </w:rPr>
            </w:pPr>
            <w:r w:rsidRPr="00C7016C">
              <w:rPr>
                <w:sz w:val="28"/>
                <w:szCs w:val="28"/>
              </w:rPr>
              <w:t>Percentage(%)</w:t>
            </w:r>
          </w:p>
        </w:tc>
      </w:tr>
      <w:tr w:rsidR="005B7CAE" w:rsidRPr="00C7016C" w14:paraId="7442E40E" w14:textId="77777777" w:rsidTr="00BD701D">
        <w:trPr>
          <w:trHeight w:val="832"/>
        </w:trPr>
        <w:tc>
          <w:tcPr>
            <w:tcW w:w="29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037340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235" w:right="815" w:hanging="120"/>
            </w:pPr>
            <w:r w:rsidRPr="00C7016C">
              <w:t>NLR, median(IQR) Up</w:t>
            </w:r>
          </w:p>
          <w:p w14:paraId="016937C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E1C8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5" w:lineRule="exact"/>
              <w:ind w:left="114"/>
            </w:pPr>
            <w:r w:rsidRPr="00C7016C">
              <w:t>3.08(2.03-5.50)</w:t>
            </w:r>
          </w:p>
          <w:p w14:paraId="32E9EA5F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77</w:t>
            </w:r>
          </w:p>
          <w:p w14:paraId="52D116B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69</w:t>
            </w:r>
          </w:p>
        </w:tc>
        <w:tc>
          <w:tcPr>
            <w:tcW w:w="255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0C93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10"/>
              <w:rPr>
                <w:sz w:val="23"/>
                <w:szCs w:val="23"/>
              </w:rPr>
            </w:pPr>
          </w:p>
          <w:p w14:paraId="2E1403F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52.7</w:t>
            </w:r>
          </w:p>
          <w:p w14:paraId="50E820E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47.3</w:t>
            </w:r>
          </w:p>
        </w:tc>
      </w:tr>
      <w:tr w:rsidR="005B7CAE" w:rsidRPr="00C7016C" w14:paraId="3C31842F" w14:textId="77777777" w:rsidTr="00BD701D">
        <w:trPr>
          <w:trHeight w:val="828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3D86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235" w:right="855" w:hanging="120"/>
            </w:pPr>
            <w:r w:rsidRPr="00C7016C">
              <w:t>PLR, median(IQR) Up</w:t>
            </w:r>
          </w:p>
          <w:p w14:paraId="710105A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2167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153.22(102.26-244.57)</w:t>
            </w:r>
          </w:p>
          <w:p w14:paraId="356545A0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68</w:t>
            </w:r>
          </w:p>
          <w:p w14:paraId="092CD5E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78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6E36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411E89C9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46.6</w:t>
            </w:r>
          </w:p>
          <w:p w14:paraId="4B98B3A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53.4</w:t>
            </w:r>
          </w:p>
        </w:tc>
      </w:tr>
      <w:tr w:rsidR="005B7CAE" w:rsidRPr="00C7016C" w14:paraId="09260571" w14:textId="77777777" w:rsidTr="00BD701D">
        <w:trPr>
          <w:trHeight w:val="827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F0DBE" w14:textId="77777777" w:rsidR="00665368" w:rsidRDefault="005B7CAE" w:rsidP="00BD701D">
            <w:pPr>
              <w:pStyle w:val="TableParagraph"/>
              <w:kinsoku w:val="0"/>
              <w:overflowPunct w:val="0"/>
              <w:ind w:left="235" w:hanging="120"/>
            </w:pPr>
            <w:r w:rsidRPr="00C7016C">
              <w:t xml:space="preserve">PAR(*10^9), median(IQR) </w:t>
            </w:r>
          </w:p>
          <w:p w14:paraId="52A8C97A" w14:textId="118A208A" w:rsidR="005B7CAE" w:rsidRPr="00C7016C" w:rsidRDefault="005B7CAE" w:rsidP="00665368">
            <w:pPr>
              <w:pStyle w:val="TableParagraph"/>
              <w:kinsoku w:val="0"/>
              <w:overflowPunct w:val="0"/>
              <w:ind w:left="235"/>
            </w:pPr>
            <w:r w:rsidRPr="00C7016C">
              <w:t>Up</w:t>
            </w:r>
          </w:p>
          <w:p w14:paraId="3046355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8692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4.57 (3.46-6.27)</w:t>
            </w:r>
          </w:p>
          <w:p w14:paraId="7665BE66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55</w:t>
            </w:r>
          </w:p>
          <w:p w14:paraId="38463DB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91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BAC6F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0D709727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37.7</w:t>
            </w:r>
          </w:p>
          <w:p w14:paraId="3363725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62.3</w:t>
            </w:r>
          </w:p>
        </w:tc>
      </w:tr>
      <w:tr w:rsidR="005B7CAE" w:rsidRPr="00C7016C" w14:paraId="13194079" w14:textId="77777777" w:rsidTr="00BD701D">
        <w:trPr>
          <w:trHeight w:val="827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B7C5F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235" w:right="508" w:hanging="120"/>
            </w:pPr>
            <w:r w:rsidRPr="00C7016C">
              <w:t>Hb(g/L), median(IQR) Up</w:t>
            </w:r>
          </w:p>
          <w:p w14:paraId="57CF047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ABBF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121.50(112.00-135.00)</w:t>
            </w:r>
          </w:p>
          <w:p w14:paraId="3739ED2A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48</w:t>
            </w:r>
          </w:p>
          <w:p w14:paraId="444C367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98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1E3F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212292A8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31.8</w:t>
            </w:r>
          </w:p>
          <w:p w14:paraId="4661056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64.9</w:t>
            </w:r>
          </w:p>
        </w:tc>
      </w:tr>
      <w:tr w:rsidR="005B7CAE" w:rsidRPr="00C7016C" w14:paraId="6DFB373F" w14:textId="77777777" w:rsidTr="00BD701D">
        <w:trPr>
          <w:trHeight w:val="828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FFEA6" w14:textId="77777777" w:rsidR="00665368" w:rsidRDefault="005B7CAE" w:rsidP="00BD701D">
            <w:pPr>
              <w:pStyle w:val="TableParagraph"/>
              <w:kinsoku w:val="0"/>
              <w:overflowPunct w:val="0"/>
              <w:ind w:left="235" w:right="95" w:hanging="120"/>
            </w:pPr>
            <w:r w:rsidRPr="00C7016C">
              <w:t xml:space="preserve">LDH(U/L), median(IQR) </w:t>
            </w:r>
          </w:p>
          <w:p w14:paraId="4ACB25B1" w14:textId="0B8F3A65" w:rsidR="005B7CAE" w:rsidRPr="00C7016C" w:rsidRDefault="005B7CAE" w:rsidP="00665368">
            <w:pPr>
              <w:pStyle w:val="TableParagraph"/>
              <w:kinsoku w:val="0"/>
              <w:overflowPunct w:val="0"/>
              <w:ind w:left="235" w:right="95"/>
            </w:pPr>
            <w:r w:rsidRPr="00C7016C">
              <w:t>Up</w:t>
            </w:r>
          </w:p>
          <w:p w14:paraId="6E71D8E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C164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221.50 (185.50-273.00)</w:t>
            </w:r>
          </w:p>
          <w:p w14:paraId="1F105AEC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82</w:t>
            </w:r>
          </w:p>
          <w:p w14:paraId="517CC62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4"/>
            </w:pPr>
            <w:r w:rsidRPr="00C7016C">
              <w:t>64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9DB3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6CECD201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56.2</w:t>
            </w:r>
          </w:p>
          <w:p w14:paraId="5441739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74"/>
            </w:pPr>
            <w:r w:rsidRPr="00C7016C">
              <w:t>43.8</w:t>
            </w:r>
          </w:p>
        </w:tc>
      </w:tr>
      <w:tr w:rsidR="005B7CAE" w:rsidRPr="00C7016C" w14:paraId="606D27F3" w14:textId="77777777" w:rsidTr="00BD701D">
        <w:trPr>
          <w:trHeight w:val="823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2ACD5" w14:textId="77777777" w:rsidR="00665368" w:rsidRDefault="005B7CAE" w:rsidP="00BD701D">
            <w:pPr>
              <w:pStyle w:val="TableParagraph"/>
              <w:kinsoku w:val="0"/>
              <w:overflowPunct w:val="0"/>
              <w:ind w:left="235" w:right="95" w:hanging="120"/>
            </w:pPr>
            <w:r w:rsidRPr="00C7016C">
              <w:t xml:space="preserve">CEA(ng/ml), median(IQR) </w:t>
            </w:r>
          </w:p>
          <w:p w14:paraId="59836738" w14:textId="3098E47F" w:rsidR="005B7CAE" w:rsidRPr="00C7016C" w:rsidRDefault="005B7CAE" w:rsidP="00665368">
            <w:pPr>
              <w:pStyle w:val="TableParagraph"/>
              <w:kinsoku w:val="0"/>
              <w:overflowPunct w:val="0"/>
              <w:ind w:left="235" w:right="95"/>
            </w:pPr>
            <w:r w:rsidRPr="00C7016C">
              <w:t>Up</w:t>
            </w:r>
          </w:p>
          <w:p w14:paraId="211BA89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7" w:lineRule="exact"/>
              <w:ind w:left="235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F42C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 w:rsidRPr="00C7016C">
              <w:t>4.66(2.58-11.47)</w:t>
            </w:r>
          </w:p>
          <w:p w14:paraId="7351C6A6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4"/>
            </w:pPr>
            <w:r w:rsidRPr="00C7016C">
              <w:t>63</w:t>
            </w:r>
          </w:p>
          <w:p w14:paraId="233EBFE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7" w:lineRule="exact"/>
              <w:ind w:left="114"/>
            </w:pPr>
            <w:r w:rsidRPr="00C7016C">
              <w:t>83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49C1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7DF60243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74"/>
            </w:pPr>
            <w:r w:rsidRPr="00C7016C">
              <w:t>43.2</w:t>
            </w:r>
          </w:p>
          <w:p w14:paraId="61C1BC9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7" w:lineRule="exact"/>
              <w:ind w:left="174"/>
            </w:pPr>
            <w:r w:rsidRPr="00C7016C">
              <w:t>56.8</w:t>
            </w:r>
          </w:p>
        </w:tc>
      </w:tr>
      <w:tr w:rsidR="005B7CAE" w:rsidRPr="00C7016C" w14:paraId="23E509D2" w14:textId="77777777" w:rsidTr="00BD701D">
        <w:trPr>
          <w:trHeight w:val="823"/>
        </w:trPr>
        <w:tc>
          <w:tcPr>
            <w:tcW w:w="294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6A28478" w14:textId="77777777" w:rsidR="005B7CAE" w:rsidRDefault="005B7CAE" w:rsidP="00BD701D">
            <w:pPr>
              <w:pStyle w:val="TableParagraph"/>
              <w:kinsoku w:val="0"/>
              <w:overflowPunct w:val="0"/>
              <w:ind w:leftChars="50" w:left="120" w:right="95"/>
            </w:pPr>
            <w:r>
              <w:rPr>
                <w:rFonts w:hint="cs"/>
              </w:rPr>
              <w:t>N</w:t>
            </w:r>
            <w:r>
              <w:t>SE</w:t>
            </w:r>
            <w:r w:rsidRPr="00C76B8C">
              <w:rPr>
                <w:vertAlign w:val="superscript"/>
              </w:rPr>
              <w:t>†</w:t>
            </w:r>
            <w:r w:rsidRPr="00C76B8C">
              <w:t>(ng/ml), median(IQR)</w:t>
            </w:r>
          </w:p>
          <w:p w14:paraId="33C0DEB7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Chars="50" w:left="120" w:right="95" w:firstLineChars="50" w:firstLine="110"/>
            </w:pPr>
            <w:r w:rsidRPr="00C7016C">
              <w:t>Up</w:t>
            </w:r>
          </w:p>
          <w:p w14:paraId="092CD445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Chars="50" w:left="120" w:right="95" w:firstLineChars="50" w:firstLine="110"/>
            </w:pPr>
            <w:r w:rsidRPr="00C7016C">
              <w:t>Down</w:t>
            </w:r>
          </w:p>
        </w:tc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7D820FA" w14:textId="77777777" w:rsidR="005B7CAE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>
              <w:rPr>
                <w:rFonts w:hint="eastAsia"/>
              </w:rPr>
              <w:t>1</w:t>
            </w:r>
            <w:r>
              <w:t>4.26(11.26-17.21)</w:t>
            </w:r>
          </w:p>
          <w:p w14:paraId="5975DC5A" w14:textId="77777777" w:rsidR="005B7CAE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>
              <w:rPr>
                <w:rFonts w:hint="eastAsia"/>
              </w:rPr>
              <w:t>4</w:t>
            </w:r>
            <w:r>
              <w:t>6</w:t>
            </w:r>
          </w:p>
          <w:p w14:paraId="1993581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4"/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255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4A82E32" w14:textId="77777777" w:rsidR="005B7CAE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03010FF5" w14:textId="06F178B4" w:rsidR="005B7CAE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32.6</w:t>
            </w:r>
          </w:p>
          <w:p w14:paraId="5ACDCAAC" w14:textId="78B0520D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67.4</w:t>
            </w:r>
          </w:p>
        </w:tc>
      </w:tr>
    </w:tbl>
    <w:p w14:paraId="24B685E6" w14:textId="77777777" w:rsidR="005B7CAE" w:rsidRDefault="005B7CAE" w:rsidP="005B7CAE">
      <w:pPr>
        <w:pStyle w:val="af4"/>
        <w:kinsoku w:val="0"/>
        <w:overflowPunct w:val="0"/>
        <w:spacing w:line="249" w:lineRule="auto"/>
        <w:ind w:left="1257" w:right="4954"/>
      </w:pPr>
      <w:r w:rsidRPr="00C76B8C">
        <w:t>† N=14</w:t>
      </w:r>
      <w:r>
        <w:t>1</w:t>
      </w:r>
    </w:p>
    <w:p w14:paraId="093B7C69" w14:textId="77777777" w:rsidR="005B7CAE" w:rsidRDefault="005B7CAE" w:rsidP="005B7CAE">
      <w:pPr>
        <w:pStyle w:val="af4"/>
        <w:kinsoku w:val="0"/>
        <w:overflowPunct w:val="0"/>
        <w:spacing w:line="249" w:lineRule="auto"/>
        <w:ind w:left="1257" w:right="4954"/>
      </w:pPr>
      <w:r>
        <w:t>Up: elevated compared to pre-treatment Down: decreased compared to pre-treatment</w:t>
      </w:r>
    </w:p>
    <w:p w14:paraId="4A206FEE" w14:textId="77777777" w:rsidR="005B7CAE" w:rsidRDefault="005B7CAE" w:rsidP="005B7CAE">
      <w:pPr>
        <w:pStyle w:val="af4"/>
        <w:kinsoku w:val="0"/>
        <w:overflowPunct w:val="0"/>
        <w:spacing w:line="249" w:lineRule="auto"/>
        <w:ind w:left="1239" w:right="906"/>
        <w:sectPr w:rsidR="005B7CAE" w:rsidSect="00BD701D">
          <w:pgSz w:w="11910" w:h="16840"/>
          <w:pgMar w:top="1580" w:right="700" w:bottom="280" w:left="540" w:header="720" w:footer="720" w:gutter="0"/>
          <w:cols w:space="720"/>
          <w:noEndnote/>
        </w:sectPr>
      </w:pPr>
      <w:r>
        <w:t xml:space="preserve">Abbreviations: NLR: neutrophil-to-lymphocyte ratio; PLR: platelet-to-lymphocyte ratio; PAR: platelet-to-albumin ratio; Hb: hemoglobin; LDH: lactate dehydrogenase; CEA: carcinoembryonic antigen; NSE: </w:t>
      </w:r>
      <w:r w:rsidRPr="007A0CB4">
        <w:t>neuron-specific enolase</w:t>
      </w:r>
      <w:r>
        <w:t>.</w:t>
      </w:r>
    </w:p>
    <w:p w14:paraId="5972E89B" w14:textId="77777777" w:rsidR="005B7CAE" w:rsidRPr="006D6DFD" w:rsidRDefault="005B7CAE" w:rsidP="005B7CAE">
      <w:pPr>
        <w:pStyle w:val="af4"/>
        <w:kinsoku w:val="0"/>
        <w:overflowPunct w:val="0"/>
        <w:spacing w:before="221"/>
        <w:rPr>
          <w:color w:val="000000" w:themeColor="text1"/>
          <w:sz w:val="28"/>
          <w:szCs w:val="28"/>
        </w:rPr>
      </w:pPr>
      <w:r w:rsidRPr="006D6DFD">
        <w:rPr>
          <w:b/>
          <w:bCs/>
          <w:color w:val="000000" w:themeColor="text1"/>
          <w:sz w:val="28"/>
          <w:szCs w:val="28"/>
        </w:rPr>
        <w:lastRenderedPageBreak/>
        <w:t xml:space="preserve">Suppl. Table 3 </w:t>
      </w:r>
      <w:r w:rsidRPr="006D6DFD">
        <w:rPr>
          <w:color w:val="000000" w:themeColor="text1"/>
          <w:sz w:val="28"/>
          <w:szCs w:val="28"/>
        </w:rPr>
        <w:t>Results of univariate analysis of PD-1 inhibitor type and combination regimen</w:t>
      </w:r>
    </w:p>
    <w:tbl>
      <w:tblPr>
        <w:tblpPr w:leftFromText="180" w:rightFromText="180" w:vertAnchor="page" w:horzAnchor="margin" w:tblpY="2591"/>
        <w:tblW w:w="1134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135"/>
        <w:gridCol w:w="2268"/>
        <w:gridCol w:w="2268"/>
        <w:gridCol w:w="2126"/>
      </w:tblGrid>
      <w:tr w:rsidR="005B7CAE" w:rsidRPr="00D47261" w14:paraId="6BF96C55" w14:textId="77777777" w:rsidTr="00BD701D">
        <w:trPr>
          <w:trHeight w:val="454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278C6" w14:textId="77777777" w:rsidR="005B7CAE" w:rsidRPr="00D47261" w:rsidRDefault="005B7CAE" w:rsidP="00BD701D">
            <w:pPr>
              <w:pStyle w:val="TableParagraph"/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FFE12" w14:textId="77777777" w:rsidR="005B7CAE" w:rsidRPr="00D47261" w:rsidRDefault="005B7CAE" w:rsidP="00BD701D">
            <w:pPr>
              <w:pStyle w:val="TableParagraph"/>
              <w:spacing w:before="25"/>
              <w:ind w:left="166"/>
              <w:jc w:val="center"/>
            </w:pPr>
            <w:r>
              <w:rPr>
                <w:rFonts w:hint="eastAsia"/>
              </w:rPr>
              <w:t>D</w:t>
            </w:r>
            <w:r>
              <w:t>CR</w:t>
            </w:r>
            <w:r w:rsidRPr="005016C9">
              <w:rPr>
                <w:vertAlign w:val="superscript"/>
              </w:rPr>
              <w:t>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2F6F1" w14:textId="77777777" w:rsidR="005B7CAE" w:rsidRPr="00D47261" w:rsidRDefault="005B7CAE" w:rsidP="00BD701D">
            <w:pPr>
              <w:pStyle w:val="TableParagraph"/>
              <w:spacing w:before="25"/>
              <w:ind w:left="122"/>
              <w:jc w:val="center"/>
            </w:pPr>
            <w:r>
              <w:rPr>
                <w:rFonts w:hint="eastAsia"/>
              </w:rPr>
              <w:t>O</w:t>
            </w:r>
            <w:r>
              <w:t>RR</w:t>
            </w:r>
            <w:r w:rsidRPr="005016C9">
              <w:rPr>
                <w:vertAlign w:val="superscript"/>
              </w:rPr>
              <w:t>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865E0" w14:textId="77777777" w:rsidR="005B7CAE" w:rsidRPr="005016C9" w:rsidRDefault="005B7CAE" w:rsidP="00BD701D">
            <w:pPr>
              <w:pStyle w:val="TableParagraph"/>
              <w:spacing w:before="25"/>
              <w:ind w:left="258"/>
              <w:jc w:val="center"/>
              <w:rPr>
                <w:iCs/>
              </w:rPr>
            </w:pPr>
            <w:r w:rsidRPr="005016C9">
              <w:rPr>
                <w:iCs/>
              </w:rPr>
              <w:t>PFS</w:t>
            </w:r>
            <w:r w:rsidRPr="005016C9">
              <w:rPr>
                <w:vertAlign w:val="superscript"/>
              </w:rPr>
              <w:t>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9128D" w14:textId="77777777" w:rsidR="005B7CAE" w:rsidRPr="005016C9" w:rsidRDefault="005B7CAE" w:rsidP="00BD701D">
            <w:pPr>
              <w:pStyle w:val="TableParagraph"/>
              <w:spacing w:before="25"/>
              <w:ind w:left="258"/>
              <w:jc w:val="center"/>
              <w:rPr>
                <w:iCs/>
              </w:rPr>
            </w:pPr>
            <w:r w:rsidRPr="005016C9">
              <w:rPr>
                <w:rFonts w:hint="eastAsia"/>
                <w:iCs/>
              </w:rPr>
              <w:t>O</w:t>
            </w:r>
            <w:r w:rsidRPr="005016C9">
              <w:rPr>
                <w:iCs/>
              </w:rPr>
              <w:t>S</w:t>
            </w:r>
            <w:r w:rsidRPr="005016C9">
              <w:rPr>
                <w:vertAlign w:val="superscript"/>
              </w:rPr>
              <w:t>‡</w:t>
            </w:r>
          </w:p>
        </w:tc>
      </w:tr>
      <w:tr w:rsidR="005B7CAE" w:rsidRPr="00D47261" w14:paraId="2BDE53D7" w14:textId="77777777" w:rsidTr="00BD701D">
        <w:trPr>
          <w:trHeight w:val="454"/>
        </w:trPr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</w:tcPr>
          <w:p w14:paraId="5ABDF329" w14:textId="77777777" w:rsidR="005B7CAE" w:rsidRPr="0077134C" w:rsidRDefault="005B7CAE" w:rsidP="00BD701D">
            <w:pPr>
              <w:pStyle w:val="TableParagraph"/>
            </w:pPr>
            <w:r>
              <w:t xml:space="preserve">PD-1 inhibitor type 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</w:tcPr>
          <w:p w14:paraId="44265684" w14:textId="77777777" w:rsidR="005B7CAE" w:rsidRPr="00D47261" w:rsidRDefault="005B7CAE" w:rsidP="00BD701D">
            <w:pPr>
              <w:pStyle w:val="TableParagraph"/>
              <w:spacing w:before="25"/>
              <w:ind w:left="166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DD1F201" w14:textId="77777777" w:rsidR="005B7CAE" w:rsidRPr="00D47261" w:rsidRDefault="005B7CAE" w:rsidP="00BD701D">
            <w:pPr>
              <w:pStyle w:val="TableParagraph"/>
              <w:spacing w:before="25"/>
              <w:ind w:left="122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A3DC0FE" w14:textId="77777777" w:rsidR="005B7CAE" w:rsidRPr="005016C9" w:rsidRDefault="005B7CAE" w:rsidP="00BD701D">
            <w:pPr>
              <w:pStyle w:val="TableParagraph"/>
              <w:spacing w:before="25"/>
              <w:ind w:left="258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E21A5B1" w14:textId="77777777" w:rsidR="005B7CAE" w:rsidRPr="005016C9" w:rsidRDefault="005B7CAE" w:rsidP="00BD701D">
            <w:pPr>
              <w:pStyle w:val="TableParagraph"/>
              <w:spacing w:before="25"/>
              <w:ind w:left="258"/>
              <w:rPr>
                <w:iCs/>
              </w:rPr>
            </w:pPr>
          </w:p>
        </w:tc>
      </w:tr>
      <w:tr w:rsidR="005B7CAE" w:rsidRPr="00D47261" w14:paraId="3D153A52" w14:textId="77777777" w:rsidTr="00BD701D">
        <w:trPr>
          <w:trHeight w:val="454"/>
        </w:trPr>
        <w:tc>
          <w:tcPr>
            <w:tcW w:w="2548" w:type="dxa"/>
            <w:shd w:val="clear" w:color="auto" w:fill="auto"/>
          </w:tcPr>
          <w:p w14:paraId="0B431F19" w14:textId="77777777" w:rsidR="005B7CAE" w:rsidRPr="00D47261" w:rsidRDefault="005B7CAE" w:rsidP="00BD701D">
            <w:pPr>
              <w:pStyle w:val="TableParagraph"/>
              <w:ind w:firstLineChars="50" w:firstLine="110"/>
            </w:pPr>
            <w:r>
              <w:t>Toripalimab</w:t>
            </w:r>
          </w:p>
        </w:tc>
        <w:tc>
          <w:tcPr>
            <w:tcW w:w="2135" w:type="dxa"/>
            <w:shd w:val="clear" w:color="auto" w:fill="auto"/>
          </w:tcPr>
          <w:p w14:paraId="290CBA34" w14:textId="77777777" w:rsidR="005B7CAE" w:rsidRPr="0077134C" w:rsidRDefault="005B7CAE" w:rsidP="00BD701D">
            <w:pPr>
              <w:pStyle w:val="TableParagraph"/>
              <w:spacing w:before="25"/>
              <w:ind w:left="166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850389A" w14:textId="77777777" w:rsidR="005B7CAE" w:rsidRPr="0077134C" w:rsidRDefault="005B7CAE" w:rsidP="00BD701D">
            <w:pPr>
              <w:pStyle w:val="TableParagraph"/>
              <w:spacing w:before="25"/>
              <w:ind w:left="122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898525F" w14:textId="77777777" w:rsidR="005B7CAE" w:rsidRPr="005016C9" w:rsidRDefault="005B7CAE" w:rsidP="00BD701D">
            <w:pPr>
              <w:pStyle w:val="TableParagraph"/>
              <w:spacing w:before="25"/>
              <w:ind w:left="258"/>
              <w:rPr>
                <w:iCs/>
              </w:rPr>
            </w:pPr>
            <w:r w:rsidRPr="005016C9">
              <w:rPr>
                <w:rFonts w:hint="eastAsia"/>
                <w:i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69CEBF7" w14:textId="77777777" w:rsidR="005B7CAE" w:rsidRPr="005016C9" w:rsidRDefault="005B7CAE" w:rsidP="00BD701D">
            <w:pPr>
              <w:pStyle w:val="TableParagraph"/>
              <w:spacing w:before="25"/>
              <w:ind w:left="258"/>
              <w:rPr>
                <w:iCs/>
              </w:rPr>
            </w:pPr>
            <w:r w:rsidRPr="005016C9">
              <w:rPr>
                <w:rFonts w:hint="eastAsia"/>
                <w:iCs/>
              </w:rPr>
              <w:t>1</w:t>
            </w:r>
          </w:p>
        </w:tc>
      </w:tr>
      <w:tr w:rsidR="005B7CAE" w:rsidRPr="00D47261" w14:paraId="4AD46C75" w14:textId="77777777" w:rsidTr="00BD701D">
        <w:trPr>
          <w:trHeight w:val="454"/>
        </w:trPr>
        <w:tc>
          <w:tcPr>
            <w:tcW w:w="2548" w:type="dxa"/>
            <w:shd w:val="clear" w:color="auto" w:fill="auto"/>
          </w:tcPr>
          <w:p w14:paraId="726B4297" w14:textId="77777777" w:rsidR="005B7CAE" w:rsidRPr="0077134C" w:rsidRDefault="005B7CAE" w:rsidP="00BD701D">
            <w:pPr>
              <w:pStyle w:val="TableParagraph"/>
              <w:ind w:firstLineChars="50" w:firstLine="110"/>
            </w:pPr>
            <w:r>
              <w:t>Sintilimab</w:t>
            </w:r>
          </w:p>
        </w:tc>
        <w:tc>
          <w:tcPr>
            <w:tcW w:w="2135" w:type="dxa"/>
            <w:shd w:val="clear" w:color="auto" w:fill="auto"/>
          </w:tcPr>
          <w:p w14:paraId="17E67CCA" w14:textId="77777777" w:rsidR="005B7CAE" w:rsidRPr="0077134C" w:rsidRDefault="005B7CAE" w:rsidP="00BD701D">
            <w:pPr>
              <w:pStyle w:val="TableParagraph"/>
              <w:spacing w:before="25"/>
              <w:ind w:left="166"/>
            </w:pPr>
            <w:r>
              <w:rPr>
                <w:rFonts w:hint="eastAsia"/>
              </w:rPr>
              <w:t>0</w:t>
            </w:r>
            <w:r>
              <w:t>.711 (0.132-3.818)</w:t>
            </w:r>
          </w:p>
        </w:tc>
        <w:tc>
          <w:tcPr>
            <w:tcW w:w="2268" w:type="dxa"/>
            <w:shd w:val="clear" w:color="auto" w:fill="auto"/>
          </w:tcPr>
          <w:p w14:paraId="004E1473" w14:textId="77777777" w:rsidR="005B7CAE" w:rsidRPr="0077134C" w:rsidRDefault="005B7CAE" w:rsidP="00BD701D">
            <w:pPr>
              <w:pStyle w:val="TableParagraph"/>
              <w:spacing w:before="25"/>
              <w:ind w:left="122"/>
            </w:pPr>
            <w:r>
              <w:rPr>
                <w:rFonts w:hint="eastAsia"/>
              </w:rPr>
              <w:t>0</w:t>
            </w:r>
            <w:r>
              <w:t>.684 (0.174-2.692)</w:t>
            </w:r>
          </w:p>
        </w:tc>
        <w:tc>
          <w:tcPr>
            <w:tcW w:w="2268" w:type="dxa"/>
            <w:shd w:val="clear" w:color="auto" w:fill="auto"/>
          </w:tcPr>
          <w:p w14:paraId="4E7322B2" w14:textId="77777777" w:rsidR="005B7CAE" w:rsidRPr="005016C9" w:rsidRDefault="005B7CAE" w:rsidP="00BD701D">
            <w:pPr>
              <w:pStyle w:val="TableParagraph"/>
              <w:spacing w:before="25"/>
              <w:ind w:firstLineChars="50" w:firstLine="110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>1</w:t>
            </w:r>
            <w:r w:rsidRPr="005016C9">
              <w:rPr>
                <w:iCs/>
              </w:rPr>
              <w:t>.341 (0.680-2.647)</w:t>
            </w:r>
          </w:p>
        </w:tc>
        <w:tc>
          <w:tcPr>
            <w:tcW w:w="2126" w:type="dxa"/>
            <w:shd w:val="clear" w:color="auto" w:fill="auto"/>
          </w:tcPr>
          <w:p w14:paraId="3206D2DE" w14:textId="77777777" w:rsidR="005B7CAE" w:rsidRPr="005016C9" w:rsidRDefault="005B7CAE" w:rsidP="00BD701D">
            <w:pPr>
              <w:pStyle w:val="TableParagraph"/>
              <w:spacing w:before="25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 xml:space="preserve"> </w:t>
            </w:r>
            <w:r w:rsidRPr="005016C9">
              <w:rPr>
                <w:iCs/>
              </w:rPr>
              <w:t xml:space="preserve"> 0.857 (0.437-1.683)</w:t>
            </w:r>
          </w:p>
        </w:tc>
      </w:tr>
      <w:tr w:rsidR="005B7CAE" w:rsidRPr="00D47261" w14:paraId="6FB394A3" w14:textId="77777777" w:rsidTr="00BD701D">
        <w:trPr>
          <w:trHeight w:val="454"/>
        </w:trPr>
        <w:tc>
          <w:tcPr>
            <w:tcW w:w="2548" w:type="dxa"/>
            <w:shd w:val="clear" w:color="auto" w:fill="auto"/>
          </w:tcPr>
          <w:p w14:paraId="5251AE3A" w14:textId="77777777" w:rsidR="005B7CAE" w:rsidRPr="005016C9" w:rsidRDefault="005B7CAE" w:rsidP="00BD701D">
            <w:pPr>
              <w:pStyle w:val="TableParagraph"/>
              <w:ind w:firstLineChars="50" w:firstLine="110"/>
              <w:rPr>
                <w:rFonts w:eastAsia="宋体"/>
              </w:rPr>
            </w:pPr>
            <w:r>
              <w:t>Pembrolizumab</w:t>
            </w:r>
          </w:p>
        </w:tc>
        <w:tc>
          <w:tcPr>
            <w:tcW w:w="2135" w:type="dxa"/>
            <w:shd w:val="clear" w:color="auto" w:fill="auto"/>
          </w:tcPr>
          <w:p w14:paraId="2295CC3A" w14:textId="77777777" w:rsidR="005B7CAE" w:rsidRPr="0077134C" w:rsidRDefault="005B7CAE" w:rsidP="00BD701D">
            <w:pPr>
              <w:pStyle w:val="TableParagraph"/>
              <w:spacing w:before="25"/>
              <w:ind w:left="166"/>
            </w:pPr>
            <w:r>
              <w:rPr>
                <w:rFonts w:hint="eastAsia"/>
              </w:rPr>
              <w:t>0</w:t>
            </w:r>
            <w:r>
              <w:t>.912 (0.173-4.810)</w:t>
            </w:r>
          </w:p>
        </w:tc>
        <w:tc>
          <w:tcPr>
            <w:tcW w:w="2268" w:type="dxa"/>
            <w:shd w:val="clear" w:color="auto" w:fill="auto"/>
          </w:tcPr>
          <w:p w14:paraId="67C888C9" w14:textId="77777777" w:rsidR="005B7CAE" w:rsidRPr="0077134C" w:rsidRDefault="005B7CAE" w:rsidP="00BD701D">
            <w:pPr>
              <w:pStyle w:val="TableParagraph"/>
              <w:spacing w:before="25"/>
              <w:ind w:left="122"/>
            </w:pPr>
            <w:r>
              <w:rPr>
                <w:rFonts w:hint="eastAsia"/>
              </w:rPr>
              <w:t>0</w:t>
            </w:r>
            <w:r>
              <w:t>.427 (0.109-1.667)</w:t>
            </w:r>
          </w:p>
        </w:tc>
        <w:tc>
          <w:tcPr>
            <w:tcW w:w="2268" w:type="dxa"/>
            <w:shd w:val="clear" w:color="auto" w:fill="auto"/>
          </w:tcPr>
          <w:p w14:paraId="13347E4F" w14:textId="11D40079" w:rsidR="005B7CAE" w:rsidRPr="005016C9" w:rsidRDefault="005B7CAE" w:rsidP="00BD701D">
            <w:pPr>
              <w:pStyle w:val="TableParagraph"/>
              <w:spacing w:before="25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 xml:space="preserve"> </w:t>
            </w:r>
            <w:r w:rsidRPr="005016C9">
              <w:rPr>
                <w:iCs/>
              </w:rPr>
              <w:t>1.267 (0.632-2.542)</w:t>
            </w:r>
          </w:p>
        </w:tc>
        <w:tc>
          <w:tcPr>
            <w:tcW w:w="2126" w:type="dxa"/>
            <w:shd w:val="clear" w:color="auto" w:fill="auto"/>
          </w:tcPr>
          <w:p w14:paraId="5FDE56C4" w14:textId="77777777" w:rsidR="005B7CAE" w:rsidRPr="005016C9" w:rsidRDefault="005B7CAE" w:rsidP="00BD701D">
            <w:pPr>
              <w:pStyle w:val="TableParagraph"/>
              <w:spacing w:before="25"/>
              <w:jc w:val="both"/>
              <w:rPr>
                <w:iCs/>
              </w:rPr>
            </w:pPr>
            <w:r w:rsidRPr="005016C9">
              <w:rPr>
                <w:iCs/>
              </w:rPr>
              <w:t xml:space="preserve">  1.250 (0.631-2.477)</w:t>
            </w:r>
          </w:p>
        </w:tc>
      </w:tr>
      <w:tr w:rsidR="005B7CAE" w:rsidRPr="00D47261" w14:paraId="7171CC91" w14:textId="77777777" w:rsidTr="00BD701D">
        <w:trPr>
          <w:trHeight w:val="454"/>
        </w:trPr>
        <w:tc>
          <w:tcPr>
            <w:tcW w:w="2548" w:type="dxa"/>
            <w:shd w:val="clear" w:color="auto" w:fill="auto"/>
          </w:tcPr>
          <w:p w14:paraId="575A1F95" w14:textId="77777777" w:rsidR="005B7CAE" w:rsidRPr="005016C9" w:rsidRDefault="005B7CAE" w:rsidP="00BD701D">
            <w:pPr>
              <w:pStyle w:val="TableParagraph"/>
              <w:rPr>
                <w:rFonts w:eastAsia="宋体"/>
              </w:rPr>
            </w:pPr>
            <w:r w:rsidRPr="005016C9">
              <w:rPr>
                <w:rFonts w:eastAsia="宋体"/>
              </w:rPr>
              <w:t>Combination regimen</w:t>
            </w:r>
          </w:p>
        </w:tc>
        <w:tc>
          <w:tcPr>
            <w:tcW w:w="2135" w:type="dxa"/>
            <w:shd w:val="clear" w:color="auto" w:fill="auto"/>
          </w:tcPr>
          <w:p w14:paraId="377A8666" w14:textId="77777777" w:rsidR="005B7CAE" w:rsidRPr="0077134C" w:rsidRDefault="005B7CAE" w:rsidP="00BD701D">
            <w:pPr>
              <w:pStyle w:val="TableParagraph"/>
              <w:spacing w:before="25"/>
              <w:ind w:left="166"/>
            </w:pPr>
          </w:p>
        </w:tc>
        <w:tc>
          <w:tcPr>
            <w:tcW w:w="2268" w:type="dxa"/>
            <w:shd w:val="clear" w:color="auto" w:fill="auto"/>
          </w:tcPr>
          <w:p w14:paraId="7282C6C7" w14:textId="77777777" w:rsidR="005B7CAE" w:rsidRPr="0077134C" w:rsidRDefault="005B7CAE" w:rsidP="00BD701D">
            <w:pPr>
              <w:pStyle w:val="TableParagraph"/>
              <w:spacing w:before="25"/>
              <w:ind w:left="122"/>
            </w:pPr>
          </w:p>
        </w:tc>
        <w:tc>
          <w:tcPr>
            <w:tcW w:w="2268" w:type="dxa"/>
            <w:shd w:val="clear" w:color="auto" w:fill="auto"/>
          </w:tcPr>
          <w:p w14:paraId="1E10A453" w14:textId="77777777" w:rsidR="005B7CAE" w:rsidRPr="005016C9" w:rsidRDefault="005B7CAE" w:rsidP="00BD701D">
            <w:pPr>
              <w:pStyle w:val="TableParagraph"/>
              <w:spacing w:before="25"/>
              <w:ind w:left="258"/>
              <w:jc w:val="both"/>
              <w:rPr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14:paraId="7F7CCA82" w14:textId="77777777" w:rsidR="005B7CAE" w:rsidRPr="005016C9" w:rsidRDefault="005B7CAE" w:rsidP="00BD701D">
            <w:pPr>
              <w:pStyle w:val="TableParagraph"/>
              <w:spacing w:before="25"/>
              <w:ind w:left="258"/>
              <w:jc w:val="both"/>
              <w:rPr>
                <w:iCs/>
              </w:rPr>
            </w:pPr>
          </w:p>
        </w:tc>
      </w:tr>
      <w:tr w:rsidR="005B7CAE" w:rsidRPr="00D47261" w14:paraId="6031826A" w14:textId="77777777" w:rsidTr="00BD701D">
        <w:trPr>
          <w:trHeight w:val="454"/>
        </w:trPr>
        <w:tc>
          <w:tcPr>
            <w:tcW w:w="2548" w:type="dxa"/>
            <w:shd w:val="clear" w:color="auto" w:fill="auto"/>
          </w:tcPr>
          <w:p w14:paraId="35C1D3E2" w14:textId="77777777" w:rsidR="005B7CAE" w:rsidRPr="005016C9" w:rsidRDefault="005B7CAE" w:rsidP="00BD701D">
            <w:pPr>
              <w:pStyle w:val="TableParagraph"/>
              <w:ind w:firstLineChars="50" w:firstLine="110"/>
              <w:rPr>
                <w:rFonts w:eastAsia="宋体"/>
              </w:rPr>
            </w:pPr>
            <w:r w:rsidRPr="005016C9">
              <w:rPr>
                <w:rFonts w:eastAsia="宋体"/>
              </w:rPr>
              <w:t>Both</w:t>
            </w:r>
          </w:p>
        </w:tc>
        <w:tc>
          <w:tcPr>
            <w:tcW w:w="2135" w:type="dxa"/>
            <w:shd w:val="clear" w:color="auto" w:fill="auto"/>
          </w:tcPr>
          <w:p w14:paraId="67EA4CA8" w14:textId="77777777" w:rsidR="005B7CAE" w:rsidRPr="0077134C" w:rsidRDefault="005B7CAE" w:rsidP="00BD701D">
            <w:pPr>
              <w:pStyle w:val="TableParagraph"/>
              <w:spacing w:before="25"/>
              <w:ind w:left="166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28BB4C8" w14:textId="77777777" w:rsidR="005B7CAE" w:rsidRPr="0077134C" w:rsidRDefault="005B7CAE" w:rsidP="00BD701D">
            <w:pPr>
              <w:pStyle w:val="TableParagraph"/>
              <w:spacing w:before="25"/>
              <w:ind w:left="122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4A317C6" w14:textId="77777777" w:rsidR="005B7CAE" w:rsidRPr="005016C9" w:rsidRDefault="005B7CAE" w:rsidP="00BD701D">
            <w:pPr>
              <w:pStyle w:val="TableParagraph"/>
              <w:spacing w:before="25"/>
              <w:ind w:left="258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FD3ECD5" w14:textId="77777777" w:rsidR="005B7CAE" w:rsidRPr="005016C9" w:rsidRDefault="005B7CAE" w:rsidP="00BD701D">
            <w:pPr>
              <w:pStyle w:val="TableParagraph"/>
              <w:spacing w:before="25"/>
              <w:ind w:left="258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>1</w:t>
            </w:r>
          </w:p>
        </w:tc>
      </w:tr>
      <w:tr w:rsidR="005B7CAE" w:rsidRPr="00D47261" w14:paraId="3D0A2930" w14:textId="77777777" w:rsidTr="00BD701D">
        <w:trPr>
          <w:trHeight w:val="454"/>
        </w:trPr>
        <w:tc>
          <w:tcPr>
            <w:tcW w:w="2548" w:type="dxa"/>
            <w:shd w:val="clear" w:color="auto" w:fill="auto"/>
          </w:tcPr>
          <w:p w14:paraId="666510F2" w14:textId="77777777" w:rsidR="005B7CAE" w:rsidRPr="005016C9" w:rsidRDefault="005B7CAE" w:rsidP="00BD701D">
            <w:pPr>
              <w:pStyle w:val="TableParagraph"/>
              <w:ind w:firstLineChars="50" w:firstLine="110"/>
              <w:rPr>
                <w:rFonts w:eastAsia="宋体"/>
              </w:rPr>
            </w:pPr>
            <w:r w:rsidRPr="005016C9">
              <w:rPr>
                <w:rFonts w:eastAsia="宋体"/>
              </w:rPr>
              <w:t>Chemotherapy</w:t>
            </w:r>
          </w:p>
        </w:tc>
        <w:tc>
          <w:tcPr>
            <w:tcW w:w="2135" w:type="dxa"/>
            <w:shd w:val="clear" w:color="auto" w:fill="auto"/>
          </w:tcPr>
          <w:p w14:paraId="4E47F818" w14:textId="77777777" w:rsidR="005B7CAE" w:rsidRPr="0077134C" w:rsidRDefault="005B7CAE" w:rsidP="00BD701D">
            <w:pPr>
              <w:pStyle w:val="TableParagraph"/>
              <w:spacing w:before="25"/>
              <w:ind w:left="166"/>
            </w:pPr>
            <w:r>
              <w:rPr>
                <w:rFonts w:hint="eastAsia"/>
              </w:rPr>
              <w:t>0</w:t>
            </w:r>
            <w:r>
              <w:t>.702 (0.205-2.400)</w:t>
            </w:r>
          </w:p>
        </w:tc>
        <w:tc>
          <w:tcPr>
            <w:tcW w:w="2268" w:type="dxa"/>
            <w:shd w:val="clear" w:color="auto" w:fill="auto"/>
          </w:tcPr>
          <w:p w14:paraId="3A0584F0" w14:textId="77777777" w:rsidR="005B7CAE" w:rsidRPr="0077134C" w:rsidRDefault="005B7CAE" w:rsidP="00BD701D">
            <w:pPr>
              <w:pStyle w:val="TableParagraph"/>
              <w:spacing w:before="25"/>
              <w:ind w:left="122"/>
            </w:pPr>
            <w:r>
              <w:rPr>
                <w:rFonts w:hint="eastAsia"/>
              </w:rPr>
              <w:t>0</w:t>
            </w:r>
            <w:r>
              <w:t>.955 (0.380-2.398)</w:t>
            </w:r>
          </w:p>
        </w:tc>
        <w:tc>
          <w:tcPr>
            <w:tcW w:w="2268" w:type="dxa"/>
            <w:shd w:val="clear" w:color="auto" w:fill="auto"/>
          </w:tcPr>
          <w:p w14:paraId="00C9CB53" w14:textId="77777777" w:rsidR="005B7CAE" w:rsidRPr="005016C9" w:rsidRDefault="005B7CAE" w:rsidP="004076E1">
            <w:pPr>
              <w:pStyle w:val="TableParagraph"/>
              <w:spacing w:before="25"/>
              <w:ind w:firstLineChars="50" w:firstLine="110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>1</w:t>
            </w:r>
            <w:r w:rsidRPr="005016C9">
              <w:rPr>
                <w:iCs/>
              </w:rPr>
              <w:t>.325 (0.781-2.245)</w:t>
            </w:r>
          </w:p>
        </w:tc>
        <w:tc>
          <w:tcPr>
            <w:tcW w:w="2126" w:type="dxa"/>
            <w:shd w:val="clear" w:color="auto" w:fill="auto"/>
          </w:tcPr>
          <w:p w14:paraId="5889E45A" w14:textId="77777777" w:rsidR="005B7CAE" w:rsidRPr="005016C9" w:rsidRDefault="005B7CAE" w:rsidP="00BD701D">
            <w:pPr>
              <w:pStyle w:val="TableParagraph"/>
              <w:spacing w:before="25"/>
              <w:ind w:firstLineChars="50" w:firstLine="110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>1</w:t>
            </w:r>
            <w:r w:rsidRPr="005016C9">
              <w:rPr>
                <w:iCs/>
              </w:rPr>
              <w:t>.022 (0.570-1.833)</w:t>
            </w:r>
          </w:p>
        </w:tc>
      </w:tr>
      <w:tr w:rsidR="005B7CAE" w:rsidRPr="00D47261" w14:paraId="357C6392" w14:textId="77777777" w:rsidTr="00BD701D">
        <w:trPr>
          <w:trHeight w:val="454"/>
        </w:trPr>
        <w:tc>
          <w:tcPr>
            <w:tcW w:w="2548" w:type="dxa"/>
            <w:shd w:val="clear" w:color="auto" w:fill="auto"/>
          </w:tcPr>
          <w:p w14:paraId="49DAE93C" w14:textId="77777777" w:rsidR="005B7CAE" w:rsidRPr="005016C9" w:rsidRDefault="005B7CAE" w:rsidP="00BD701D">
            <w:pPr>
              <w:pStyle w:val="TableParagraph"/>
              <w:ind w:firstLineChars="50" w:firstLine="110"/>
              <w:rPr>
                <w:rFonts w:eastAsia="宋体"/>
              </w:rPr>
            </w:pPr>
            <w:r w:rsidRPr="005016C9">
              <w:rPr>
                <w:rFonts w:eastAsia="宋体"/>
              </w:rPr>
              <w:t>Anti-angiogenic therapy</w:t>
            </w:r>
          </w:p>
        </w:tc>
        <w:tc>
          <w:tcPr>
            <w:tcW w:w="2135" w:type="dxa"/>
            <w:shd w:val="clear" w:color="auto" w:fill="auto"/>
          </w:tcPr>
          <w:p w14:paraId="6E32719E" w14:textId="77777777" w:rsidR="005B7CAE" w:rsidRPr="0077134C" w:rsidRDefault="005B7CAE" w:rsidP="00BD701D">
            <w:pPr>
              <w:pStyle w:val="TableParagraph"/>
              <w:spacing w:before="25"/>
              <w:ind w:left="166"/>
            </w:pPr>
            <w:r>
              <w:rPr>
                <w:rFonts w:hint="eastAsia"/>
              </w:rPr>
              <w:t>0</w:t>
            </w:r>
            <w:r>
              <w:t>.750 (0.123-4.589)</w:t>
            </w:r>
          </w:p>
        </w:tc>
        <w:tc>
          <w:tcPr>
            <w:tcW w:w="2268" w:type="dxa"/>
            <w:shd w:val="clear" w:color="auto" w:fill="auto"/>
          </w:tcPr>
          <w:p w14:paraId="203DBDE6" w14:textId="77777777" w:rsidR="005B7CAE" w:rsidRPr="0077134C" w:rsidRDefault="005B7CAE" w:rsidP="00BD701D">
            <w:pPr>
              <w:pStyle w:val="TableParagraph"/>
              <w:spacing w:before="25"/>
              <w:ind w:left="122"/>
            </w:pPr>
            <w:r>
              <w:rPr>
                <w:rFonts w:hint="eastAsia"/>
              </w:rPr>
              <w:t>0</w:t>
            </w:r>
            <w:r>
              <w:t>.629 (0.180-2.201)</w:t>
            </w:r>
          </w:p>
        </w:tc>
        <w:tc>
          <w:tcPr>
            <w:tcW w:w="2268" w:type="dxa"/>
            <w:shd w:val="clear" w:color="auto" w:fill="auto"/>
          </w:tcPr>
          <w:p w14:paraId="7BAAF200" w14:textId="0C91B69D" w:rsidR="005B7CAE" w:rsidRPr="005016C9" w:rsidRDefault="005B7CAE" w:rsidP="00BD701D">
            <w:pPr>
              <w:pStyle w:val="TableParagraph"/>
              <w:spacing w:before="25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 xml:space="preserve"> </w:t>
            </w:r>
            <w:r w:rsidRPr="005016C9">
              <w:rPr>
                <w:iCs/>
              </w:rPr>
              <w:t>1.334 (0.636-2.798)</w:t>
            </w:r>
          </w:p>
        </w:tc>
        <w:tc>
          <w:tcPr>
            <w:tcW w:w="2126" w:type="dxa"/>
            <w:shd w:val="clear" w:color="auto" w:fill="auto"/>
          </w:tcPr>
          <w:p w14:paraId="6812D4D8" w14:textId="4D174C39" w:rsidR="005B7CAE" w:rsidRPr="005016C9" w:rsidRDefault="005B7CAE" w:rsidP="00BD701D">
            <w:pPr>
              <w:pStyle w:val="TableParagraph"/>
              <w:spacing w:before="25"/>
              <w:jc w:val="both"/>
              <w:rPr>
                <w:iCs/>
              </w:rPr>
            </w:pPr>
            <w:r w:rsidRPr="005016C9">
              <w:rPr>
                <w:rFonts w:hint="eastAsia"/>
                <w:iCs/>
              </w:rPr>
              <w:t xml:space="preserve"> </w:t>
            </w:r>
            <w:r w:rsidRPr="005016C9">
              <w:rPr>
                <w:iCs/>
              </w:rPr>
              <w:t>1.192 (0.528-2.688)</w:t>
            </w:r>
          </w:p>
        </w:tc>
      </w:tr>
    </w:tbl>
    <w:p w14:paraId="0004B09C" w14:textId="77777777" w:rsidR="005B7CAE" w:rsidRDefault="005B7CAE" w:rsidP="005B7CAE">
      <w:pPr>
        <w:pStyle w:val="af4"/>
        <w:kinsoku w:val="0"/>
        <w:overflowPunct w:val="0"/>
        <w:spacing w:line="249" w:lineRule="auto"/>
        <w:ind w:right="906"/>
      </w:pPr>
    </w:p>
    <w:p w14:paraId="4EF7F89C" w14:textId="77777777" w:rsidR="005B7CAE" w:rsidRDefault="005B7CAE" w:rsidP="005B7CAE">
      <w:pPr>
        <w:pStyle w:val="af4"/>
        <w:kinsoku w:val="0"/>
        <w:overflowPunct w:val="0"/>
        <w:spacing w:line="249" w:lineRule="auto"/>
        <w:ind w:right="906"/>
      </w:pPr>
      <w:r>
        <w:t>† Odds ratio (95%CI)</w:t>
      </w:r>
    </w:p>
    <w:p w14:paraId="1A094B66" w14:textId="77777777" w:rsidR="005B7CAE" w:rsidRDefault="005B7CAE" w:rsidP="005B7CAE">
      <w:pPr>
        <w:pStyle w:val="af4"/>
        <w:kinsoku w:val="0"/>
        <w:overflowPunct w:val="0"/>
        <w:spacing w:line="249" w:lineRule="auto"/>
        <w:ind w:right="906"/>
      </w:pPr>
      <w:r>
        <w:t xml:space="preserve">‡ </w:t>
      </w:r>
      <w:r w:rsidRPr="00742ED2">
        <w:t>Hazard ratio</w:t>
      </w:r>
      <w:r>
        <w:t xml:space="preserve"> (95%CI)</w:t>
      </w:r>
    </w:p>
    <w:p w14:paraId="719E3768" w14:textId="77777777" w:rsidR="005B7CAE" w:rsidRDefault="005B7CAE" w:rsidP="005B7CAE">
      <w:pPr>
        <w:pStyle w:val="af4"/>
        <w:kinsoku w:val="0"/>
        <w:overflowPunct w:val="0"/>
        <w:spacing w:line="249" w:lineRule="auto"/>
        <w:ind w:right="906"/>
        <w:jc w:val="both"/>
      </w:pPr>
      <w:r>
        <w:t>Abbreviations: DCR: Disease control rate; ORR: Objective response rate; PFS: progression free survival; OS: overall survival</w:t>
      </w:r>
    </w:p>
    <w:p w14:paraId="5DC08931" w14:textId="77777777" w:rsidR="005B7CAE" w:rsidRDefault="005B7CAE" w:rsidP="005B7CAE">
      <w:pPr>
        <w:pStyle w:val="af4"/>
        <w:kinsoku w:val="0"/>
        <w:overflowPunct w:val="0"/>
        <w:spacing w:line="249" w:lineRule="auto"/>
        <w:ind w:left="1239" w:right="906"/>
        <w:jc w:val="both"/>
        <w:sectPr w:rsidR="005B7CAE" w:rsidSect="00BD701D">
          <w:pgSz w:w="11910" w:h="16840"/>
          <w:pgMar w:top="1580" w:right="700" w:bottom="280" w:left="540" w:header="720" w:footer="720" w:gutter="0"/>
          <w:cols w:space="720"/>
          <w:noEndnote/>
        </w:sectPr>
      </w:pPr>
    </w:p>
    <w:p w14:paraId="3E5BF2BE" w14:textId="77777777" w:rsidR="005B7CAE" w:rsidRDefault="005B7CAE" w:rsidP="005B7CAE">
      <w:pPr>
        <w:pStyle w:val="af4"/>
        <w:kinsoku w:val="0"/>
        <w:overflowPunct w:val="0"/>
        <w:spacing w:before="72" w:line="252" w:lineRule="auto"/>
        <w:ind w:left="175"/>
        <w:rPr>
          <w:sz w:val="28"/>
          <w:szCs w:val="28"/>
        </w:rPr>
      </w:pPr>
      <w:bookmarkStart w:id="0" w:name="表格_8"/>
      <w:bookmarkEnd w:id="0"/>
      <w:r>
        <w:rPr>
          <w:b/>
          <w:bCs/>
          <w:sz w:val="28"/>
          <w:szCs w:val="28"/>
        </w:rPr>
        <w:lastRenderedPageBreak/>
        <w:t>Suppl.</w:t>
      </w:r>
      <w:r>
        <w:rPr>
          <w:b/>
          <w:bCs/>
          <w:spacing w:val="-21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Table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Associations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clinical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factors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17"/>
          <w:sz w:val="28"/>
          <w:szCs w:val="28"/>
        </w:rPr>
        <w:t xml:space="preserve"> </w:t>
      </w:r>
      <w:r w:rsidRPr="00AB05EC">
        <w:rPr>
          <w:sz w:val="28"/>
          <w:szCs w:val="28"/>
        </w:rPr>
        <w:t>peripheral blood indexes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treatment response using chi-squared test or Fisher exact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test</w:t>
      </w:r>
    </w:p>
    <w:p w14:paraId="687C49F9" w14:textId="77777777" w:rsidR="005B7CAE" w:rsidRDefault="005B7CAE" w:rsidP="005B7CAE">
      <w:pPr>
        <w:pStyle w:val="af4"/>
        <w:kinsoku w:val="0"/>
        <w:overflowPunct w:val="0"/>
        <w:spacing w:before="11"/>
        <w:rPr>
          <w:sz w:val="18"/>
          <w:szCs w:val="1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1583"/>
        <w:gridCol w:w="1334"/>
        <w:gridCol w:w="1484"/>
        <w:gridCol w:w="2059"/>
      </w:tblGrid>
      <w:tr w:rsidR="005B7CAE" w:rsidRPr="00C7016C" w14:paraId="3778E767" w14:textId="77777777" w:rsidTr="00BD701D">
        <w:trPr>
          <w:trHeight w:val="284"/>
        </w:trPr>
        <w:tc>
          <w:tcPr>
            <w:tcW w:w="5905" w:type="dxa"/>
            <w:gridSpan w:val="3"/>
            <w:tcBorders>
              <w:top w:val="single" w:sz="4" w:space="0" w:color="000000"/>
              <w:bottom w:val="none" w:sz="6" w:space="0" w:color="auto"/>
            </w:tcBorders>
          </w:tcPr>
          <w:p w14:paraId="032EC554" w14:textId="77777777" w:rsidR="005B7CAE" w:rsidRPr="00C7016C" w:rsidRDefault="005B7CAE" w:rsidP="00BD701D">
            <w:pPr>
              <w:pStyle w:val="TableParagraph"/>
              <w:tabs>
                <w:tab w:val="left" w:pos="3532"/>
                <w:tab w:val="left" w:pos="5985"/>
              </w:tabs>
              <w:kinsoku w:val="0"/>
              <w:overflowPunct w:val="0"/>
              <w:spacing w:line="265" w:lineRule="exact"/>
              <w:ind w:left="2988" w:right="-87"/>
            </w:pPr>
            <w:r w:rsidRPr="00C7016C">
              <w:rPr>
                <w:u w:val="single"/>
              </w:rPr>
              <w:t xml:space="preserve"> </w:t>
            </w:r>
            <w:r w:rsidRPr="00C7016C">
              <w:rPr>
                <w:u w:val="single"/>
              </w:rPr>
              <w:tab/>
              <w:t>Disease control</w:t>
            </w:r>
            <w:r w:rsidRPr="00C7016C">
              <w:rPr>
                <w:spacing w:val="-6"/>
                <w:u w:val="single"/>
              </w:rPr>
              <w:t xml:space="preserve"> </w:t>
            </w:r>
            <w:r w:rsidRPr="00C7016C">
              <w:rPr>
                <w:u w:val="single"/>
              </w:rPr>
              <w:t>rate</w:t>
            </w:r>
            <w:r w:rsidRPr="00C7016C">
              <w:rPr>
                <w:u w:val="single"/>
              </w:rPr>
              <w:tab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none" w:sz="6" w:space="0" w:color="auto"/>
            </w:tcBorders>
          </w:tcPr>
          <w:p w14:paraId="3454E243" w14:textId="77777777" w:rsidR="005B7CAE" w:rsidRPr="00C7016C" w:rsidRDefault="005B7CAE" w:rsidP="00BD701D">
            <w:pPr>
              <w:pStyle w:val="TableParagraph"/>
              <w:tabs>
                <w:tab w:val="left" w:pos="824"/>
                <w:tab w:val="left" w:pos="3546"/>
              </w:tabs>
              <w:kinsoku w:val="0"/>
              <w:overflowPunct w:val="0"/>
              <w:spacing w:line="265" w:lineRule="exact"/>
              <w:ind w:left="361" w:right="-15"/>
            </w:pPr>
            <w:r w:rsidRPr="00C7016C">
              <w:rPr>
                <w:u w:val="single"/>
              </w:rPr>
              <w:t xml:space="preserve"> </w:t>
            </w:r>
            <w:r w:rsidRPr="00C7016C">
              <w:rPr>
                <w:u w:val="single"/>
              </w:rPr>
              <w:tab/>
              <w:t>Objective response</w:t>
            </w:r>
            <w:r w:rsidRPr="00C7016C">
              <w:rPr>
                <w:spacing w:val="-5"/>
                <w:u w:val="single"/>
              </w:rPr>
              <w:t xml:space="preserve"> </w:t>
            </w:r>
            <w:r w:rsidRPr="00C7016C">
              <w:rPr>
                <w:u w:val="single"/>
              </w:rPr>
              <w:t>rate</w:t>
            </w:r>
            <w:r w:rsidRPr="00C7016C">
              <w:rPr>
                <w:u w:val="single"/>
              </w:rPr>
              <w:tab/>
            </w:r>
          </w:p>
        </w:tc>
      </w:tr>
      <w:tr w:rsidR="005B7CAE" w:rsidRPr="00C7016C" w14:paraId="451307CD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34523AB4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one" w:sz="6" w:space="0" w:color="auto"/>
              <w:bottom w:val="single" w:sz="4" w:space="0" w:color="000000"/>
            </w:tcBorders>
          </w:tcPr>
          <w:p w14:paraId="51A2CE8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n(%)</w:t>
            </w:r>
          </w:p>
        </w:tc>
        <w:tc>
          <w:tcPr>
            <w:tcW w:w="1334" w:type="dxa"/>
            <w:tcBorders>
              <w:top w:val="none" w:sz="6" w:space="0" w:color="auto"/>
              <w:bottom w:val="single" w:sz="4" w:space="0" w:color="000000"/>
            </w:tcBorders>
          </w:tcPr>
          <w:p w14:paraId="6DD9E14A" w14:textId="77777777" w:rsidR="005B7CAE" w:rsidRPr="006D6DFD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  <w:rPr>
                <w:i/>
                <w:iCs/>
              </w:rPr>
            </w:pPr>
            <w:r w:rsidRPr="006D6DFD">
              <w:rPr>
                <w:i/>
                <w:iCs/>
              </w:rPr>
              <w:t>P</w:t>
            </w:r>
          </w:p>
        </w:tc>
        <w:tc>
          <w:tcPr>
            <w:tcW w:w="1484" w:type="dxa"/>
            <w:tcBorders>
              <w:top w:val="none" w:sz="6" w:space="0" w:color="auto"/>
              <w:bottom w:val="single" w:sz="4" w:space="0" w:color="000000"/>
            </w:tcBorders>
          </w:tcPr>
          <w:p w14:paraId="5AA4C25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n(%)</w:t>
            </w:r>
          </w:p>
        </w:tc>
        <w:tc>
          <w:tcPr>
            <w:tcW w:w="2059" w:type="dxa"/>
            <w:tcBorders>
              <w:top w:val="none" w:sz="6" w:space="0" w:color="auto"/>
              <w:bottom w:val="single" w:sz="4" w:space="0" w:color="000000"/>
            </w:tcBorders>
          </w:tcPr>
          <w:p w14:paraId="7DBFE076" w14:textId="77777777" w:rsidR="005B7CAE" w:rsidRPr="006D6DFD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  <w:rPr>
                <w:i/>
                <w:iCs/>
              </w:rPr>
            </w:pPr>
            <w:r w:rsidRPr="006D6DFD">
              <w:rPr>
                <w:i/>
                <w:iCs/>
              </w:rPr>
              <w:t>P</w:t>
            </w:r>
          </w:p>
        </w:tc>
      </w:tr>
      <w:tr w:rsidR="005B7CAE" w:rsidRPr="00C7016C" w14:paraId="6F812198" w14:textId="77777777" w:rsidTr="00BD701D">
        <w:trPr>
          <w:trHeight w:val="280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061F23E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0" w:lineRule="exact"/>
              <w:ind w:left="122"/>
            </w:pPr>
            <w:r w:rsidRPr="00C7016C">
              <w:t>Age(years)</w:t>
            </w:r>
          </w:p>
        </w:tc>
        <w:tc>
          <w:tcPr>
            <w:tcW w:w="1583" w:type="dxa"/>
            <w:tcBorders>
              <w:top w:val="single" w:sz="4" w:space="0" w:color="000000"/>
              <w:bottom w:val="none" w:sz="6" w:space="0" w:color="auto"/>
            </w:tcBorders>
          </w:tcPr>
          <w:p w14:paraId="73B14C5A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none" w:sz="6" w:space="0" w:color="auto"/>
            </w:tcBorders>
          </w:tcPr>
          <w:p w14:paraId="73CB071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0" w:lineRule="exact"/>
              <w:ind w:left="108"/>
            </w:pPr>
            <w:r w:rsidRPr="00C7016C">
              <w:t>0.033</w:t>
            </w:r>
          </w:p>
        </w:tc>
        <w:tc>
          <w:tcPr>
            <w:tcW w:w="1484" w:type="dxa"/>
            <w:tcBorders>
              <w:top w:val="single" w:sz="4" w:space="0" w:color="000000"/>
              <w:bottom w:val="none" w:sz="6" w:space="0" w:color="auto"/>
            </w:tcBorders>
          </w:tcPr>
          <w:p w14:paraId="4EDAE015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bottom w:val="none" w:sz="6" w:space="0" w:color="auto"/>
            </w:tcBorders>
          </w:tcPr>
          <w:p w14:paraId="3DD3556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0" w:lineRule="exact"/>
              <w:ind w:left="540"/>
            </w:pPr>
            <w:r w:rsidRPr="00C7016C">
              <w:t>0.025</w:t>
            </w:r>
          </w:p>
        </w:tc>
      </w:tr>
      <w:tr w:rsidR="005B7CAE" w:rsidRPr="00C7016C" w14:paraId="0132EAB9" w14:textId="77777777" w:rsidTr="00BD701D">
        <w:trPr>
          <w:trHeight w:val="61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47F2ACBE" w14:textId="77777777" w:rsidR="005B7CAE" w:rsidRDefault="005B7CAE" w:rsidP="00BD701D">
            <w:pPr>
              <w:pStyle w:val="TableParagraph"/>
              <w:kinsoku w:val="0"/>
              <w:overflowPunct w:val="0"/>
              <w:spacing w:line="306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≥</w:t>
            </w:r>
            <w:r>
              <w:rPr>
                <w:rFonts w:eastAsia="宋体"/>
              </w:rPr>
              <w:t>63</w:t>
            </w:r>
          </w:p>
          <w:p w14:paraId="43D9DDD9" w14:textId="77777777" w:rsidR="005B7CAE" w:rsidRDefault="005B7CAE" w:rsidP="00BD701D">
            <w:pPr>
              <w:pStyle w:val="TableParagraph"/>
              <w:kinsoku w:val="0"/>
              <w:overflowPunct w:val="0"/>
              <w:spacing w:before="4" w:line="28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＜</w:t>
            </w:r>
            <w:r>
              <w:rPr>
                <w:rFonts w:eastAsia="宋体"/>
              </w:rPr>
              <w:t>63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1820AC1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08"/>
            </w:pPr>
            <w:r w:rsidRPr="00C7016C">
              <w:t>76/81(93.8)</w:t>
            </w:r>
          </w:p>
          <w:p w14:paraId="3876DB87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08"/>
            </w:pPr>
            <w:r w:rsidRPr="00C7016C">
              <w:t>58/70(82.9)</w:t>
            </w: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42D09678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7295DE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469"/>
            </w:pPr>
            <w:r w:rsidRPr="00C7016C">
              <w:t>31/81(38.3)</w:t>
            </w:r>
          </w:p>
          <w:p w14:paraId="690508E3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469"/>
            </w:pPr>
            <w:r w:rsidRPr="00C7016C">
              <w:t>15/70(21.4)</w:t>
            </w:r>
          </w:p>
        </w:tc>
      </w:tr>
      <w:tr w:rsidR="005B7CAE" w:rsidRPr="00C7016C" w14:paraId="1D1617FE" w14:textId="77777777" w:rsidTr="00BD701D">
        <w:trPr>
          <w:trHeight w:val="284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1963712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122"/>
            </w:pPr>
            <w:r w:rsidRPr="00C7016C">
              <w:t>Gender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16F8DCFB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6442592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108"/>
            </w:pPr>
            <w:r w:rsidRPr="00C7016C">
              <w:t>0.555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6063AFDB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6B5E55F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540"/>
            </w:pPr>
            <w:r w:rsidRPr="00C7016C">
              <w:t>0.668</w:t>
            </w:r>
          </w:p>
        </w:tc>
      </w:tr>
      <w:tr w:rsidR="005B7CAE" w:rsidRPr="00C7016C" w14:paraId="66E1483A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73A3249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Female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54BFB35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31/36(86.1)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594FB518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1E3452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12/36(33.3)</w:t>
            </w:r>
          </w:p>
        </w:tc>
      </w:tr>
      <w:tr w:rsidR="005B7CAE" w:rsidRPr="00C7016C" w14:paraId="7C87EF44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6B9CCF7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Male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79CF950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103/115(89.6)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2B95A33C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6A3FF5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34/115(29.6)</w:t>
            </w:r>
          </w:p>
        </w:tc>
      </w:tr>
      <w:tr w:rsidR="005B7CAE" w:rsidRPr="00C7016C" w14:paraId="488CB8D5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05F3002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22"/>
            </w:pPr>
            <w:r w:rsidRPr="00C7016C">
              <w:t>Tumor histology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5659F37E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53DF175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0.373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30904EE3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2B2F16D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</w:pPr>
            <w:r w:rsidRPr="00C7016C">
              <w:t>0.644</w:t>
            </w:r>
          </w:p>
        </w:tc>
      </w:tr>
      <w:tr w:rsidR="005B7CAE" w:rsidRPr="00C7016C" w14:paraId="1F99872A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599BA51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Squamous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4319117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46/50(92.0)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33BEC45D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87FF2F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14/50(28.0)</w:t>
            </w:r>
          </w:p>
        </w:tc>
      </w:tr>
      <w:tr w:rsidR="005B7CAE" w:rsidRPr="00C7016C" w14:paraId="2D0236F0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5FE3130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Non- Squamous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255DB2E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88/101(87.1)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16A647EE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422256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32/101(31.7)</w:t>
            </w:r>
          </w:p>
        </w:tc>
      </w:tr>
      <w:tr w:rsidR="005B7CAE" w:rsidRPr="00C7016C" w14:paraId="5B7ED9B5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4902707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22"/>
            </w:pPr>
            <w:r w:rsidRPr="00C7016C">
              <w:t>Stage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7DA0CEC1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1D28C04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0.743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3F65D297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404CC06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</w:pPr>
            <w:r w:rsidRPr="00C7016C">
              <w:t>0.203</w:t>
            </w:r>
          </w:p>
        </w:tc>
      </w:tr>
      <w:tr w:rsidR="005B7CAE" w:rsidRPr="00C7016C" w14:paraId="73FE14D2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2C72D2D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Recurrence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4C10478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25/29(86.2)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27948DFD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917E02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6/29(20.7)</w:t>
            </w:r>
          </w:p>
        </w:tc>
      </w:tr>
      <w:tr w:rsidR="005B7CAE" w:rsidRPr="00C7016C" w14:paraId="24E2B617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7571BD6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Advanced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277B7DF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109/122(89.3)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479C6870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65F664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40/122(32.8)</w:t>
            </w:r>
          </w:p>
        </w:tc>
      </w:tr>
      <w:tr w:rsidR="005B7CAE" w:rsidRPr="00C7016C" w14:paraId="6A32E6CB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2870481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22"/>
            </w:pPr>
            <w:r w:rsidRPr="00C7016C">
              <w:t>ECOG PS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768AECAD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4AA6A3E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0.383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75E9D277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263C165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</w:pPr>
            <w:r w:rsidRPr="00C7016C">
              <w:t>0.314</w:t>
            </w:r>
          </w:p>
        </w:tc>
      </w:tr>
      <w:tr w:rsidR="005B7CAE" w:rsidRPr="00C7016C" w14:paraId="6DE4FD48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3DCCE0F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0-1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77E07C0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131/147(89.1)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7A027613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B78A1D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46/147(31.3)</w:t>
            </w:r>
          </w:p>
        </w:tc>
      </w:tr>
      <w:tr w:rsidR="005B7CAE" w:rsidRPr="00C7016C" w14:paraId="08639168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04D5A70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2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1374579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3/4(75.0)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7150CBE3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3AABEB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0/4(0.0)</w:t>
            </w:r>
          </w:p>
        </w:tc>
      </w:tr>
      <w:tr w:rsidR="005B7CAE" w:rsidRPr="00C7016C" w14:paraId="6470E4C1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6ECE003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22"/>
            </w:pPr>
            <w:r w:rsidRPr="00C7016C">
              <w:t>Smoking history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6FEB6272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342CA43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0.238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2FA525CE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6DA8166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</w:pPr>
            <w:r w:rsidRPr="00C7016C">
              <w:t>0.325</w:t>
            </w:r>
          </w:p>
        </w:tc>
      </w:tr>
      <w:tr w:rsidR="005B7CAE" w:rsidRPr="00C7016C" w14:paraId="7CC8A546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5A04B0E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Never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01028FB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51/60(85.0)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5A5123FE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5DEBB6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21/60(35.0)</w:t>
            </w:r>
          </w:p>
        </w:tc>
      </w:tr>
      <w:tr w:rsidR="005B7CAE" w:rsidRPr="00C7016C" w14:paraId="78A8C5EA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387971A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Now/ever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2609096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83/91(91.2)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43BB6F91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8B3E6C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25/91(27.5)</w:t>
            </w:r>
          </w:p>
        </w:tc>
      </w:tr>
      <w:tr w:rsidR="005B7CAE" w:rsidRPr="00C7016C" w14:paraId="04BD9757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7DBDA49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22"/>
            </w:pPr>
            <w:r w:rsidRPr="00C7016C">
              <w:t>Distant metastasis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6F60BF39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6D94E3B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0.124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03F0E6FC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4BD9FCA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</w:pPr>
            <w:r w:rsidRPr="00C7016C">
              <w:t>0.588</w:t>
            </w:r>
          </w:p>
        </w:tc>
      </w:tr>
      <w:tr w:rsidR="005B7CAE" w:rsidRPr="00C7016C" w14:paraId="433C5488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786398D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No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1FEAEE0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31/32(96.9)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12B99946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539BE0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11/32(34.4)</w:t>
            </w:r>
          </w:p>
        </w:tc>
      </w:tr>
      <w:tr w:rsidR="005B7CAE" w:rsidRPr="00C7016C" w14:paraId="4BE9E30D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7C83C99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Yes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66D953B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103/119(86.6)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3A6D4D40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E396BD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35/119(89.4)</w:t>
            </w:r>
          </w:p>
        </w:tc>
      </w:tr>
      <w:tr w:rsidR="005B7CAE" w:rsidRPr="00C7016C" w14:paraId="354B8386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66B8576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22"/>
            </w:pPr>
            <w:r w:rsidRPr="00C7016C">
              <w:t>Degree of differentiation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48FE7AB6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65B685F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0.362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263E1326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3671580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</w:pPr>
            <w:r w:rsidRPr="00C7016C">
              <w:t>0.887</w:t>
            </w:r>
          </w:p>
        </w:tc>
      </w:tr>
      <w:tr w:rsidR="005B7CAE" w:rsidRPr="00C7016C" w14:paraId="07FFD388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2D018A3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Low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2F2128D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101/116(87.1)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2628A26A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FEB7BF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35/116(30.2)</w:t>
            </w:r>
          </w:p>
        </w:tc>
      </w:tr>
      <w:tr w:rsidR="005B7CAE" w:rsidRPr="00C7016C" w14:paraId="498332F5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7C62B46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Moderate/high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71AF2BB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33/35(94.3)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682C8E67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05FE28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11/35(31.4)</w:t>
            </w:r>
          </w:p>
        </w:tc>
      </w:tr>
      <w:tr w:rsidR="005B7CAE" w:rsidRPr="00C7016C" w14:paraId="616A542D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4946C4E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22"/>
            </w:pPr>
            <w:r w:rsidRPr="00C7016C">
              <w:t>Lines of therapy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3AFBF0D0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6E5225D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0.042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60819CFD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67707CA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</w:pPr>
            <w:r w:rsidRPr="00C7016C">
              <w:t>0.610</w:t>
            </w:r>
          </w:p>
        </w:tc>
      </w:tr>
      <w:tr w:rsidR="005B7CAE" w:rsidRPr="00C7016C" w14:paraId="614B0C8F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472C2FD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1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05334D3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58/61(95.1)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1C267DEB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BB95DA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20/61(32.8)</w:t>
            </w:r>
          </w:p>
        </w:tc>
      </w:tr>
      <w:tr w:rsidR="005B7CAE" w:rsidRPr="00C7016C" w14:paraId="5C67DCAB" w14:textId="77777777" w:rsidTr="00BD701D">
        <w:trPr>
          <w:trHeight w:val="301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172DC6EF" w14:textId="77777777" w:rsidR="005B7CAE" w:rsidRDefault="005B7CAE" w:rsidP="00BD701D">
            <w:pPr>
              <w:pStyle w:val="TableParagraph"/>
              <w:kinsoku w:val="0"/>
              <w:overflowPunct w:val="0"/>
              <w:spacing w:line="281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＞</w:t>
            </w:r>
            <w:r>
              <w:rPr>
                <w:rFonts w:eastAsia="宋体"/>
              </w:rPr>
              <w:t>1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5235716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08"/>
            </w:pPr>
            <w:r w:rsidRPr="00C7016C">
              <w:t>76/90(84.4)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674C4732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4542DA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469"/>
            </w:pPr>
            <w:r w:rsidRPr="00C7016C">
              <w:t>26/90(28.9)</w:t>
            </w:r>
          </w:p>
        </w:tc>
      </w:tr>
      <w:tr w:rsidR="005B7CAE" w:rsidRPr="00C7016C" w14:paraId="27D64692" w14:textId="77777777" w:rsidTr="00BD701D">
        <w:trPr>
          <w:trHeight w:val="284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1789822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122"/>
            </w:pPr>
            <w:r w:rsidRPr="00C7016C">
              <w:t>Radiotherapy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11522F6A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18F1BFE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108"/>
            </w:pPr>
            <w:r w:rsidRPr="00C7016C">
              <w:t>0.021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0D5C35A6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2582D94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540"/>
            </w:pPr>
            <w:r w:rsidRPr="00C7016C">
              <w:t>0.036</w:t>
            </w:r>
          </w:p>
        </w:tc>
      </w:tr>
      <w:tr w:rsidR="005B7CAE" w:rsidRPr="00C7016C" w14:paraId="6741590B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625E175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No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4EB26FA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71/85(83.5)</w:t>
            </w:r>
          </w:p>
        </w:tc>
        <w:tc>
          <w:tcPr>
            <w:tcW w:w="1334" w:type="dxa"/>
            <w:vMerge w:val="restart"/>
            <w:tcBorders>
              <w:top w:val="none" w:sz="6" w:space="0" w:color="auto"/>
              <w:bottom w:val="none" w:sz="6" w:space="0" w:color="auto"/>
            </w:tcBorders>
          </w:tcPr>
          <w:p w14:paraId="2E72F81F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BA5808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20/85(23.5)</w:t>
            </w:r>
          </w:p>
        </w:tc>
      </w:tr>
      <w:tr w:rsidR="005B7CAE" w:rsidRPr="00C7016C" w14:paraId="5ADFFB4B" w14:textId="77777777" w:rsidTr="00BD701D">
        <w:trPr>
          <w:trHeight w:val="27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5101E13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42"/>
            </w:pPr>
            <w:r w:rsidRPr="00C7016C">
              <w:t>Yes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5029321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63/66(95.5)</w:t>
            </w:r>
          </w:p>
        </w:tc>
        <w:tc>
          <w:tcPr>
            <w:tcW w:w="1334" w:type="dxa"/>
            <w:vMerge/>
            <w:tcBorders>
              <w:top w:val="nil"/>
              <w:bottom w:val="none" w:sz="6" w:space="0" w:color="auto"/>
            </w:tcBorders>
          </w:tcPr>
          <w:p w14:paraId="5772E6DB" w14:textId="77777777" w:rsidR="005B7CAE" w:rsidRPr="00C7016C" w:rsidRDefault="005B7CAE" w:rsidP="00BD701D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E0F453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469"/>
            </w:pPr>
            <w:r w:rsidRPr="00C7016C">
              <w:t>26/66(39.4)</w:t>
            </w:r>
          </w:p>
        </w:tc>
      </w:tr>
      <w:tr w:rsidR="005B7CAE" w:rsidRPr="00C7016C" w14:paraId="724C52C5" w14:textId="77777777" w:rsidTr="00BD701D">
        <w:trPr>
          <w:trHeight w:val="276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5DB846A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7" w:lineRule="exact"/>
              <w:ind w:left="122"/>
              <w:rPr>
                <w:sz w:val="16"/>
                <w:szCs w:val="16"/>
              </w:rPr>
            </w:pPr>
            <w:r w:rsidRPr="00C7016C">
              <w:rPr>
                <w:position w:val="2"/>
              </w:rPr>
              <w:t>NLR</w:t>
            </w:r>
            <w:r w:rsidRPr="00C7016C">
              <w:rPr>
                <w:sz w:val="16"/>
                <w:szCs w:val="16"/>
              </w:rPr>
              <w:t>0W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017C8AA2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21DF214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C7016C">
              <w:t>0.457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080C4BA8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5ABF271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540"/>
            </w:pPr>
            <w:r w:rsidRPr="00C7016C">
              <w:t>0.957</w:t>
            </w:r>
          </w:p>
        </w:tc>
      </w:tr>
      <w:tr w:rsidR="005B7CAE" w:rsidRPr="00C7016C" w14:paraId="252FD00E" w14:textId="77777777" w:rsidTr="00BD701D">
        <w:trPr>
          <w:trHeight w:val="61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75103FCE" w14:textId="77777777" w:rsidR="005B7CAE" w:rsidRDefault="005B7CAE" w:rsidP="00BD701D">
            <w:pPr>
              <w:pStyle w:val="TableParagraph"/>
              <w:kinsoku w:val="0"/>
              <w:overflowPunct w:val="0"/>
              <w:spacing w:line="30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＞</w:t>
            </w:r>
            <w:r>
              <w:rPr>
                <w:rFonts w:eastAsia="宋体"/>
              </w:rPr>
              <w:t>2.96</w:t>
            </w:r>
          </w:p>
          <w:p w14:paraId="0B6CC5F0" w14:textId="77777777" w:rsidR="005B7CAE" w:rsidRDefault="005B7CAE" w:rsidP="00BD701D">
            <w:pPr>
              <w:pStyle w:val="TableParagraph"/>
              <w:kinsoku w:val="0"/>
              <w:overflowPunct w:val="0"/>
              <w:spacing w:before="4" w:line="28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≤</w:t>
            </w:r>
            <w:r>
              <w:rPr>
                <w:rFonts w:eastAsia="宋体"/>
              </w:rPr>
              <w:t>2.96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66F244A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08"/>
            </w:pPr>
            <w:r w:rsidRPr="00C7016C">
              <w:t>68/75(90.7)</w:t>
            </w:r>
          </w:p>
          <w:p w14:paraId="7740AAE8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08"/>
            </w:pPr>
            <w:r w:rsidRPr="00C7016C">
              <w:t>66/76(86.8)</w:t>
            </w: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06E98A3C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868CE5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469"/>
            </w:pPr>
            <w:r w:rsidRPr="00C7016C">
              <w:t>23/75(30.7)</w:t>
            </w:r>
          </w:p>
          <w:p w14:paraId="77C03EA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469"/>
            </w:pPr>
            <w:r w:rsidRPr="00C7016C">
              <w:t>23/76(30.3)</w:t>
            </w:r>
          </w:p>
        </w:tc>
      </w:tr>
      <w:tr w:rsidR="005B7CAE" w:rsidRPr="00C7016C" w14:paraId="5803B7B2" w14:textId="77777777" w:rsidTr="00BD701D">
        <w:trPr>
          <w:trHeight w:val="284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364D5EA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2" w:line="263" w:lineRule="exact"/>
              <w:ind w:left="122"/>
              <w:rPr>
                <w:sz w:val="16"/>
                <w:szCs w:val="16"/>
              </w:rPr>
            </w:pPr>
            <w:r w:rsidRPr="00C7016C">
              <w:rPr>
                <w:position w:val="2"/>
              </w:rPr>
              <w:t>PLR</w:t>
            </w:r>
            <w:r w:rsidRPr="00C7016C">
              <w:rPr>
                <w:sz w:val="16"/>
                <w:szCs w:val="16"/>
              </w:rPr>
              <w:t>0W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51354E5D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050C1EE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108"/>
            </w:pPr>
            <w:r w:rsidRPr="00C7016C">
              <w:t>0.819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3D095017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29525E9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540"/>
            </w:pPr>
            <w:r w:rsidRPr="00C7016C">
              <w:t>0.385</w:t>
            </w:r>
          </w:p>
        </w:tc>
      </w:tr>
      <w:tr w:rsidR="005B7CAE" w:rsidRPr="00C7016C" w14:paraId="7EA51099" w14:textId="77777777" w:rsidTr="00BD701D">
        <w:trPr>
          <w:trHeight w:val="613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21AB16A3" w14:textId="77777777" w:rsidR="005B7CAE" w:rsidRDefault="005B7CAE" w:rsidP="00BD701D">
            <w:pPr>
              <w:pStyle w:val="TableParagraph"/>
              <w:kinsoku w:val="0"/>
              <w:overflowPunct w:val="0"/>
              <w:spacing w:line="302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＞</w:t>
            </w:r>
            <w:r>
              <w:rPr>
                <w:rFonts w:eastAsia="宋体"/>
              </w:rPr>
              <w:t>159</w:t>
            </w:r>
          </w:p>
          <w:p w14:paraId="3B901F11" w14:textId="77777777" w:rsidR="005B7CAE" w:rsidRDefault="005B7CAE" w:rsidP="00BD701D">
            <w:pPr>
              <w:pStyle w:val="TableParagraph"/>
              <w:kinsoku w:val="0"/>
              <w:overflowPunct w:val="0"/>
              <w:spacing w:before="4" w:line="28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≤</w:t>
            </w:r>
            <w:r>
              <w:rPr>
                <w:rFonts w:eastAsia="宋体"/>
              </w:rPr>
              <w:t>159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23049D5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08"/>
            </w:pPr>
            <w:r w:rsidRPr="00C7016C">
              <w:t>67/75(89.3)</w:t>
            </w:r>
          </w:p>
          <w:p w14:paraId="0314644E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07"/>
            </w:pPr>
            <w:r w:rsidRPr="00C7016C">
              <w:t>67/76(88.2)</w:t>
            </w: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4058AE12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51AC90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469"/>
            </w:pPr>
            <w:r w:rsidRPr="00C7016C">
              <w:t>21/75(28.0)</w:t>
            </w:r>
          </w:p>
          <w:p w14:paraId="0F9FC068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469"/>
            </w:pPr>
            <w:r w:rsidRPr="00C7016C">
              <w:t>25/76(32.9)</w:t>
            </w:r>
          </w:p>
        </w:tc>
      </w:tr>
      <w:tr w:rsidR="005B7CAE" w:rsidRPr="00C7016C" w14:paraId="26B21ED4" w14:textId="77777777" w:rsidTr="00BD701D">
        <w:trPr>
          <w:trHeight w:val="284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1D7AADF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2" w:line="263" w:lineRule="exact"/>
              <w:ind w:left="122"/>
              <w:rPr>
                <w:position w:val="2"/>
              </w:rPr>
            </w:pPr>
            <w:r w:rsidRPr="00C7016C">
              <w:rPr>
                <w:position w:val="2"/>
              </w:rPr>
              <w:t>PAR</w:t>
            </w:r>
            <w:r w:rsidRPr="00C7016C">
              <w:rPr>
                <w:sz w:val="16"/>
                <w:szCs w:val="16"/>
              </w:rPr>
              <w:t xml:space="preserve">0W </w:t>
            </w:r>
            <w:r w:rsidRPr="00C7016C">
              <w:rPr>
                <w:position w:val="2"/>
              </w:rPr>
              <w:t>(*10^9)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067114FC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3B3EADC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108"/>
            </w:pPr>
            <w:r w:rsidRPr="00C7016C">
              <w:t>0.775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6E9CDDBD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12F39BF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540"/>
            </w:pPr>
            <w:r w:rsidRPr="00C7016C">
              <w:t>0.265</w:t>
            </w:r>
          </w:p>
        </w:tc>
      </w:tr>
      <w:tr w:rsidR="005B7CAE" w:rsidRPr="00C7016C" w14:paraId="04B77411" w14:textId="77777777" w:rsidTr="00BD701D">
        <w:trPr>
          <w:trHeight w:val="613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1A558049" w14:textId="77777777" w:rsidR="005B7CAE" w:rsidRDefault="005B7CAE" w:rsidP="00BD701D">
            <w:pPr>
              <w:pStyle w:val="TableParagraph"/>
              <w:kinsoku w:val="0"/>
              <w:overflowPunct w:val="0"/>
              <w:spacing w:line="30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＞</w:t>
            </w:r>
            <w:r>
              <w:rPr>
                <w:rFonts w:eastAsia="宋体"/>
              </w:rPr>
              <w:t>5.15</w:t>
            </w:r>
          </w:p>
          <w:p w14:paraId="5D273F1E" w14:textId="77777777" w:rsidR="005B7CAE" w:rsidRDefault="005B7CAE" w:rsidP="00BD701D">
            <w:pPr>
              <w:pStyle w:val="TableParagraph"/>
              <w:kinsoku w:val="0"/>
              <w:overflowPunct w:val="0"/>
              <w:spacing w:before="2" w:line="28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≤</w:t>
            </w:r>
            <w:r>
              <w:rPr>
                <w:rFonts w:eastAsia="宋体"/>
              </w:rPr>
              <w:t>5.15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45AD507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08"/>
            </w:pPr>
            <w:r w:rsidRPr="00C7016C">
              <w:t>66/75(88.0)</w:t>
            </w:r>
          </w:p>
          <w:p w14:paraId="24F5CF83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07"/>
            </w:pPr>
            <w:r w:rsidRPr="00C7016C">
              <w:t>68/76(89.25)</w:t>
            </w: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052690FC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394D67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469"/>
            </w:pPr>
            <w:r w:rsidRPr="00C7016C">
              <w:t>26/75(34.7)</w:t>
            </w:r>
          </w:p>
          <w:p w14:paraId="6FF42835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469"/>
            </w:pPr>
            <w:r w:rsidRPr="00C7016C">
              <w:t>20/76(26.3)</w:t>
            </w:r>
          </w:p>
        </w:tc>
      </w:tr>
      <w:tr w:rsidR="005B7CAE" w:rsidRPr="00C7016C" w14:paraId="34C62C75" w14:textId="77777777" w:rsidTr="00BD701D">
        <w:trPr>
          <w:trHeight w:val="284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0CEC589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2" w:line="263" w:lineRule="exact"/>
              <w:ind w:left="122"/>
              <w:rPr>
                <w:position w:val="2"/>
              </w:rPr>
            </w:pPr>
            <w:r w:rsidRPr="00C7016C">
              <w:rPr>
                <w:position w:val="2"/>
              </w:rPr>
              <w:t>Hb</w:t>
            </w:r>
            <w:r w:rsidRPr="00C7016C">
              <w:rPr>
                <w:sz w:val="16"/>
                <w:szCs w:val="16"/>
              </w:rPr>
              <w:t xml:space="preserve">0W </w:t>
            </w:r>
            <w:r w:rsidRPr="00C7016C">
              <w:rPr>
                <w:position w:val="2"/>
              </w:rPr>
              <w:t>(g/L)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620E627A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5CE4DE2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108"/>
            </w:pPr>
            <w:r w:rsidRPr="00C7016C">
              <w:t>0.423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532C47DA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64CD586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540"/>
            </w:pPr>
            <w:r w:rsidRPr="00C7016C">
              <w:t>0.086</w:t>
            </w:r>
          </w:p>
        </w:tc>
      </w:tr>
      <w:tr w:rsidR="005B7CAE" w:rsidRPr="00C7016C" w14:paraId="76303650" w14:textId="77777777" w:rsidTr="00BD701D">
        <w:trPr>
          <w:trHeight w:val="615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31A45CB2" w14:textId="77777777" w:rsidR="005B7CAE" w:rsidRDefault="005B7CAE" w:rsidP="00BD701D">
            <w:pPr>
              <w:pStyle w:val="TableParagraph"/>
              <w:kinsoku w:val="0"/>
              <w:overflowPunct w:val="0"/>
              <w:spacing w:line="30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≥</w:t>
            </w:r>
            <w:r>
              <w:rPr>
                <w:rFonts w:eastAsia="宋体"/>
              </w:rPr>
              <w:t>130</w:t>
            </w:r>
          </w:p>
          <w:p w14:paraId="0984EA7D" w14:textId="77777777" w:rsidR="005B7CAE" w:rsidRDefault="005B7CAE" w:rsidP="00BD701D">
            <w:pPr>
              <w:pStyle w:val="TableParagraph"/>
              <w:kinsoku w:val="0"/>
              <w:overflowPunct w:val="0"/>
              <w:spacing w:before="4" w:line="28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＜</w:t>
            </w:r>
            <w:r>
              <w:rPr>
                <w:rFonts w:eastAsia="宋体"/>
              </w:rPr>
              <w:t>130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4B247E5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08"/>
            </w:pPr>
            <w:r w:rsidRPr="00C7016C">
              <w:t>65/75(86.7)</w:t>
            </w:r>
          </w:p>
          <w:p w14:paraId="5210EEDB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08"/>
            </w:pPr>
            <w:r w:rsidRPr="00C7016C">
              <w:t>69/76(90.8)</w:t>
            </w: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6EA83A6C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6D62C8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469"/>
            </w:pPr>
            <w:r w:rsidRPr="00C7016C">
              <w:t>18/75(24.0)</w:t>
            </w:r>
          </w:p>
          <w:p w14:paraId="21773B7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469"/>
            </w:pPr>
            <w:r w:rsidRPr="00C7016C">
              <w:t>28/76(36.8)</w:t>
            </w:r>
          </w:p>
        </w:tc>
      </w:tr>
      <w:tr w:rsidR="005B7CAE" w:rsidRPr="00C7016C" w14:paraId="0B52D1A4" w14:textId="77777777" w:rsidTr="00BD701D">
        <w:trPr>
          <w:trHeight w:val="284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32A09A3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2" w:line="263" w:lineRule="exact"/>
              <w:ind w:left="122"/>
              <w:rPr>
                <w:position w:val="2"/>
              </w:rPr>
            </w:pPr>
            <w:r w:rsidRPr="00C7016C">
              <w:rPr>
                <w:position w:val="2"/>
              </w:rPr>
              <w:t>LDH</w:t>
            </w:r>
            <w:r w:rsidRPr="00C7016C">
              <w:rPr>
                <w:sz w:val="16"/>
                <w:szCs w:val="16"/>
              </w:rPr>
              <w:t xml:space="preserve">0W </w:t>
            </w:r>
            <w:r w:rsidRPr="00C7016C">
              <w:rPr>
                <w:position w:val="2"/>
              </w:rPr>
              <w:t>(U/L)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56491342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4C74BEA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108"/>
            </w:pPr>
            <w:r w:rsidRPr="00C7016C">
              <w:t>0.083</w:t>
            </w:r>
          </w:p>
        </w:tc>
        <w:tc>
          <w:tcPr>
            <w:tcW w:w="1484" w:type="dxa"/>
            <w:tcBorders>
              <w:top w:val="none" w:sz="6" w:space="0" w:color="auto"/>
              <w:bottom w:val="none" w:sz="6" w:space="0" w:color="auto"/>
            </w:tcBorders>
          </w:tcPr>
          <w:p w14:paraId="35C36AFB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  <w:bottom w:val="none" w:sz="6" w:space="0" w:color="auto"/>
            </w:tcBorders>
          </w:tcPr>
          <w:p w14:paraId="24EBF64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61" w:lineRule="exact"/>
              <w:ind w:left="540"/>
            </w:pPr>
            <w:r w:rsidRPr="00C7016C">
              <w:t>0.935</w:t>
            </w:r>
          </w:p>
        </w:tc>
      </w:tr>
      <w:tr w:rsidR="005B7CAE" w:rsidRPr="00C7016C" w14:paraId="6CFF5CF1" w14:textId="77777777" w:rsidTr="00BD701D">
        <w:trPr>
          <w:trHeight w:val="613"/>
        </w:trPr>
        <w:tc>
          <w:tcPr>
            <w:tcW w:w="2988" w:type="dxa"/>
            <w:tcBorders>
              <w:top w:val="none" w:sz="6" w:space="0" w:color="auto"/>
              <w:bottom w:val="none" w:sz="6" w:space="0" w:color="auto"/>
            </w:tcBorders>
          </w:tcPr>
          <w:p w14:paraId="034132A2" w14:textId="77777777" w:rsidR="005B7CAE" w:rsidRDefault="005B7CAE" w:rsidP="00BD701D">
            <w:pPr>
              <w:pStyle w:val="TableParagraph"/>
              <w:kinsoku w:val="0"/>
              <w:overflowPunct w:val="0"/>
              <w:spacing w:line="302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＞</w:t>
            </w:r>
            <w:r>
              <w:rPr>
                <w:rFonts w:eastAsia="宋体"/>
              </w:rPr>
              <w:t>245</w:t>
            </w:r>
          </w:p>
          <w:p w14:paraId="77403136" w14:textId="77777777" w:rsidR="005B7CAE" w:rsidRDefault="005B7CAE" w:rsidP="00BD701D">
            <w:pPr>
              <w:pStyle w:val="TableParagraph"/>
              <w:kinsoku w:val="0"/>
              <w:overflowPunct w:val="0"/>
              <w:spacing w:before="4" w:line="285" w:lineRule="exact"/>
              <w:ind w:left="242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≤</w:t>
            </w:r>
            <w:r>
              <w:rPr>
                <w:rFonts w:eastAsia="宋体"/>
              </w:rPr>
              <w:t>245</w:t>
            </w:r>
          </w:p>
        </w:tc>
        <w:tc>
          <w:tcPr>
            <w:tcW w:w="1583" w:type="dxa"/>
            <w:tcBorders>
              <w:top w:val="none" w:sz="6" w:space="0" w:color="auto"/>
              <w:bottom w:val="none" w:sz="6" w:space="0" w:color="auto"/>
            </w:tcBorders>
          </w:tcPr>
          <w:p w14:paraId="74ACE5F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08"/>
            </w:pPr>
            <w:r w:rsidRPr="00C7016C">
              <w:t>34/42(81.0)</w:t>
            </w:r>
          </w:p>
          <w:p w14:paraId="27FE531A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08"/>
            </w:pPr>
            <w:r w:rsidRPr="00C7016C">
              <w:t>100/109(91.7)</w:t>
            </w:r>
          </w:p>
        </w:tc>
        <w:tc>
          <w:tcPr>
            <w:tcW w:w="1334" w:type="dxa"/>
            <w:tcBorders>
              <w:top w:val="none" w:sz="6" w:space="0" w:color="auto"/>
              <w:bottom w:val="none" w:sz="6" w:space="0" w:color="auto"/>
            </w:tcBorders>
          </w:tcPr>
          <w:p w14:paraId="62C6CC5B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35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F9ABCE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469"/>
            </w:pPr>
            <w:r w:rsidRPr="00C7016C">
              <w:t>13/42(31.0)</w:t>
            </w:r>
          </w:p>
          <w:p w14:paraId="6E4F2305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469"/>
            </w:pPr>
            <w:r w:rsidRPr="00C7016C">
              <w:t>33/109(30.3)</w:t>
            </w:r>
          </w:p>
        </w:tc>
      </w:tr>
      <w:tr w:rsidR="005B7CAE" w:rsidRPr="00C7016C" w14:paraId="3557148E" w14:textId="77777777" w:rsidTr="00BD701D">
        <w:trPr>
          <w:trHeight w:val="279"/>
        </w:trPr>
        <w:tc>
          <w:tcPr>
            <w:tcW w:w="2988" w:type="dxa"/>
            <w:tcBorders>
              <w:top w:val="none" w:sz="6" w:space="0" w:color="auto"/>
            </w:tcBorders>
          </w:tcPr>
          <w:p w14:paraId="1B9D799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2" w:line="257" w:lineRule="exact"/>
              <w:ind w:left="122"/>
              <w:rPr>
                <w:position w:val="2"/>
              </w:rPr>
            </w:pPr>
            <w:r w:rsidRPr="00C7016C">
              <w:rPr>
                <w:position w:val="2"/>
              </w:rPr>
              <w:t>CEA</w:t>
            </w:r>
            <w:r w:rsidRPr="00C7016C">
              <w:rPr>
                <w:sz w:val="16"/>
                <w:szCs w:val="16"/>
              </w:rPr>
              <w:t xml:space="preserve">0W </w:t>
            </w:r>
            <w:r w:rsidRPr="00C7016C">
              <w:rPr>
                <w:position w:val="2"/>
              </w:rPr>
              <w:t>(ng/ml)</w:t>
            </w:r>
          </w:p>
        </w:tc>
        <w:tc>
          <w:tcPr>
            <w:tcW w:w="1583" w:type="dxa"/>
            <w:tcBorders>
              <w:top w:val="none" w:sz="6" w:space="0" w:color="auto"/>
            </w:tcBorders>
          </w:tcPr>
          <w:p w14:paraId="034D9ECC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one" w:sz="6" w:space="0" w:color="auto"/>
            </w:tcBorders>
          </w:tcPr>
          <w:p w14:paraId="53D1B9E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57" w:lineRule="exact"/>
              <w:ind w:left="108"/>
            </w:pPr>
            <w:r w:rsidRPr="00C7016C">
              <w:t>0.621</w:t>
            </w:r>
          </w:p>
        </w:tc>
        <w:tc>
          <w:tcPr>
            <w:tcW w:w="1484" w:type="dxa"/>
            <w:tcBorders>
              <w:top w:val="none" w:sz="6" w:space="0" w:color="auto"/>
            </w:tcBorders>
          </w:tcPr>
          <w:p w14:paraId="2FD57277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one" w:sz="6" w:space="0" w:color="auto"/>
            </w:tcBorders>
          </w:tcPr>
          <w:p w14:paraId="2A951BC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 w:line="257" w:lineRule="exact"/>
              <w:ind w:left="540"/>
            </w:pPr>
            <w:r w:rsidRPr="00C7016C">
              <w:t>0.093</w:t>
            </w:r>
          </w:p>
        </w:tc>
      </w:tr>
    </w:tbl>
    <w:p w14:paraId="68BC6A11" w14:textId="77777777" w:rsidR="005B7CAE" w:rsidRDefault="005B7CAE" w:rsidP="005B7CAE">
      <w:pPr>
        <w:rPr>
          <w:sz w:val="18"/>
          <w:szCs w:val="18"/>
        </w:rPr>
        <w:sectPr w:rsidR="005B7CAE">
          <w:pgSz w:w="11910" w:h="16840"/>
          <w:pgMar w:top="460" w:right="700" w:bottom="280" w:left="540" w:header="720" w:footer="720" w:gutter="0"/>
          <w:cols w:space="720"/>
          <w:noEndnote/>
        </w:sectPr>
      </w:pPr>
    </w:p>
    <w:tbl>
      <w:tblPr>
        <w:tblW w:w="0" w:type="auto"/>
        <w:tblInd w:w="11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517"/>
        <w:gridCol w:w="1287"/>
        <w:gridCol w:w="1979"/>
        <w:gridCol w:w="1677"/>
      </w:tblGrid>
      <w:tr w:rsidR="005B7CAE" w:rsidRPr="00C7016C" w14:paraId="55490977" w14:textId="77777777" w:rsidTr="00BD701D">
        <w:trPr>
          <w:trHeight w:val="317"/>
        </w:trPr>
        <w:tc>
          <w:tcPr>
            <w:tcW w:w="1988" w:type="dxa"/>
          </w:tcPr>
          <w:p w14:paraId="1F3E1041" w14:textId="77777777" w:rsidR="005B7CAE" w:rsidRDefault="005B7CAE" w:rsidP="00BD701D">
            <w:pPr>
              <w:pStyle w:val="TableParagraph"/>
              <w:kinsoku w:val="0"/>
              <w:overflowPunct w:val="0"/>
              <w:spacing w:before="2" w:line="295" w:lineRule="exact"/>
              <w:ind w:left="235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lastRenderedPageBreak/>
              <w:t>＞</w:t>
            </w:r>
            <w:r>
              <w:rPr>
                <w:rFonts w:eastAsia="宋体"/>
              </w:rPr>
              <w:t>3.5</w:t>
            </w:r>
          </w:p>
        </w:tc>
        <w:tc>
          <w:tcPr>
            <w:tcW w:w="2517" w:type="dxa"/>
          </w:tcPr>
          <w:p w14:paraId="2B024DA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5" w:lineRule="exact"/>
              <w:ind w:right="287"/>
              <w:jc w:val="right"/>
            </w:pPr>
            <w:r w:rsidRPr="00C7016C">
              <w:t>87/97(89.7)</w:t>
            </w:r>
          </w:p>
        </w:tc>
        <w:tc>
          <w:tcPr>
            <w:tcW w:w="1287" w:type="dxa"/>
          </w:tcPr>
          <w:p w14:paraId="126ACB4E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</w:tcPr>
          <w:p w14:paraId="2606209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5" w:lineRule="exact"/>
              <w:ind w:right="275"/>
              <w:jc w:val="right"/>
            </w:pPr>
            <w:r w:rsidRPr="00C7016C">
              <w:t>25/97(25.8)</w:t>
            </w:r>
          </w:p>
        </w:tc>
        <w:tc>
          <w:tcPr>
            <w:tcW w:w="1677" w:type="dxa"/>
            <w:vMerge w:val="restart"/>
          </w:tcPr>
          <w:p w14:paraId="541C1B1D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</w:tr>
      <w:tr w:rsidR="005B7CAE" w:rsidRPr="00C7016C" w14:paraId="77FF8B80" w14:textId="77777777" w:rsidTr="00BD701D">
        <w:trPr>
          <w:trHeight w:val="302"/>
        </w:trPr>
        <w:tc>
          <w:tcPr>
            <w:tcW w:w="1988" w:type="dxa"/>
          </w:tcPr>
          <w:p w14:paraId="6DFD0394" w14:textId="77777777" w:rsidR="005B7CAE" w:rsidRDefault="005B7CAE" w:rsidP="00BD701D">
            <w:pPr>
              <w:pStyle w:val="TableParagraph"/>
              <w:kinsoku w:val="0"/>
              <w:overflowPunct w:val="0"/>
              <w:spacing w:line="282" w:lineRule="exact"/>
              <w:ind w:left="235"/>
              <w:rPr>
                <w:rFonts w:eastAsia="宋体"/>
              </w:rPr>
            </w:pPr>
            <w:r>
              <w:rPr>
                <w:rFonts w:ascii="宋体" w:eastAsia="宋体" w:cs="宋体" w:hint="eastAsia"/>
              </w:rPr>
              <w:t>≤</w:t>
            </w:r>
            <w:r>
              <w:rPr>
                <w:rFonts w:eastAsia="宋体"/>
              </w:rPr>
              <w:t>3.5</w:t>
            </w:r>
          </w:p>
        </w:tc>
        <w:tc>
          <w:tcPr>
            <w:tcW w:w="2517" w:type="dxa"/>
          </w:tcPr>
          <w:p w14:paraId="1E7F2D7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34" w:lineRule="exact"/>
              <w:ind w:right="287"/>
              <w:jc w:val="right"/>
            </w:pPr>
            <w:r w:rsidRPr="00C7016C">
              <w:t>47/54(87.0)</w:t>
            </w:r>
          </w:p>
        </w:tc>
        <w:tc>
          <w:tcPr>
            <w:tcW w:w="1287" w:type="dxa"/>
          </w:tcPr>
          <w:p w14:paraId="0FFF1874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</w:tcPr>
          <w:p w14:paraId="4859C9C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34" w:lineRule="exact"/>
              <w:ind w:right="275"/>
              <w:jc w:val="right"/>
            </w:pPr>
            <w:r w:rsidRPr="00C7016C">
              <w:t>21/54(38.9)</w:t>
            </w:r>
          </w:p>
        </w:tc>
        <w:tc>
          <w:tcPr>
            <w:tcW w:w="1677" w:type="dxa"/>
            <w:vMerge/>
          </w:tcPr>
          <w:p w14:paraId="379F5EAB" w14:textId="77777777" w:rsidR="005B7CAE" w:rsidRPr="00C7016C" w:rsidRDefault="005B7CAE" w:rsidP="00BD701D">
            <w:pPr>
              <w:rPr>
                <w:sz w:val="2"/>
                <w:szCs w:val="2"/>
              </w:rPr>
            </w:pPr>
          </w:p>
        </w:tc>
      </w:tr>
      <w:tr w:rsidR="005B7CAE" w:rsidRPr="00C7016C" w14:paraId="7B4F9F7B" w14:textId="77777777" w:rsidTr="00BD701D">
        <w:trPr>
          <w:trHeight w:val="284"/>
        </w:trPr>
        <w:tc>
          <w:tcPr>
            <w:tcW w:w="1988" w:type="dxa"/>
            <w:vMerge w:val="restart"/>
          </w:tcPr>
          <w:p w14:paraId="2197B559" w14:textId="77777777" w:rsidR="005B7CAE" w:rsidRPr="00880D3F" w:rsidRDefault="005B7CAE" w:rsidP="00BD701D">
            <w:pPr>
              <w:pStyle w:val="TableParagraph"/>
              <w:kinsoku w:val="0"/>
              <w:overflowPunct w:val="0"/>
              <w:spacing w:line="282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NSE</w:t>
            </w:r>
            <w:r w:rsidRPr="00880D3F">
              <w:rPr>
                <w:rFonts w:eastAsia="宋体"/>
                <w:vertAlign w:val="subscript"/>
              </w:rPr>
              <w:t>0w</w:t>
            </w:r>
            <w:r>
              <w:rPr>
                <w:rFonts w:eastAsia="宋体"/>
                <w:vertAlign w:val="subscript"/>
              </w:rPr>
              <w:t xml:space="preserve"> </w:t>
            </w:r>
            <w:r>
              <w:rPr>
                <w:rFonts w:eastAsia="宋体"/>
              </w:rPr>
              <w:t>(ng/ml)</w:t>
            </w:r>
          </w:p>
          <w:p w14:paraId="5414D6F2" w14:textId="77777777" w:rsidR="005B7CAE" w:rsidRPr="00880D3F" w:rsidRDefault="005B7CAE" w:rsidP="00BD701D">
            <w:pPr>
              <w:pStyle w:val="TableParagraph"/>
              <w:kinsoku w:val="0"/>
              <w:overflowPunct w:val="0"/>
              <w:spacing w:line="282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   </w:t>
            </w:r>
            <w:r w:rsidRPr="00880D3F">
              <w:rPr>
                <w:rFonts w:eastAsia="宋体" w:hint="eastAsia"/>
              </w:rPr>
              <w:t>＞</w:t>
            </w:r>
            <w:r w:rsidRPr="00880D3F">
              <w:rPr>
                <w:rFonts w:eastAsia="宋体" w:hint="eastAsia"/>
              </w:rPr>
              <w:t>16.3</w:t>
            </w:r>
          </w:p>
          <w:p w14:paraId="3E86E3EC" w14:textId="77777777" w:rsidR="005B7CAE" w:rsidRPr="00880D3F" w:rsidRDefault="005B7CAE" w:rsidP="00BD701D">
            <w:pPr>
              <w:pStyle w:val="TableParagraph"/>
              <w:kinsoku w:val="0"/>
              <w:overflowPunct w:val="0"/>
              <w:spacing w:line="282" w:lineRule="exact"/>
              <w:ind w:firstLineChars="100" w:firstLine="220"/>
              <w:rPr>
                <w:rFonts w:eastAsia="宋体"/>
              </w:rPr>
            </w:pPr>
            <w:r w:rsidRPr="00880D3F">
              <w:rPr>
                <w:rFonts w:eastAsia="宋体" w:hint="eastAsia"/>
              </w:rPr>
              <w:t>≤</w:t>
            </w:r>
            <w:r w:rsidRPr="00880D3F">
              <w:rPr>
                <w:rFonts w:eastAsia="宋体" w:hint="eastAsia"/>
              </w:rPr>
              <w:t>16.3</w:t>
            </w:r>
          </w:p>
        </w:tc>
        <w:tc>
          <w:tcPr>
            <w:tcW w:w="2517" w:type="dxa"/>
          </w:tcPr>
          <w:p w14:paraId="57E29EB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34" w:lineRule="exact"/>
              <w:ind w:right="287"/>
              <w:jc w:val="right"/>
            </w:pPr>
          </w:p>
        </w:tc>
        <w:tc>
          <w:tcPr>
            <w:tcW w:w="1287" w:type="dxa"/>
            <w:vMerge w:val="restart"/>
          </w:tcPr>
          <w:p w14:paraId="2BEEAA7E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  <w:r w:rsidRPr="00C7016C">
              <w:rPr>
                <w:rFonts w:hint="eastAsia"/>
              </w:rPr>
              <w:t xml:space="preserve"> </w:t>
            </w:r>
            <w:r w:rsidRPr="00C7016C">
              <w:t xml:space="preserve">  0.248</w:t>
            </w:r>
          </w:p>
        </w:tc>
        <w:tc>
          <w:tcPr>
            <w:tcW w:w="1979" w:type="dxa"/>
          </w:tcPr>
          <w:p w14:paraId="7E0F747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34" w:lineRule="exact"/>
              <w:ind w:right="275"/>
              <w:jc w:val="right"/>
            </w:pPr>
          </w:p>
        </w:tc>
        <w:tc>
          <w:tcPr>
            <w:tcW w:w="1677" w:type="dxa"/>
            <w:vMerge w:val="restart"/>
          </w:tcPr>
          <w:p w14:paraId="31F4117C" w14:textId="77777777" w:rsidR="005B7CAE" w:rsidRPr="00C7016C" w:rsidRDefault="005B7CAE" w:rsidP="00BD701D">
            <w:pPr>
              <w:rPr>
                <w:sz w:val="2"/>
                <w:szCs w:val="2"/>
              </w:rPr>
            </w:pPr>
            <w:r w:rsidRPr="00C7016C">
              <w:rPr>
                <w:rFonts w:hint="eastAsia"/>
                <w:sz w:val="2"/>
                <w:szCs w:val="2"/>
              </w:rPr>
              <w:t xml:space="preserve"> </w:t>
            </w:r>
            <w:r w:rsidRPr="00C7016C">
              <w:rPr>
                <w:sz w:val="2"/>
                <w:szCs w:val="2"/>
              </w:rPr>
              <w:t xml:space="preserve">   </w:t>
            </w:r>
            <w:r w:rsidRPr="00C7016C">
              <w:rPr>
                <w:szCs w:val="24"/>
              </w:rPr>
              <w:t xml:space="preserve">  </w:t>
            </w:r>
            <w:r w:rsidRPr="00C7016C">
              <w:t>0.320</w:t>
            </w:r>
          </w:p>
        </w:tc>
      </w:tr>
      <w:tr w:rsidR="005B7CAE" w:rsidRPr="00C7016C" w14:paraId="67566790" w14:textId="77777777" w:rsidTr="00BD701D">
        <w:trPr>
          <w:trHeight w:val="283"/>
        </w:trPr>
        <w:tc>
          <w:tcPr>
            <w:tcW w:w="1988" w:type="dxa"/>
            <w:vMerge/>
          </w:tcPr>
          <w:p w14:paraId="38A61EEE" w14:textId="77777777" w:rsidR="005B7CAE" w:rsidRDefault="005B7CAE" w:rsidP="00BD701D">
            <w:pPr>
              <w:pStyle w:val="TableParagraph"/>
              <w:kinsoku w:val="0"/>
              <w:overflowPunct w:val="0"/>
              <w:spacing w:line="282" w:lineRule="exact"/>
              <w:rPr>
                <w:rFonts w:eastAsia="宋体"/>
              </w:rPr>
            </w:pPr>
          </w:p>
        </w:tc>
        <w:tc>
          <w:tcPr>
            <w:tcW w:w="2517" w:type="dxa"/>
          </w:tcPr>
          <w:p w14:paraId="57FD640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34" w:lineRule="exact"/>
              <w:ind w:right="287"/>
              <w:jc w:val="right"/>
            </w:pPr>
            <w:r w:rsidRPr="00C7016C">
              <w:t>64/72(88.9)</w:t>
            </w:r>
          </w:p>
        </w:tc>
        <w:tc>
          <w:tcPr>
            <w:tcW w:w="1287" w:type="dxa"/>
            <w:vMerge/>
          </w:tcPr>
          <w:p w14:paraId="2EF26882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</w:tcPr>
          <w:p w14:paraId="24A01D8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34" w:lineRule="exact"/>
              <w:ind w:right="275"/>
              <w:jc w:val="right"/>
            </w:pPr>
            <w:r w:rsidRPr="00C7016C">
              <w:rPr>
                <w:rFonts w:hint="eastAsia"/>
              </w:rPr>
              <w:t>2</w:t>
            </w:r>
            <w:r w:rsidRPr="00C7016C">
              <w:t>4/72(33.3)</w:t>
            </w:r>
          </w:p>
        </w:tc>
        <w:tc>
          <w:tcPr>
            <w:tcW w:w="1677" w:type="dxa"/>
            <w:vMerge/>
          </w:tcPr>
          <w:p w14:paraId="2D992613" w14:textId="77777777" w:rsidR="005B7CAE" w:rsidRPr="00C7016C" w:rsidRDefault="005B7CAE" w:rsidP="00BD701D">
            <w:pPr>
              <w:rPr>
                <w:sz w:val="2"/>
                <w:szCs w:val="2"/>
              </w:rPr>
            </w:pPr>
          </w:p>
        </w:tc>
      </w:tr>
      <w:tr w:rsidR="005B7CAE" w:rsidRPr="00C7016C" w14:paraId="4EA6171B" w14:textId="77777777" w:rsidTr="00BD701D">
        <w:trPr>
          <w:trHeight w:val="283"/>
        </w:trPr>
        <w:tc>
          <w:tcPr>
            <w:tcW w:w="1988" w:type="dxa"/>
            <w:vMerge/>
          </w:tcPr>
          <w:p w14:paraId="78CFF625" w14:textId="77777777" w:rsidR="005B7CAE" w:rsidRDefault="005B7CAE" w:rsidP="00BD701D">
            <w:pPr>
              <w:pStyle w:val="TableParagraph"/>
              <w:kinsoku w:val="0"/>
              <w:overflowPunct w:val="0"/>
              <w:spacing w:line="282" w:lineRule="exact"/>
              <w:rPr>
                <w:rFonts w:eastAsia="宋体"/>
              </w:rPr>
            </w:pPr>
          </w:p>
        </w:tc>
        <w:tc>
          <w:tcPr>
            <w:tcW w:w="2517" w:type="dxa"/>
          </w:tcPr>
          <w:p w14:paraId="5D22ECC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34" w:lineRule="exact"/>
              <w:ind w:right="287"/>
              <w:jc w:val="right"/>
            </w:pPr>
            <w:r w:rsidRPr="00C7016C">
              <w:t>66/70(94.3)</w:t>
            </w:r>
          </w:p>
        </w:tc>
        <w:tc>
          <w:tcPr>
            <w:tcW w:w="1287" w:type="dxa"/>
            <w:vMerge/>
          </w:tcPr>
          <w:p w14:paraId="1FE2EB42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</w:tc>
        <w:tc>
          <w:tcPr>
            <w:tcW w:w="1979" w:type="dxa"/>
          </w:tcPr>
          <w:p w14:paraId="5F680FB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34" w:lineRule="exact"/>
              <w:ind w:right="275"/>
              <w:jc w:val="right"/>
            </w:pPr>
            <w:r w:rsidRPr="00C7016C">
              <w:rPr>
                <w:rFonts w:hint="eastAsia"/>
              </w:rPr>
              <w:t>1</w:t>
            </w:r>
            <w:r w:rsidRPr="00C7016C">
              <w:t>8/70(25.7)</w:t>
            </w:r>
          </w:p>
        </w:tc>
        <w:tc>
          <w:tcPr>
            <w:tcW w:w="1677" w:type="dxa"/>
            <w:vMerge/>
          </w:tcPr>
          <w:p w14:paraId="362F463B" w14:textId="77777777" w:rsidR="005B7CAE" w:rsidRPr="00C7016C" w:rsidRDefault="005B7CAE" w:rsidP="00BD701D">
            <w:pPr>
              <w:rPr>
                <w:sz w:val="2"/>
                <w:szCs w:val="2"/>
              </w:rPr>
            </w:pPr>
          </w:p>
        </w:tc>
      </w:tr>
      <w:tr w:rsidR="005B7CAE" w:rsidRPr="00C7016C" w14:paraId="24B7FD6D" w14:textId="77777777" w:rsidTr="00BD701D">
        <w:trPr>
          <w:trHeight w:val="560"/>
        </w:trPr>
        <w:tc>
          <w:tcPr>
            <w:tcW w:w="1988" w:type="dxa"/>
          </w:tcPr>
          <w:p w14:paraId="54D1403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2" w:line="278" w:lineRule="exact"/>
              <w:ind w:left="97" w:right="1174"/>
              <w:jc w:val="center"/>
              <w:rPr>
                <w:sz w:val="16"/>
                <w:szCs w:val="16"/>
              </w:rPr>
            </w:pPr>
            <w:r w:rsidRPr="00C7016C">
              <w:rPr>
                <w:position w:val="2"/>
              </w:rPr>
              <w:t>NLR</w:t>
            </w:r>
            <w:r w:rsidRPr="00C7016C">
              <w:rPr>
                <w:sz w:val="16"/>
                <w:szCs w:val="16"/>
              </w:rPr>
              <w:t>6w</w:t>
            </w:r>
          </w:p>
          <w:p w14:paraId="7A98B2C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0" w:lineRule="exact"/>
              <w:ind w:left="97" w:right="1319"/>
              <w:jc w:val="center"/>
            </w:pPr>
            <w:r w:rsidRPr="00C7016C">
              <w:t>Up</w:t>
            </w:r>
          </w:p>
        </w:tc>
        <w:tc>
          <w:tcPr>
            <w:tcW w:w="2517" w:type="dxa"/>
          </w:tcPr>
          <w:p w14:paraId="4F0E61D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/>
            </w:pPr>
          </w:p>
          <w:p w14:paraId="75CD4DB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right="287"/>
              <w:jc w:val="right"/>
            </w:pPr>
            <w:r w:rsidRPr="00C7016C">
              <w:t>65/77(84.4)</w:t>
            </w:r>
          </w:p>
        </w:tc>
        <w:tc>
          <w:tcPr>
            <w:tcW w:w="1287" w:type="dxa"/>
          </w:tcPr>
          <w:p w14:paraId="602AB3E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/>
              <w:ind w:left="167"/>
            </w:pPr>
            <w:r w:rsidRPr="00C7016C">
              <w:t>0.086</w:t>
            </w:r>
          </w:p>
        </w:tc>
        <w:tc>
          <w:tcPr>
            <w:tcW w:w="1979" w:type="dxa"/>
          </w:tcPr>
          <w:p w14:paraId="61438F4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/>
            </w:pPr>
          </w:p>
          <w:p w14:paraId="77DCC77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right="275"/>
              <w:jc w:val="right"/>
            </w:pPr>
            <w:r w:rsidRPr="00C7016C">
              <w:t>15/77(19.5)</w:t>
            </w:r>
          </w:p>
        </w:tc>
        <w:tc>
          <w:tcPr>
            <w:tcW w:w="1677" w:type="dxa"/>
          </w:tcPr>
          <w:p w14:paraId="6BDD52A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"/>
              <w:ind w:left="151"/>
            </w:pPr>
            <w:r w:rsidRPr="00C7016C">
              <w:t>0.003</w:t>
            </w:r>
          </w:p>
        </w:tc>
      </w:tr>
      <w:tr w:rsidR="005B7CAE" w:rsidRPr="00C7016C" w14:paraId="196D404A" w14:textId="77777777" w:rsidTr="00BD701D">
        <w:trPr>
          <w:trHeight w:val="825"/>
        </w:trPr>
        <w:tc>
          <w:tcPr>
            <w:tcW w:w="1988" w:type="dxa"/>
          </w:tcPr>
          <w:p w14:paraId="4181F9B7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146" w:firstLine="120"/>
              <w:rPr>
                <w:sz w:val="16"/>
                <w:szCs w:val="16"/>
              </w:rPr>
            </w:pPr>
            <w:r w:rsidRPr="00C7016C">
              <w:t xml:space="preserve">Down </w:t>
            </w:r>
            <w:r w:rsidRPr="00C7016C">
              <w:rPr>
                <w:position w:val="2"/>
              </w:rPr>
              <w:t>PLR</w:t>
            </w:r>
            <w:r w:rsidRPr="00C7016C">
              <w:rPr>
                <w:sz w:val="16"/>
                <w:szCs w:val="16"/>
              </w:rPr>
              <w:t>6w</w:t>
            </w:r>
          </w:p>
          <w:p w14:paraId="3255C76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6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1FCED5A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69/74(93.2)</w:t>
            </w:r>
          </w:p>
          <w:p w14:paraId="5CE6C2A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14:paraId="1BC664D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61/71(85.9)</w:t>
            </w:r>
          </w:p>
        </w:tc>
        <w:tc>
          <w:tcPr>
            <w:tcW w:w="1287" w:type="dxa"/>
          </w:tcPr>
          <w:p w14:paraId="2517AD0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1856ABDC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0.301</w:t>
            </w:r>
          </w:p>
        </w:tc>
        <w:tc>
          <w:tcPr>
            <w:tcW w:w="1979" w:type="dxa"/>
          </w:tcPr>
          <w:p w14:paraId="500BCC1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31/74(41.9)</w:t>
            </w:r>
          </w:p>
          <w:p w14:paraId="6FA299C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14:paraId="4BF1487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20/71(28.2)</w:t>
            </w:r>
          </w:p>
        </w:tc>
        <w:tc>
          <w:tcPr>
            <w:tcW w:w="1677" w:type="dxa"/>
          </w:tcPr>
          <w:p w14:paraId="0275144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6096EF75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0.564</w:t>
            </w:r>
          </w:p>
        </w:tc>
      </w:tr>
      <w:tr w:rsidR="005B7CAE" w:rsidRPr="00C7016C" w14:paraId="02D174CA" w14:textId="77777777" w:rsidTr="00BD701D">
        <w:trPr>
          <w:trHeight w:val="827"/>
        </w:trPr>
        <w:tc>
          <w:tcPr>
            <w:tcW w:w="1988" w:type="dxa"/>
          </w:tcPr>
          <w:p w14:paraId="0F4806C4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146" w:firstLine="120"/>
              <w:rPr>
                <w:sz w:val="16"/>
                <w:szCs w:val="16"/>
              </w:rPr>
            </w:pPr>
            <w:r w:rsidRPr="00C7016C">
              <w:t xml:space="preserve">Down </w:t>
            </w:r>
            <w:r w:rsidRPr="00C7016C">
              <w:rPr>
                <w:position w:val="2"/>
              </w:rPr>
              <w:t>PAR</w:t>
            </w:r>
            <w:r w:rsidRPr="00C7016C">
              <w:rPr>
                <w:sz w:val="16"/>
                <w:szCs w:val="16"/>
              </w:rPr>
              <w:t>6w</w:t>
            </w:r>
          </w:p>
          <w:p w14:paraId="5938434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8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5E7AC05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73/80(91.3)</w:t>
            </w:r>
          </w:p>
          <w:p w14:paraId="263245AB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71A7661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58/67(86.6)</w:t>
            </w:r>
          </w:p>
        </w:tc>
        <w:tc>
          <w:tcPr>
            <w:tcW w:w="1287" w:type="dxa"/>
          </w:tcPr>
          <w:p w14:paraId="3E0490A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502EC3F7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0.450</w:t>
            </w:r>
          </w:p>
        </w:tc>
        <w:tc>
          <w:tcPr>
            <w:tcW w:w="1979" w:type="dxa"/>
          </w:tcPr>
          <w:p w14:paraId="2D20BE6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26/80(32.5)</w:t>
            </w:r>
          </w:p>
          <w:p w14:paraId="5C34A5C5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6AC84D2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17/67(25.4)</w:t>
            </w:r>
          </w:p>
        </w:tc>
        <w:tc>
          <w:tcPr>
            <w:tcW w:w="1677" w:type="dxa"/>
          </w:tcPr>
          <w:p w14:paraId="2145DD0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103CAD4F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0.225</w:t>
            </w:r>
          </w:p>
        </w:tc>
      </w:tr>
      <w:tr w:rsidR="005B7CAE" w:rsidRPr="00C7016C" w14:paraId="1549E5D1" w14:textId="77777777" w:rsidTr="00BD701D">
        <w:trPr>
          <w:trHeight w:val="828"/>
        </w:trPr>
        <w:tc>
          <w:tcPr>
            <w:tcW w:w="1988" w:type="dxa"/>
          </w:tcPr>
          <w:p w14:paraId="387A08A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235"/>
            </w:pPr>
            <w:r w:rsidRPr="00C7016C">
              <w:t>Down</w:t>
            </w:r>
          </w:p>
          <w:p w14:paraId="3CA9D88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9" w:line="256" w:lineRule="exact"/>
              <w:ind w:left="235" w:right="1364" w:hanging="120"/>
            </w:pPr>
            <w:r w:rsidRPr="00C7016C">
              <w:rPr>
                <w:position w:val="2"/>
              </w:rPr>
              <w:t>Hb</w:t>
            </w:r>
            <w:r w:rsidRPr="00C7016C">
              <w:rPr>
                <w:sz w:val="16"/>
                <w:szCs w:val="16"/>
              </w:rPr>
              <w:t xml:space="preserve">6w </w:t>
            </w:r>
            <w:r w:rsidRPr="00C7016C">
              <w:t>Up</w:t>
            </w:r>
          </w:p>
        </w:tc>
        <w:tc>
          <w:tcPr>
            <w:tcW w:w="2517" w:type="dxa"/>
          </w:tcPr>
          <w:p w14:paraId="5AE40A2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76/84(90.5)</w:t>
            </w:r>
          </w:p>
          <w:p w14:paraId="79658D72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47F0391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46/49(93.9)</w:t>
            </w:r>
          </w:p>
        </w:tc>
        <w:tc>
          <w:tcPr>
            <w:tcW w:w="1287" w:type="dxa"/>
          </w:tcPr>
          <w:p w14:paraId="65CBDA2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587E364F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0.166</w:t>
            </w:r>
          </w:p>
        </w:tc>
        <w:tc>
          <w:tcPr>
            <w:tcW w:w="1979" w:type="dxa"/>
          </w:tcPr>
          <w:p w14:paraId="7CF64A7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29/84(34.5)</w:t>
            </w:r>
          </w:p>
          <w:p w14:paraId="0F949CCB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534FC32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17/49(34.7)</w:t>
            </w:r>
          </w:p>
        </w:tc>
        <w:tc>
          <w:tcPr>
            <w:tcW w:w="1677" w:type="dxa"/>
          </w:tcPr>
          <w:p w14:paraId="35FDA95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5F56856F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0.434</w:t>
            </w:r>
          </w:p>
        </w:tc>
      </w:tr>
      <w:tr w:rsidR="005B7CAE" w:rsidRPr="00C7016C" w14:paraId="33052379" w14:textId="77777777" w:rsidTr="00BD701D">
        <w:trPr>
          <w:trHeight w:val="827"/>
        </w:trPr>
        <w:tc>
          <w:tcPr>
            <w:tcW w:w="1988" w:type="dxa"/>
          </w:tcPr>
          <w:p w14:paraId="4F024B61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146" w:firstLine="120"/>
              <w:rPr>
                <w:sz w:val="16"/>
                <w:szCs w:val="16"/>
              </w:rPr>
            </w:pPr>
            <w:r w:rsidRPr="00C7016C">
              <w:t xml:space="preserve">Down </w:t>
            </w:r>
            <w:r w:rsidRPr="00C7016C">
              <w:rPr>
                <w:position w:val="2"/>
              </w:rPr>
              <w:t>LDH</w:t>
            </w:r>
            <w:r w:rsidRPr="00C7016C">
              <w:rPr>
                <w:sz w:val="16"/>
                <w:szCs w:val="16"/>
              </w:rPr>
              <w:t>6w</w:t>
            </w:r>
          </w:p>
          <w:p w14:paraId="2612BAE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8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3798202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88/102(86.3)</w:t>
            </w:r>
          </w:p>
          <w:p w14:paraId="62157C62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6D51B91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68/81(84.0)</w:t>
            </w:r>
          </w:p>
        </w:tc>
        <w:tc>
          <w:tcPr>
            <w:tcW w:w="1287" w:type="dxa"/>
          </w:tcPr>
          <w:p w14:paraId="7337242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257333B4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0.045</w:t>
            </w:r>
          </w:p>
        </w:tc>
        <w:tc>
          <w:tcPr>
            <w:tcW w:w="1979" w:type="dxa"/>
          </w:tcPr>
          <w:p w14:paraId="4F934F2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29/102(28.4)</w:t>
            </w:r>
          </w:p>
          <w:p w14:paraId="614FEE3E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5273BC6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20/81(24.7)</w:t>
            </w:r>
          </w:p>
        </w:tc>
        <w:tc>
          <w:tcPr>
            <w:tcW w:w="1677" w:type="dxa"/>
          </w:tcPr>
          <w:p w14:paraId="3D0EB8B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78D23340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0.097</w:t>
            </w:r>
          </w:p>
        </w:tc>
      </w:tr>
      <w:tr w:rsidR="005B7CAE" w:rsidRPr="00C7016C" w14:paraId="7545FDF9" w14:textId="77777777" w:rsidTr="00BD701D">
        <w:trPr>
          <w:trHeight w:val="827"/>
        </w:trPr>
        <w:tc>
          <w:tcPr>
            <w:tcW w:w="1988" w:type="dxa"/>
          </w:tcPr>
          <w:p w14:paraId="672EB14C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146" w:firstLine="120"/>
              <w:rPr>
                <w:sz w:val="16"/>
                <w:szCs w:val="16"/>
              </w:rPr>
            </w:pPr>
            <w:r w:rsidRPr="00C7016C">
              <w:t xml:space="preserve">Down </w:t>
            </w:r>
            <w:r w:rsidRPr="00C7016C">
              <w:rPr>
                <w:position w:val="2"/>
              </w:rPr>
              <w:t>CEA</w:t>
            </w:r>
            <w:r w:rsidRPr="00C7016C">
              <w:rPr>
                <w:sz w:val="16"/>
                <w:szCs w:val="16"/>
              </w:rPr>
              <w:t>6w</w:t>
            </w:r>
          </w:p>
          <w:p w14:paraId="0554905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8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1833453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66/70(94.3)</w:t>
            </w:r>
          </w:p>
          <w:p w14:paraId="01F3D589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025387D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57/70(81.4)</w:t>
            </w:r>
          </w:p>
        </w:tc>
        <w:tc>
          <w:tcPr>
            <w:tcW w:w="1287" w:type="dxa"/>
          </w:tcPr>
          <w:p w14:paraId="599011B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07055215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0.008</w:t>
            </w:r>
          </w:p>
        </w:tc>
        <w:tc>
          <w:tcPr>
            <w:tcW w:w="1979" w:type="dxa"/>
          </w:tcPr>
          <w:p w14:paraId="722A93F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26/70(37.1)</w:t>
            </w:r>
          </w:p>
          <w:p w14:paraId="667B6E9A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284EFE2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17/70(24.3)</w:t>
            </w:r>
          </w:p>
        </w:tc>
        <w:tc>
          <w:tcPr>
            <w:tcW w:w="1677" w:type="dxa"/>
          </w:tcPr>
          <w:p w14:paraId="79793A2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3AB96434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0.125</w:t>
            </w:r>
          </w:p>
        </w:tc>
      </w:tr>
      <w:tr w:rsidR="005B7CAE" w:rsidRPr="00C7016C" w14:paraId="70C963AA" w14:textId="77777777" w:rsidTr="00BD701D">
        <w:trPr>
          <w:trHeight w:val="827"/>
        </w:trPr>
        <w:tc>
          <w:tcPr>
            <w:tcW w:w="1988" w:type="dxa"/>
          </w:tcPr>
          <w:p w14:paraId="192D268E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97" w:firstLine="120"/>
            </w:pPr>
            <w:r w:rsidRPr="00C7016C">
              <w:t>Down</w:t>
            </w:r>
          </w:p>
          <w:p w14:paraId="742CDB0B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97"/>
            </w:pPr>
            <w:r w:rsidRPr="00C7016C">
              <w:t>NSE</w:t>
            </w:r>
            <w:r w:rsidRPr="00C7016C">
              <w:rPr>
                <w:vertAlign w:val="subscript"/>
              </w:rPr>
              <w:t>6w</w:t>
            </w:r>
          </w:p>
          <w:p w14:paraId="77DC1D71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97" w:firstLineChars="50" w:firstLine="110"/>
            </w:pPr>
            <w:r w:rsidRPr="00C7016C">
              <w:t>UP</w:t>
            </w:r>
          </w:p>
          <w:p w14:paraId="52628058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97" w:firstLineChars="50" w:firstLine="110"/>
            </w:pPr>
            <w:r w:rsidRPr="00C7016C">
              <w:t xml:space="preserve">Down </w:t>
            </w:r>
            <w:r w:rsidRPr="00C7016C">
              <w:rPr>
                <w:position w:val="2"/>
              </w:rPr>
              <w:t>NLR</w:t>
            </w:r>
            <w:r w:rsidRPr="00C7016C">
              <w:rPr>
                <w:sz w:val="16"/>
                <w:szCs w:val="16"/>
              </w:rPr>
              <w:t>12w</w:t>
            </w:r>
          </w:p>
          <w:p w14:paraId="27E2996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8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3B2380F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77/81(95.1)</w:t>
            </w:r>
          </w:p>
          <w:p w14:paraId="5C179CA8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10E1CED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rPr>
                <w:rFonts w:hint="eastAsia"/>
              </w:rPr>
              <w:t>4</w:t>
            </w:r>
            <w:r w:rsidRPr="00C7016C">
              <w:t>6/51(90.2)</w:t>
            </w:r>
          </w:p>
          <w:p w14:paraId="41C8167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rPr>
                <w:rFonts w:hint="eastAsia"/>
              </w:rPr>
              <w:t>8</w:t>
            </w:r>
            <w:r w:rsidRPr="00C7016C">
              <w:t>4/91(92.3)</w:t>
            </w:r>
          </w:p>
          <w:p w14:paraId="3411EA2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</w:p>
          <w:p w14:paraId="2E51CD9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67/77(87.0)</w:t>
            </w:r>
          </w:p>
        </w:tc>
        <w:tc>
          <w:tcPr>
            <w:tcW w:w="1287" w:type="dxa"/>
          </w:tcPr>
          <w:p w14:paraId="1348DC6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6D3BCD8E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rPr>
                <w:rFonts w:hint="eastAsia"/>
              </w:rPr>
              <w:t>0</w:t>
            </w:r>
            <w:r w:rsidRPr="00C7016C">
              <w:t>.664</w:t>
            </w:r>
          </w:p>
          <w:p w14:paraId="2A49A9A3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</w:p>
          <w:p w14:paraId="66FD9F2A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</w:p>
          <w:p w14:paraId="2ACFFD01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</w:p>
          <w:p w14:paraId="0829D4AD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0.027</w:t>
            </w:r>
          </w:p>
        </w:tc>
        <w:tc>
          <w:tcPr>
            <w:tcW w:w="1979" w:type="dxa"/>
          </w:tcPr>
          <w:p w14:paraId="47D0A4F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29/81(35.8)</w:t>
            </w:r>
          </w:p>
          <w:p w14:paraId="2A56B4A9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5B5D920E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rPr>
                <w:rFonts w:hint="eastAsia"/>
              </w:rPr>
              <w:t>1</w:t>
            </w:r>
            <w:r w:rsidRPr="00C7016C">
              <w:t>1/51(21.6)</w:t>
            </w:r>
          </w:p>
          <w:p w14:paraId="2FB91B0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rPr>
                <w:rFonts w:hint="eastAsia"/>
              </w:rPr>
              <w:t>3</w:t>
            </w:r>
            <w:r w:rsidRPr="00C7016C">
              <w:t>1/91(34.1)</w:t>
            </w:r>
          </w:p>
          <w:p w14:paraId="6B4F6DC7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</w:p>
          <w:p w14:paraId="6133640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15/77(19.5)</w:t>
            </w:r>
          </w:p>
        </w:tc>
        <w:tc>
          <w:tcPr>
            <w:tcW w:w="1677" w:type="dxa"/>
          </w:tcPr>
          <w:p w14:paraId="0B9045D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38D33965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rPr>
                <w:rFonts w:hint="eastAsia"/>
              </w:rPr>
              <w:t>0</w:t>
            </w:r>
            <w:r w:rsidRPr="00C7016C">
              <w:t>.117</w:t>
            </w:r>
          </w:p>
          <w:p w14:paraId="1A4DA2B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</w:p>
          <w:p w14:paraId="2F6759B0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</w:p>
          <w:p w14:paraId="2AE8724E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</w:p>
          <w:p w14:paraId="3275EB1C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0.001</w:t>
            </w:r>
          </w:p>
        </w:tc>
      </w:tr>
      <w:tr w:rsidR="005B7CAE" w:rsidRPr="00C7016C" w14:paraId="2353B3C9" w14:textId="77777777" w:rsidTr="00BD701D">
        <w:trPr>
          <w:trHeight w:val="827"/>
        </w:trPr>
        <w:tc>
          <w:tcPr>
            <w:tcW w:w="1988" w:type="dxa"/>
          </w:tcPr>
          <w:p w14:paraId="7901706F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137" w:firstLine="120"/>
              <w:rPr>
                <w:sz w:val="16"/>
                <w:szCs w:val="16"/>
              </w:rPr>
            </w:pPr>
            <w:r w:rsidRPr="00C7016C">
              <w:t xml:space="preserve">Down </w:t>
            </w:r>
            <w:r w:rsidRPr="00C7016C">
              <w:rPr>
                <w:position w:val="2"/>
              </w:rPr>
              <w:t>PLR</w:t>
            </w:r>
            <w:r w:rsidRPr="00C7016C">
              <w:rPr>
                <w:sz w:val="16"/>
                <w:szCs w:val="16"/>
              </w:rPr>
              <w:t>12w</w:t>
            </w:r>
          </w:p>
          <w:p w14:paraId="47433FF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8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79F8F6D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67/69(97.1)</w:t>
            </w:r>
          </w:p>
          <w:p w14:paraId="5F234EDB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689507F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62/68(91.2)</w:t>
            </w:r>
          </w:p>
        </w:tc>
        <w:tc>
          <w:tcPr>
            <w:tcW w:w="1287" w:type="dxa"/>
          </w:tcPr>
          <w:p w14:paraId="38606C59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66295A56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0.804</w:t>
            </w:r>
          </w:p>
        </w:tc>
        <w:tc>
          <w:tcPr>
            <w:tcW w:w="1979" w:type="dxa"/>
          </w:tcPr>
          <w:p w14:paraId="5B7B846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31/69(44.9)</w:t>
            </w:r>
          </w:p>
          <w:p w14:paraId="2C948572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58D0283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21/68(30.9)</w:t>
            </w:r>
          </w:p>
        </w:tc>
        <w:tc>
          <w:tcPr>
            <w:tcW w:w="1677" w:type="dxa"/>
          </w:tcPr>
          <w:p w14:paraId="44A318C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3FFB3602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0.879</w:t>
            </w:r>
          </w:p>
        </w:tc>
      </w:tr>
      <w:tr w:rsidR="005B7CAE" w:rsidRPr="00C7016C" w14:paraId="03281474" w14:textId="77777777" w:rsidTr="00BD701D">
        <w:trPr>
          <w:trHeight w:val="828"/>
        </w:trPr>
        <w:tc>
          <w:tcPr>
            <w:tcW w:w="1988" w:type="dxa"/>
          </w:tcPr>
          <w:p w14:paraId="5D24DD51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97" w:firstLine="120"/>
              <w:rPr>
                <w:sz w:val="16"/>
                <w:szCs w:val="16"/>
              </w:rPr>
            </w:pPr>
            <w:r w:rsidRPr="00C7016C">
              <w:t xml:space="preserve">Down </w:t>
            </w:r>
            <w:r w:rsidRPr="00C7016C">
              <w:rPr>
                <w:position w:val="2"/>
              </w:rPr>
              <w:t>PAR</w:t>
            </w:r>
            <w:r w:rsidRPr="00C7016C">
              <w:rPr>
                <w:sz w:val="16"/>
                <w:szCs w:val="16"/>
              </w:rPr>
              <w:t>12w</w:t>
            </w:r>
          </w:p>
          <w:p w14:paraId="6A4B483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8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651E2D0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72/78(92.3)</w:t>
            </w:r>
          </w:p>
          <w:p w14:paraId="51B1AD6C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2856E034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49/55(89.1)</w:t>
            </w:r>
          </w:p>
        </w:tc>
        <w:tc>
          <w:tcPr>
            <w:tcW w:w="1287" w:type="dxa"/>
          </w:tcPr>
          <w:p w14:paraId="27E3E7C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6D40BD86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0.369</w:t>
            </w:r>
          </w:p>
        </w:tc>
        <w:tc>
          <w:tcPr>
            <w:tcW w:w="1979" w:type="dxa"/>
          </w:tcPr>
          <w:p w14:paraId="67B3A8E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25/78(32.1)</w:t>
            </w:r>
          </w:p>
          <w:p w14:paraId="72637D0F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6DC18BCD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17/55(30.9)</w:t>
            </w:r>
          </w:p>
        </w:tc>
        <w:tc>
          <w:tcPr>
            <w:tcW w:w="1677" w:type="dxa"/>
          </w:tcPr>
          <w:p w14:paraId="351D324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3C1EC2E8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0.904</w:t>
            </w:r>
          </w:p>
        </w:tc>
      </w:tr>
      <w:tr w:rsidR="005B7CAE" w:rsidRPr="00C7016C" w14:paraId="3D15DE70" w14:textId="77777777" w:rsidTr="00BD701D">
        <w:trPr>
          <w:trHeight w:val="827"/>
        </w:trPr>
        <w:tc>
          <w:tcPr>
            <w:tcW w:w="1988" w:type="dxa"/>
          </w:tcPr>
          <w:p w14:paraId="33A55546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235"/>
            </w:pPr>
            <w:r w:rsidRPr="00C7016C">
              <w:t>Down</w:t>
            </w:r>
          </w:p>
          <w:p w14:paraId="68C51B9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39" w:line="256" w:lineRule="exact"/>
              <w:ind w:left="235" w:right="1284" w:hanging="120"/>
            </w:pPr>
            <w:r w:rsidRPr="00C7016C">
              <w:rPr>
                <w:position w:val="2"/>
              </w:rPr>
              <w:t>Hb</w:t>
            </w:r>
            <w:r w:rsidRPr="00C7016C">
              <w:rPr>
                <w:sz w:val="16"/>
                <w:szCs w:val="16"/>
              </w:rPr>
              <w:t xml:space="preserve">12w </w:t>
            </w:r>
            <w:r w:rsidRPr="00C7016C">
              <w:t>Up</w:t>
            </w:r>
          </w:p>
        </w:tc>
        <w:tc>
          <w:tcPr>
            <w:tcW w:w="2517" w:type="dxa"/>
          </w:tcPr>
          <w:p w14:paraId="6CBFA94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85/91(93.4)</w:t>
            </w:r>
          </w:p>
          <w:p w14:paraId="0FCDB83A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62213BC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45/48(93.8)</w:t>
            </w:r>
          </w:p>
        </w:tc>
        <w:tc>
          <w:tcPr>
            <w:tcW w:w="1287" w:type="dxa"/>
          </w:tcPr>
          <w:p w14:paraId="2FFFD9D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05544FE5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0.751</w:t>
            </w:r>
          </w:p>
        </w:tc>
        <w:tc>
          <w:tcPr>
            <w:tcW w:w="1979" w:type="dxa"/>
          </w:tcPr>
          <w:p w14:paraId="0E89A84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29/91(31.9)</w:t>
            </w:r>
          </w:p>
          <w:p w14:paraId="520AA74E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7DC1358C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15/48(31.3)</w:t>
            </w:r>
          </w:p>
        </w:tc>
        <w:tc>
          <w:tcPr>
            <w:tcW w:w="1677" w:type="dxa"/>
          </w:tcPr>
          <w:p w14:paraId="7830305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6BBC97BB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0.963</w:t>
            </w:r>
          </w:p>
        </w:tc>
      </w:tr>
      <w:tr w:rsidR="005B7CAE" w:rsidRPr="00C7016C" w14:paraId="5D3DEFB2" w14:textId="77777777" w:rsidTr="00BD701D">
        <w:trPr>
          <w:trHeight w:val="827"/>
        </w:trPr>
        <w:tc>
          <w:tcPr>
            <w:tcW w:w="1988" w:type="dxa"/>
          </w:tcPr>
          <w:p w14:paraId="0B03521F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84" w:firstLine="120"/>
              <w:rPr>
                <w:sz w:val="16"/>
                <w:szCs w:val="16"/>
              </w:rPr>
            </w:pPr>
            <w:r w:rsidRPr="00C7016C">
              <w:t xml:space="preserve">Down </w:t>
            </w:r>
            <w:r w:rsidRPr="00C7016C">
              <w:rPr>
                <w:position w:val="2"/>
              </w:rPr>
              <w:t>LDH</w:t>
            </w:r>
            <w:r w:rsidRPr="00C7016C">
              <w:rPr>
                <w:sz w:val="16"/>
                <w:szCs w:val="16"/>
              </w:rPr>
              <w:t>12w</w:t>
            </w:r>
          </w:p>
          <w:p w14:paraId="1972242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8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4AE21BE0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89/98(90.8)</w:t>
            </w:r>
          </w:p>
          <w:p w14:paraId="5F543830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3CFC852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73/82(89.0)</w:t>
            </w:r>
          </w:p>
        </w:tc>
        <w:tc>
          <w:tcPr>
            <w:tcW w:w="1287" w:type="dxa"/>
          </w:tcPr>
          <w:p w14:paraId="3E8CB20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3695E133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0.170</w:t>
            </w:r>
          </w:p>
        </w:tc>
        <w:tc>
          <w:tcPr>
            <w:tcW w:w="1979" w:type="dxa"/>
          </w:tcPr>
          <w:p w14:paraId="2EED3FA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31/98(31.6)</w:t>
            </w:r>
          </w:p>
          <w:p w14:paraId="5EAF2F72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01BC237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20/82(24.4)</w:t>
            </w:r>
          </w:p>
        </w:tc>
        <w:tc>
          <w:tcPr>
            <w:tcW w:w="1677" w:type="dxa"/>
          </w:tcPr>
          <w:p w14:paraId="29A8AFF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47748C7A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0.036</w:t>
            </w:r>
          </w:p>
        </w:tc>
      </w:tr>
      <w:tr w:rsidR="005B7CAE" w:rsidRPr="00C7016C" w14:paraId="347C560A" w14:textId="77777777" w:rsidTr="00BD701D">
        <w:trPr>
          <w:trHeight w:val="828"/>
        </w:trPr>
        <w:tc>
          <w:tcPr>
            <w:tcW w:w="1988" w:type="dxa"/>
          </w:tcPr>
          <w:p w14:paraId="2C217587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97" w:firstLine="120"/>
              <w:rPr>
                <w:sz w:val="16"/>
                <w:szCs w:val="16"/>
              </w:rPr>
            </w:pPr>
            <w:r w:rsidRPr="00C7016C">
              <w:t xml:space="preserve">Down </w:t>
            </w:r>
            <w:r w:rsidRPr="00C7016C">
              <w:rPr>
                <w:position w:val="2"/>
              </w:rPr>
              <w:t>CEA</w:t>
            </w:r>
            <w:r w:rsidRPr="00C7016C">
              <w:rPr>
                <w:sz w:val="16"/>
                <w:szCs w:val="16"/>
              </w:rPr>
              <w:t>12w</w:t>
            </w:r>
          </w:p>
          <w:p w14:paraId="1AA68B2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8" w:lineRule="exact"/>
              <w:ind w:left="235"/>
            </w:pPr>
            <w:r w:rsidRPr="00C7016C">
              <w:t>Up</w:t>
            </w:r>
          </w:p>
        </w:tc>
        <w:tc>
          <w:tcPr>
            <w:tcW w:w="2517" w:type="dxa"/>
          </w:tcPr>
          <w:p w14:paraId="0235C34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1100"/>
            </w:pPr>
            <w:r w:rsidRPr="00C7016C">
              <w:t>61/64(95.3)</w:t>
            </w:r>
          </w:p>
          <w:p w14:paraId="6390EEF4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4A2BEC05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53/63(84.1)</w:t>
            </w:r>
          </w:p>
        </w:tc>
        <w:tc>
          <w:tcPr>
            <w:tcW w:w="1287" w:type="dxa"/>
          </w:tcPr>
          <w:p w14:paraId="120A637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3395C7E9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67"/>
            </w:pPr>
            <w:r w:rsidRPr="00C7016C">
              <w:t>0.003</w:t>
            </w:r>
          </w:p>
        </w:tc>
        <w:tc>
          <w:tcPr>
            <w:tcW w:w="1979" w:type="dxa"/>
          </w:tcPr>
          <w:p w14:paraId="1422F1A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71" w:lineRule="exact"/>
              <w:ind w:left="575"/>
            </w:pPr>
            <w:r w:rsidRPr="00C7016C">
              <w:t>26/64(40.6)</w:t>
            </w:r>
          </w:p>
          <w:p w14:paraId="1B9DCD31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0FD5A0C1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575"/>
            </w:pPr>
            <w:r w:rsidRPr="00C7016C">
              <w:t>13/63(20.6)</w:t>
            </w:r>
          </w:p>
        </w:tc>
        <w:tc>
          <w:tcPr>
            <w:tcW w:w="1677" w:type="dxa"/>
          </w:tcPr>
          <w:p w14:paraId="1184B85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14:paraId="2BA00213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51"/>
            </w:pPr>
            <w:r w:rsidRPr="00C7016C">
              <w:t>0.014</w:t>
            </w:r>
          </w:p>
        </w:tc>
      </w:tr>
      <w:tr w:rsidR="005B7CAE" w:rsidRPr="00C7016C" w14:paraId="1D7A9814" w14:textId="77777777" w:rsidTr="00BD701D">
        <w:trPr>
          <w:trHeight w:val="271"/>
        </w:trPr>
        <w:tc>
          <w:tcPr>
            <w:tcW w:w="1988" w:type="dxa"/>
          </w:tcPr>
          <w:p w14:paraId="20FD8DE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2" w:lineRule="exact"/>
              <w:ind w:left="235"/>
            </w:pPr>
            <w:r w:rsidRPr="00C7016C">
              <w:t>Down</w:t>
            </w:r>
          </w:p>
        </w:tc>
        <w:tc>
          <w:tcPr>
            <w:tcW w:w="2517" w:type="dxa"/>
          </w:tcPr>
          <w:p w14:paraId="3A38DF2F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2" w:lineRule="exact"/>
              <w:ind w:right="287"/>
              <w:jc w:val="right"/>
            </w:pPr>
            <w:r w:rsidRPr="00C7016C">
              <w:t>81/83(97.6)</w:t>
            </w:r>
          </w:p>
        </w:tc>
        <w:tc>
          <w:tcPr>
            <w:tcW w:w="1287" w:type="dxa"/>
          </w:tcPr>
          <w:p w14:paraId="32D6DDE0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80A9F0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2" w:lineRule="exact"/>
              <w:ind w:right="275"/>
              <w:jc w:val="right"/>
            </w:pPr>
            <w:r w:rsidRPr="00C7016C">
              <w:t>33/83(39.8)</w:t>
            </w:r>
          </w:p>
        </w:tc>
        <w:tc>
          <w:tcPr>
            <w:tcW w:w="1677" w:type="dxa"/>
          </w:tcPr>
          <w:p w14:paraId="4A82F840" w14:textId="77777777" w:rsidR="005B7CAE" w:rsidRPr="00C7016C" w:rsidRDefault="005B7CAE" w:rsidP="00BD701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5B7CAE" w:rsidRPr="00C7016C" w14:paraId="4C5B48BE" w14:textId="77777777" w:rsidTr="00BD701D">
        <w:trPr>
          <w:trHeight w:val="271"/>
        </w:trPr>
        <w:tc>
          <w:tcPr>
            <w:tcW w:w="1988" w:type="dxa"/>
          </w:tcPr>
          <w:p w14:paraId="0328EF2B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97"/>
            </w:pPr>
            <w:r w:rsidRPr="00C7016C">
              <w:t>NSE</w:t>
            </w:r>
            <w:r w:rsidRPr="00C7016C">
              <w:rPr>
                <w:vertAlign w:val="subscript"/>
              </w:rPr>
              <w:t>6w</w:t>
            </w:r>
          </w:p>
          <w:p w14:paraId="546BE510" w14:textId="77777777" w:rsidR="005B7CAE" w:rsidRPr="00C7016C" w:rsidRDefault="005B7CAE" w:rsidP="00BD701D">
            <w:pPr>
              <w:pStyle w:val="TableParagraph"/>
              <w:kinsoku w:val="0"/>
              <w:overflowPunct w:val="0"/>
              <w:ind w:left="115" w:right="1097" w:firstLineChars="50" w:firstLine="110"/>
            </w:pPr>
            <w:r w:rsidRPr="00C7016C">
              <w:t>UP</w:t>
            </w:r>
          </w:p>
          <w:p w14:paraId="4A3F899B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2" w:lineRule="exact"/>
              <w:ind w:left="235"/>
            </w:pPr>
            <w:r w:rsidRPr="00C7016C">
              <w:t>Down</w:t>
            </w:r>
          </w:p>
        </w:tc>
        <w:tc>
          <w:tcPr>
            <w:tcW w:w="2517" w:type="dxa"/>
          </w:tcPr>
          <w:p w14:paraId="028ED448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</w:p>
          <w:p w14:paraId="3C7280E2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rPr>
                <w:rFonts w:hint="eastAsia"/>
              </w:rPr>
              <w:t>4</w:t>
            </w:r>
            <w:r w:rsidRPr="00C7016C">
              <w:t>1/46(89.1)</w:t>
            </w:r>
          </w:p>
          <w:p w14:paraId="0FC736D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61" w:lineRule="exact"/>
              <w:ind w:left="1100"/>
            </w:pPr>
            <w:r w:rsidRPr="00C7016C">
              <w:t>88/95(92.3)</w:t>
            </w:r>
          </w:p>
        </w:tc>
        <w:tc>
          <w:tcPr>
            <w:tcW w:w="1287" w:type="dxa"/>
          </w:tcPr>
          <w:p w14:paraId="688EE32A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  <w:r w:rsidRPr="00C7016C">
              <w:rPr>
                <w:rFonts w:hint="eastAsia"/>
                <w:sz w:val="20"/>
                <w:szCs w:val="20"/>
              </w:rPr>
              <w:t xml:space="preserve"> </w:t>
            </w:r>
            <w:r w:rsidRPr="00C7016C">
              <w:rPr>
                <w:sz w:val="20"/>
                <w:szCs w:val="20"/>
              </w:rPr>
              <w:t xml:space="preserve">  </w:t>
            </w:r>
            <w:r w:rsidRPr="00C7016C">
              <w:t>0.485</w:t>
            </w:r>
          </w:p>
        </w:tc>
        <w:tc>
          <w:tcPr>
            <w:tcW w:w="1979" w:type="dxa"/>
          </w:tcPr>
          <w:p w14:paraId="4CADAA08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2" w:lineRule="exact"/>
              <w:ind w:right="275"/>
              <w:jc w:val="right"/>
            </w:pPr>
          </w:p>
          <w:p w14:paraId="3D60E4B3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2" w:lineRule="exact"/>
              <w:ind w:right="275"/>
              <w:jc w:val="right"/>
            </w:pPr>
            <w:r w:rsidRPr="00C7016C">
              <w:rPr>
                <w:rFonts w:hint="eastAsia"/>
              </w:rPr>
              <w:t>1</w:t>
            </w:r>
            <w:r w:rsidRPr="00C7016C">
              <w:t>2/46(26.1)</w:t>
            </w:r>
          </w:p>
          <w:p w14:paraId="4932812A" w14:textId="77777777" w:rsidR="005B7CAE" w:rsidRPr="00C7016C" w:rsidRDefault="005B7CAE" w:rsidP="00BD701D">
            <w:pPr>
              <w:pStyle w:val="TableParagraph"/>
              <w:kinsoku w:val="0"/>
              <w:overflowPunct w:val="0"/>
              <w:spacing w:line="252" w:lineRule="exact"/>
              <w:ind w:right="275"/>
              <w:jc w:val="right"/>
            </w:pPr>
            <w:r w:rsidRPr="00C7016C">
              <w:rPr>
                <w:rFonts w:hint="eastAsia"/>
              </w:rPr>
              <w:t>3</w:t>
            </w:r>
            <w:r w:rsidRPr="00C7016C">
              <w:t>0/95(31.6)</w:t>
            </w:r>
          </w:p>
        </w:tc>
        <w:tc>
          <w:tcPr>
            <w:tcW w:w="1677" w:type="dxa"/>
          </w:tcPr>
          <w:p w14:paraId="319215CE" w14:textId="77777777" w:rsidR="005B7CAE" w:rsidRPr="00C7016C" w:rsidRDefault="005B7CAE" w:rsidP="00BD701D">
            <w:pPr>
              <w:pStyle w:val="TableParagraph"/>
              <w:kinsoku w:val="0"/>
              <w:overflowPunct w:val="0"/>
            </w:pPr>
            <w:r w:rsidRPr="00C7016C">
              <w:rPr>
                <w:rFonts w:hint="eastAsia"/>
              </w:rPr>
              <w:t xml:space="preserve"> </w:t>
            </w:r>
            <w:r w:rsidRPr="00C7016C">
              <w:t xml:space="preserve"> 0.504</w:t>
            </w:r>
          </w:p>
        </w:tc>
      </w:tr>
    </w:tbl>
    <w:p w14:paraId="650270BF" w14:textId="060A01A8" w:rsidR="005B7CAE" w:rsidRDefault="005B7CAE" w:rsidP="005B7CAE">
      <w:pPr>
        <w:pStyle w:val="af4"/>
        <w:kinsoku w:val="0"/>
        <w:overflowPunct w:val="0"/>
        <w:spacing w:before="60" w:line="249" w:lineRule="auto"/>
        <w:ind w:left="130" w:right="6081"/>
      </w:pPr>
      <w:bookmarkStart w:id="1" w:name="表格_9"/>
      <w:bookmarkEnd w:id="1"/>
      <w:r>
        <w:t>Up: elevated compared to pre-treatment</w:t>
      </w:r>
      <w:r w:rsidR="006D6DFD" w:rsidRPr="006D6DFD">
        <w:t xml:space="preserve"> </w:t>
      </w:r>
      <w:r w:rsidR="006D6DFD">
        <w:t>Down: decreased compared to pre-treatment</w:t>
      </w:r>
      <w:r>
        <w:t xml:space="preserve"> </w:t>
      </w:r>
    </w:p>
    <w:p w14:paraId="29AC336B" w14:textId="77777777" w:rsidR="005B7CAE" w:rsidRDefault="005B7CAE" w:rsidP="005B7CAE">
      <w:pPr>
        <w:pStyle w:val="af4"/>
        <w:kinsoku w:val="0"/>
        <w:overflowPunct w:val="0"/>
        <w:spacing w:before="48" w:line="249" w:lineRule="auto"/>
        <w:ind w:left="110" w:right="88"/>
      </w:pPr>
      <w:r>
        <w:t xml:space="preserve">Abbreviations: ECOG: Eastern Cooperative Oncology Group; PS: performance status; NLR: neutrophil-to- lymphocyte ratio; PLR: platelet-to-lymphocyte ratio; PAR: platelet-to-albumin ratio; Hb: hemoglobin; LDH: </w:t>
      </w:r>
      <w:r>
        <w:lastRenderedPageBreak/>
        <w:t xml:space="preserve">lactate dehydrogenase; CEA: carcinoembryonic antigen; </w:t>
      </w:r>
      <w:r w:rsidRPr="00880D3F">
        <w:t>NSE: neuron-specific enolase</w:t>
      </w:r>
      <w:r>
        <w:t>.</w:t>
      </w:r>
    </w:p>
    <w:p w14:paraId="2F8F0990" w14:textId="31050DC5" w:rsidR="00A919F1" w:rsidRPr="006D6DFD" w:rsidRDefault="00A919F1" w:rsidP="00875F63">
      <w:pPr>
        <w:pStyle w:val="af4"/>
        <w:spacing w:before="90" w:line="249" w:lineRule="auto"/>
        <w:ind w:left="109"/>
        <w:rPr>
          <w:rFonts w:eastAsiaTheme="minorEastAsia"/>
          <w:sz w:val="22"/>
          <w:szCs w:val="22"/>
          <w:lang w:eastAsia="zh-CN"/>
        </w:rPr>
      </w:pPr>
    </w:p>
    <w:sectPr w:rsidR="00A919F1" w:rsidRPr="006D6DFD">
      <w:pgSz w:w="11910" w:h="16840"/>
      <w:pgMar w:top="1420" w:right="700" w:bottom="280" w:left="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FCEB" w14:textId="77777777" w:rsidR="00C807A0" w:rsidRDefault="00C807A0" w:rsidP="002B20A4">
      <w:r>
        <w:separator/>
      </w:r>
    </w:p>
  </w:endnote>
  <w:endnote w:type="continuationSeparator" w:id="0">
    <w:p w14:paraId="10125AE7" w14:textId="77777777" w:rsidR="00C807A0" w:rsidRDefault="00C807A0" w:rsidP="002B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956728"/>
      <w:docPartObj>
        <w:docPartGallery w:val="Page Numbers (Bottom of Page)"/>
        <w:docPartUnique/>
      </w:docPartObj>
    </w:sdtPr>
    <w:sdtEndPr/>
    <w:sdtContent>
      <w:p w14:paraId="56866395" w14:textId="320B9DBC" w:rsidR="00BD701D" w:rsidRDefault="00BD7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626900" w14:textId="77777777" w:rsidR="00BD701D" w:rsidRDefault="00BD7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9FD7" w14:textId="77777777" w:rsidR="00C807A0" w:rsidRDefault="00C807A0" w:rsidP="002B20A4">
      <w:r>
        <w:separator/>
      </w:r>
    </w:p>
  </w:footnote>
  <w:footnote w:type="continuationSeparator" w:id="0">
    <w:p w14:paraId="3D6A3CC3" w14:textId="77777777" w:rsidR="00C807A0" w:rsidRDefault="00C807A0" w:rsidP="002B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53948"/>
    <w:multiLevelType w:val="hybridMultilevel"/>
    <w:tmpl w:val="592A25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0"/>
    <w:rsid w:val="00004ACF"/>
    <w:rsid w:val="00010629"/>
    <w:rsid w:val="000125DC"/>
    <w:rsid w:val="000141A2"/>
    <w:rsid w:val="000151FD"/>
    <w:rsid w:val="00021D86"/>
    <w:rsid w:val="0003090F"/>
    <w:rsid w:val="00030BB2"/>
    <w:rsid w:val="0003205C"/>
    <w:rsid w:val="0004294F"/>
    <w:rsid w:val="000435A1"/>
    <w:rsid w:val="00044223"/>
    <w:rsid w:val="00044A45"/>
    <w:rsid w:val="00046946"/>
    <w:rsid w:val="00047C4D"/>
    <w:rsid w:val="00050536"/>
    <w:rsid w:val="00057ED9"/>
    <w:rsid w:val="00071701"/>
    <w:rsid w:val="000765EB"/>
    <w:rsid w:val="000805B0"/>
    <w:rsid w:val="00081DA0"/>
    <w:rsid w:val="00086D57"/>
    <w:rsid w:val="000940E8"/>
    <w:rsid w:val="000A2E31"/>
    <w:rsid w:val="000A4042"/>
    <w:rsid w:val="000A5738"/>
    <w:rsid w:val="000B1424"/>
    <w:rsid w:val="000B2C6B"/>
    <w:rsid w:val="000B442E"/>
    <w:rsid w:val="000B4ED1"/>
    <w:rsid w:val="000C16D2"/>
    <w:rsid w:val="000C2EBD"/>
    <w:rsid w:val="000C5044"/>
    <w:rsid w:val="000D1465"/>
    <w:rsid w:val="000E3AEE"/>
    <w:rsid w:val="000E4DE1"/>
    <w:rsid w:val="000E5BC1"/>
    <w:rsid w:val="000E704C"/>
    <w:rsid w:val="001027F7"/>
    <w:rsid w:val="00104879"/>
    <w:rsid w:val="001062BC"/>
    <w:rsid w:val="0011070C"/>
    <w:rsid w:val="00113057"/>
    <w:rsid w:val="001207F7"/>
    <w:rsid w:val="00120C82"/>
    <w:rsid w:val="001251F3"/>
    <w:rsid w:val="00127DDA"/>
    <w:rsid w:val="001316A7"/>
    <w:rsid w:val="001332F1"/>
    <w:rsid w:val="00140B87"/>
    <w:rsid w:val="00145B08"/>
    <w:rsid w:val="00147E49"/>
    <w:rsid w:val="001504A4"/>
    <w:rsid w:val="0015585A"/>
    <w:rsid w:val="00162328"/>
    <w:rsid w:val="00162834"/>
    <w:rsid w:val="001736CF"/>
    <w:rsid w:val="00175F8B"/>
    <w:rsid w:val="0018092B"/>
    <w:rsid w:val="0018338E"/>
    <w:rsid w:val="001A1C71"/>
    <w:rsid w:val="001A5089"/>
    <w:rsid w:val="001A6959"/>
    <w:rsid w:val="001A7EA3"/>
    <w:rsid w:val="001B37E9"/>
    <w:rsid w:val="001B4291"/>
    <w:rsid w:val="001B4C22"/>
    <w:rsid w:val="001B6140"/>
    <w:rsid w:val="001C3758"/>
    <w:rsid w:val="001D14F7"/>
    <w:rsid w:val="001D1C56"/>
    <w:rsid w:val="001D3511"/>
    <w:rsid w:val="001F0A8D"/>
    <w:rsid w:val="001F6742"/>
    <w:rsid w:val="00204751"/>
    <w:rsid w:val="002055BF"/>
    <w:rsid w:val="002061D4"/>
    <w:rsid w:val="00211E89"/>
    <w:rsid w:val="00212559"/>
    <w:rsid w:val="00213D3E"/>
    <w:rsid w:val="00213F74"/>
    <w:rsid w:val="00221D0E"/>
    <w:rsid w:val="00223734"/>
    <w:rsid w:val="002304FB"/>
    <w:rsid w:val="00231EC7"/>
    <w:rsid w:val="0023213B"/>
    <w:rsid w:val="00244BFE"/>
    <w:rsid w:val="00246076"/>
    <w:rsid w:val="002512B6"/>
    <w:rsid w:val="00256200"/>
    <w:rsid w:val="002567B5"/>
    <w:rsid w:val="002575AB"/>
    <w:rsid w:val="0026340D"/>
    <w:rsid w:val="002728CE"/>
    <w:rsid w:val="00274E98"/>
    <w:rsid w:val="00275A72"/>
    <w:rsid w:val="00277070"/>
    <w:rsid w:val="002802FF"/>
    <w:rsid w:val="00280609"/>
    <w:rsid w:val="00281AB3"/>
    <w:rsid w:val="00291045"/>
    <w:rsid w:val="002A179E"/>
    <w:rsid w:val="002A21B0"/>
    <w:rsid w:val="002A406D"/>
    <w:rsid w:val="002B1AF3"/>
    <w:rsid w:val="002B20A4"/>
    <w:rsid w:val="002B3B83"/>
    <w:rsid w:val="002B759C"/>
    <w:rsid w:val="002C2B0E"/>
    <w:rsid w:val="002C7E2F"/>
    <w:rsid w:val="002D1950"/>
    <w:rsid w:val="002D1E88"/>
    <w:rsid w:val="002D40FB"/>
    <w:rsid w:val="002D7E5C"/>
    <w:rsid w:val="002E1916"/>
    <w:rsid w:val="002F3C13"/>
    <w:rsid w:val="002F54E9"/>
    <w:rsid w:val="002F772F"/>
    <w:rsid w:val="00313092"/>
    <w:rsid w:val="003149C3"/>
    <w:rsid w:val="00316C00"/>
    <w:rsid w:val="003201A6"/>
    <w:rsid w:val="00320D79"/>
    <w:rsid w:val="0033477A"/>
    <w:rsid w:val="003347D5"/>
    <w:rsid w:val="0033615A"/>
    <w:rsid w:val="00341360"/>
    <w:rsid w:val="003452D8"/>
    <w:rsid w:val="00345464"/>
    <w:rsid w:val="00347C7B"/>
    <w:rsid w:val="00352AD6"/>
    <w:rsid w:val="00355941"/>
    <w:rsid w:val="003605EF"/>
    <w:rsid w:val="003621E4"/>
    <w:rsid w:val="00362CCE"/>
    <w:rsid w:val="00371519"/>
    <w:rsid w:val="00374B20"/>
    <w:rsid w:val="00375856"/>
    <w:rsid w:val="00380523"/>
    <w:rsid w:val="003A2177"/>
    <w:rsid w:val="003A2C06"/>
    <w:rsid w:val="003A74BD"/>
    <w:rsid w:val="003B03DB"/>
    <w:rsid w:val="003B21A0"/>
    <w:rsid w:val="003B4C93"/>
    <w:rsid w:val="003C1D9E"/>
    <w:rsid w:val="003C7C9F"/>
    <w:rsid w:val="003D4550"/>
    <w:rsid w:val="003D61B9"/>
    <w:rsid w:val="003E3F5A"/>
    <w:rsid w:val="00406F36"/>
    <w:rsid w:val="004076E1"/>
    <w:rsid w:val="00410477"/>
    <w:rsid w:val="00411618"/>
    <w:rsid w:val="004123FA"/>
    <w:rsid w:val="004129C4"/>
    <w:rsid w:val="00412D36"/>
    <w:rsid w:val="004173A2"/>
    <w:rsid w:val="0042067D"/>
    <w:rsid w:val="00420E12"/>
    <w:rsid w:val="00425B63"/>
    <w:rsid w:val="0042741C"/>
    <w:rsid w:val="00435C6A"/>
    <w:rsid w:val="00442900"/>
    <w:rsid w:val="00445845"/>
    <w:rsid w:val="004465B5"/>
    <w:rsid w:val="004500AE"/>
    <w:rsid w:val="00452A78"/>
    <w:rsid w:val="0046053F"/>
    <w:rsid w:val="00475170"/>
    <w:rsid w:val="00477A84"/>
    <w:rsid w:val="00481AE2"/>
    <w:rsid w:val="0048269A"/>
    <w:rsid w:val="00482E84"/>
    <w:rsid w:val="004839AF"/>
    <w:rsid w:val="004917D4"/>
    <w:rsid w:val="00497506"/>
    <w:rsid w:val="004A0532"/>
    <w:rsid w:val="004A0804"/>
    <w:rsid w:val="004A20CC"/>
    <w:rsid w:val="004A2EE3"/>
    <w:rsid w:val="004A56C1"/>
    <w:rsid w:val="004A7D18"/>
    <w:rsid w:val="004B05A2"/>
    <w:rsid w:val="004B4B0C"/>
    <w:rsid w:val="004B7A8E"/>
    <w:rsid w:val="004C21D9"/>
    <w:rsid w:val="004C31C9"/>
    <w:rsid w:val="004C6D38"/>
    <w:rsid w:val="004C7055"/>
    <w:rsid w:val="004D1A52"/>
    <w:rsid w:val="004D1FE6"/>
    <w:rsid w:val="004D339C"/>
    <w:rsid w:val="004D4A2F"/>
    <w:rsid w:val="004D6679"/>
    <w:rsid w:val="004E3D2C"/>
    <w:rsid w:val="004E6B12"/>
    <w:rsid w:val="005074B4"/>
    <w:rsid w:val="00510C7D"/>
    <w:rsid w:val="00517640"/>
    <w:rsid w:val="00520121"/>
    <w:rsid w:val="0052433B"/>
    <w:rsid w:val="00530419"/>
    <w:rsid w:val="00532F08"/>
    <w:rsid w:val="0053712E"/>
    <w:rsid w:val="00543768"/>
    <w:rsid w:val="00543D68"/>
    <w:rsid w:val="00543F3A"/>
    <w:rsid w:val="00545540"/>
    <w:rsid w:val="005463A2"/>
    <w:rsid w:val="005467EC"/>
    <w:rsid w:val="00552ADF"/>
    <w:rsid w:val="0055351D"/>
    <w:rsid w:val="0055435A"/>
    <w:rsid w:val="00556ECE"/>
    <w:rsid w:val="005657EA"/>
    <w:rsid w:val="00565B25"/>
    <w:rsid w:val="00565FC1"/>
    <w:rsid w:val="00572008"/>
    <w:rsid w:val="00574C66"/>
    <w:rsid w:val="00576974"/>
    <w:rsid w:val="0058724F"/>
    <w:rsid w:val="00590D8E"/>
    <w:rsid w:val="005933CD"/>
    <w:rsid w:val="00595756"/>
    <w:rsid w:val="005A1696"/>
    <w:rsid w:val="005A4F5A"/>
    <w:rsid w:val="005A5996"/>
    <w:rsid w:val="005A6EB1"/>
    <w:rsid w:val="005B7CAE"/>
    <w:rsid w:val="005C023B"/>
    <w:rsid w:val="005C0AB7"/>
    <w:rsid w:val="005C17ED"/>
    <w:rsid w:val="005C377C"/>
    <w:rsid w:val="005C52C8"/>
    <w:rsid w:val="005D243C"/>
    <w:rsid w:val="005D3D7E"/>
    <w:rsid w:val="005D4585"/>
    <w:rsid w:val="005D4B33"/>
    <w:rsid w:val="005E06BF"/>
    <w:rsid w:val="005F0542"/>
    <w:rsid w:val="005F34A8"/>
    <w:rsid w:val="005F3F38"/>
    <w:rsid w:val="005F5221"/>
    <w:rsid w:val="006039EC"/>
    <w:rsid w:val="00604F18"/>
    <w:rsid w:val="00607A09"/>
    <w:rsid w:val="0061267E"/>
    <w:rsid w:val="006330EB"/>
    <w:rsid w:val="00633DCC"/>
    <w:rsid w:val="00634210"/>
    <w:rsid w:val="00652DA0"/>
    <w:rsid w:val="0065666E"/>
    <w:rsid w:val="00660DCC"/>
    <w:rsid w:val="00663C3F"/>
    <w:rsid w:val="00665368"/>
    <w:rsid w:val="00665A9C"/>
    <w:rsid w:val="00666687"/>
    <w:rsid w:val="0067000E"/>
    <w:rsid w:val="006714E6"/>
    <w:rsid w:val="00681966"/>
    <w:rsid w:val="00683B8F"/>
    <w:rsid w:val="00686DF9"/>
    <w:rsid w:val="006A64F3"/>
    <w:rsid w:val="006B2BAC"/>
    <w:rsid w:val="006B7185"/>
    <w:rsid w:val="006C52FD"/>
    <w:rsid w:val="006D2949"/>
    <w:rsid w:val="006D38BF"/>
    <w:rsid w:val="006D6DFD"/>
    <w:rsid w:val="006E6262"/>
    <w:rsid w:val="006F2AFE"/>
    <w:rsid w:val="006F2E6B"/>
    <w:rsid w:val="006F5B3F"/>
    <w:rsid w:val="007009F7"/>
    <w:rsid w:val="0071018A"/>
    <w:rsid w:val="00713E94"/>
    <w:rsid w:val="00716E4F"/>
    <w:rsid w:val="007246A9"/>
    <w:rsid w:val="0073593A"/>
    <w:rsid w:val="0073742D"/>
    <w:rsid w:val="00747172"/>
    <w:rsid w:val="00752661"/>
    <w:rsid w:val="00753561"/>
    <w:rsid w:val="00757B31"/>
    <w:rsid w:val="00765901"/>
    <w:rsid w:val="007664E0"/>
    <w:rsid w:val="00767B48"/>
    <w:rsid w:val="0077082E"/>
    <w:rsid w:val="00774207"/>
    <w:rsid w:val="00782D8B"/>
    <w:rsid w:val="00791218"/>
    <w:rsid w:val="00791219"/>
    <w:rsid w:val="007A0CB4"/>
    <w:rsid w:val="007B6AEC"/>
    <w:rsid w:val="007C2558"/>
    <w:rsid w:val="007C2D54"/>
    <w:rsid w:val="007C6318"/>
    <w:rsid w:val="007C6D90"/>
    <w:rsid w:val="007C74C1"/>
    <w:rsid w:val="007D1895"/>
    <w:rsid w:val="007D3736"/>
    <w:rsid w:val="007D55C1"/>
    <w:rsid w:val="007E5551"/>
    <w:rsid w:val="007E5E28"/>
    <w:rsid w:val="007F1E51"/>
    <w:rsid w:val="00802DBE"/>
    <w:rsid w:val="00805466"/>
    <w:rsid w:val="00810364"/>
    <w:rsid w:val="0081243A"/>
    <w:rsid w:val="00814786"/>
    <w:rsid w:val="00820CB6"/>
    <w:rsid w:val="008233E4"/>
    <w:rsid w:val="00832B7F"/>
    <w:rsid w:val="00833F71"/>
    <w:rsid w:val="00840029"/>
    <w:rsid w:val="008401E0"/>
    <w:rsid w:val="00842B90"/>
    <w:rsid w:val="00845DD8"/>
    <w:rsid w:val="0085221B"/>
    <w:rsid w:val="00856F5E"/>
    <w:rsid w:val="008574AB"/>
    <w:rsid w:val="00872BEA"/>
    <w:rsid w:val="00875F63"/>
    <w:rsid w:val="008761F6"/>
    <w:rsid w:val="008776AA"/>
    <w:rsid w:val="008A54D2"/>
    <w:rsid w:val="008B2B54"/>
    <w:rsid w:val="008B671D"/>
    <w:rsid w:val="008C2DF9"/>
    <w:rsid w:val="008C7AE2"/>
    <w:rsid w:val="009037AE"/>
    <w:rsid w:val="00904A60"/>
    <w:rsid w:val="00911E5C"/>
    <w:rsid w:val="00921ACE"/>
    <w:rsid w:val="00921DD3"/>
    <w:rsid w:val="00927235"/>
    <w:rsid w:val="00940A3C"/>
    <w:rsid w:val="00940CCA"/>
    <w:rsid w:val="00940DCF"/>
    <w:rsid w:val="00941168"/>
    <w:rsid w:val="00954415"/>
    <w:rsid w:val="00956C9C"/>
    <w:rsid w:val="00957D75"/>
    <w:rsid w:val="00960784"/>
    <w:rsid w:val="00972FA4"/>
    <w:rsid w:val="009736AC"/>
    <w:rsid w:val="00985BE1"/>
    <w:rsid w:val="00990BAC"/>
    <w:rsid w:val="009911AE"/>
    <w:rsid w:val="0099137F"/>
    <w:rsid w:val="009931EF"/>
    <w:rsid w:val="00995075"/>
    <w:rsid w:val="009954AC"/>
    <w:rsid w:val="00995C8B"/>
    <w:rsid w:val="009B21CB"/>
    <w:rsid w:val="009B2E4B"/>
    <w:rsid w:val="009B355C"/>
    <w:rsid w:val="009C1D3B"/>
    <w:rsid w:val="009C26E4"/>
    <w:rsid w:val="009D0748"/>
    <w:rsid w:val="009D3E40"/>
    <w:rsid w:val="009D6C7F"/>
    <w:rsid w:val="009E4B3D"/>
    <w:rsid w:val="009F00A0"/>
    <w:rsid w:val="009F0EFF"/>
    <w:rsid w:val="009F2778"/>
    <w:rsid w:val="009F4F7E"/>
    <w:rsid w:val="009F5D95"/>
    <w:rsid w:val="009F62AE"/>
    <w:rsid w:val="00A02B6F"/>
    <w:rsid w:val="00A04CC2"/>
    <w:rsid w:val="00A07264"/>
    <w:rsid w:val="00A07273"/>
    <w:rsid w:val="00A13E60"/>
    <w:rsid w:val="00A17280"/>
    <w:rsid w:val="00A262D5"/>
    <w:rsid w:val="00A324FD"/>
    <w:rsid w:val="00A36E18"/>
    <w:rsid w:val="00A44A51"/>
    <w:rsid w:val="00A601E2"/>
    <w:rsid w:val="00A63612"/>
    <w:rsid w:val="00A718AB"/>
    <w:rsid w:val="00A806EC"/>
    <w:rsid w:val="00A81431"/>
    <w:rsid w:val="00A82096"/>
    <w:rsid w:val="00A919F1"/>
    <w:rsid w:val="00A92944"/>
    <w:rsid w:val="00A9335C"/>
    <w:rsid w:val="00AA2EFC"/>
    <w:rsid w:val="00AA74D1"/>
    <w:rsid w:val="00AB25A7"/>
    <w:rsid w:val="00AB377D"/>
    <w:rsid w:val="00AC0DF4"/>
    <w:rsid w:val="00AC1EA3"/>
    <w:rsid w:val="00AC4F12"/>
    <w:rsid w:val="00AC587F"/>
    <w:rsid w:val="00AC6611"/>
    <w:rsid w:val="00AD2276"/>
    <w:rsid w:val="00AD2302"/>
    <w:rsid w:val="00AD41C4"/>
    <w:rsid w:val="00AE2935"/>
    <w:rsid w:val="00AE6E03"/>
    <w:rsid w:val="00AF07DF"/>
    <w:rsid w:val="00AF38C5"/>
    <w:rsid w:val="00B07A35"/>
    <w:rsid w:val="00B10F21"/>
    <w:rsid w:val="00B130FE"/>
    <w:rsid w:val="00B27710"/>
    <w:rsid w:val="00B27D9E"/>
    <w:rsid w:val="00B3064E"/>
    <w:rsid w:val="00B34305"/>
    <w:rsid w:val="00B372A5"/>
    <w:rsid w:val="00B37A7E"/>
    <w:rsid w:val="00B40CC8"/>
    <w:rsid w:val="00B45970"/>
    <w:rsid w:val="00B50D6A"/>
    <w:rsid w:val="00B518F2"/>
    <w:rsid w:val="00B523C3"/>
    <w:rsid w:val="00B54515"/>
    <w:rsid w:val="00B64184"/>
    <w:rsid w:val="00B75508"/>
    <w:rsid w:val="00B7796A"/>
    <w:rsid w:val="00B77C3A"/>
    <w:rsid w:val="00B87F59"/>
    <w:rsid w:val="00B902C5"/>
    <w:rsid w:val="00B91866"/>
    <w:rsid w:val="00B966FE"/>
    <w:rsid w:val="00BA050D"/>
    <w:rsid w:val="00BA0C12"/>
    <w:rsid w:val="00BA17B5"/>
    <w:rsid w:val="00BA2952"/>
    <w:rsid w:val="00BA2B04"/>
    <w:rsid w:val="00BA31EE"/>
    <w:rsid w:val="00BB0CFF"/>
    <w:rsid w:val="00BB11B9"/>
    <w:rsid w:val="00BC425B"/>
    <w:rsid w:val="00BD0124"/>
    <w:rsid w:val="00BD15BC"/>
    <w:rsid w:val="00BD2F31"/>
    <w:rsid w:val="00BD701D"/>
    <w:rsid w:val="00BE4EFE"/>
    <w:rsid w:val="00BF2172"/>
    <w:rsid w:val="00BF2F95"/>
    <w:rsid w:val="00C00FD4"/>
    <w:rsid w:val="00C03A78"/>
    <w:rsid w:val="00C03D78"/>
    <w:rsid w:val="00C0796A"/>
    <w:rsid w:val="00C07C2F"/>
    <w:rsid w:val="00C07FB8"/>
    <w:rsid w:val="00C1335C"/>
    <w:rsid w:val="00C223B8"/>
    <w:rsid w:val="00C2390A"/>
    <w:rsid w:val="00C23ED3"/>
    <w:rsid w:val="00C277D6"/>
    <w:rsid w:val="00C30E3F"/>
    <w:rsid w:val="00C30EE4"/>
    <w:rsid w:val="00C3237C"/>
    <w:rsid w:val="00C42B49"/>
    <w:rsid w:val="00C43584"/>
    <w:rsid w:val="00C623FD"/>
    <w:rsid w:val="00C63BD4"/>
    <w:rsid w:val="00C6545D"/>
    <w:rsid w:val="00C67CFA"/>
    <w:rsid w:val="00C704D2"/>
    <w:rsid w:val="00C7052A"/>
    <w:rsid w:val="00C73D7C"/>
    <w:rsid w:val="00C74FA9"/>
    <w:rsid w:val="00C75194"/>
    <w:rsid w:val="00C807A0"/>
    <w:rsid w:val="00C8100F"/>
    <w:rsid w:val="00C82743"/>
    <w:rsid w:val="00C83C9D"/>
    <w:rsid w:val="00C85790"/>
    <w:rsid w:val="00C94E6F"/>
    <w:rsid w:val="00C979BD"/>
    <w:rsid w:val="00CA0CA7"/>
    <w:rsid w:val="00CA3808"/>
    <w:rsid w:val="00CA7775"/>
    <w:rsid w:val="00CB70DE"/>
    <w:rsid w:val="00CC0D21"/>
    <w:rsid w:val="00CC52F7"/>
    <w:rsid w:val="00CC72F4"/>
    <w:rsid w:val="00CD5025"/>
    <w:rsid w:val="00CD5B7F"/>
    <w:rsid w:val="00CE1C2A"/>
    <w:rsid w:val="00CE1D25"/>
    <w:rsid w:val="00CE304D"/>
    <w:rsid w:val="00CE537C"/>
    <w:rsid w:val="00CE629E"/>
    <w:rsid w:val="00CF3152"/>
    <w:rsid w:val="00CF3C76"/>
    <w:rsid w:val="00CF74F0"/>
    <w:rsid w:val="00D103D2"/>
    <w:rsid w:val="00D112C7"/>
    <w:rsid w:val="00D11EB4"/>
    <w:rsid w:val="00D153C5"/>
    <w:rsid w:val="00D16468"/>
    <w:rsid w:val="00D20D76"/>
    <w:rsid w:val="00D24A29"/>
    <w:rsid w:val="00D26260"/>
    <w:rsid w:val="00D33931"/>
    <w:rsid w:val="00D40757"/>
    <w:rsid w:val="00D41EDA"/>
    <w:rsid w:val="00D422EB"/>
    <w:rsid w:val="00D4427A"/>
    <w:rsid w:val="00D47261"/>
    <w:rsid w:val="00D522AE"/>
    <w:rsid w:val="00D533A2"/>
    <w:rsid w:val="00D61C07"/>
    <w:rsid w:val="00D72BDC"/>
    <w:rsid w:val="00D870A8"/>
    <w:rsid w:val="00D901EB"/>
    <w:rsid w:val="00D92839"/>
    <w:rsid w:val="00D92E8C"/>
    <w:rsid w:val="00D946D9"/>
    <w:rsid w:val="00D97390"/>
    <w:rsid w:val="00DA6D2E"/>
    <w:rsid w:val="00DB32DA"/>
    <w:rsid w:val="00DD2829"/>
    <w:rsid w:val="00DD4F25"/>
    <w:rsid w:val="00DD5CEC"/>
    <w:rsid w:val="00DF37DA"/>
    <w:rsid w:val="00DF7089"/>
    <w:rsid w:val="00E0171B"/>
    <w:rsid w:val="00E01C57"/>
    <w:rsid w:val="00E0208A"/>
    <w:rsid w:val="00E02146"/>
    <w:rsid w:val="00E0518E"/>
    <w:rsid w:val="00E057C1"/>
    <w:rsid w:val="00E12736"/>
    <w:rsid w:val="00E24876"/>
    <w:rsid w:val="00E31084"/>
    <w:rsid w:val="00E336B2"/>
    <w:rsid w:val="00E358AB"/>
    <w:rsid w:val="00E36A70"/>
    <w:rsid w:val="00E3701D"/>
    <w:rsid w:val="00E37B45"/>
    <w:rsid w:val="00E710CE"/>
    <w:rsid w:val="00E717D4"/>
    <w:rsid w:val="00E81D3A"/>
    <w:rsid w:val="00E81F19"/>
    <w:rsid w:val="00E82892"/>
    <w:rsid w:val="00E855BF"/>
    <w:rsid w:val="00E869E8"/>
    <w:rsid w:val="00E86C84"/>
    <w:rsid w:val="00E90133"/>
    <w:rsid w:val="00EA5BB5"/>
    <w:rsid w:val="00EA76B3"/>
    <w:rsid w:val="00EC7B0C"/>
    <w:rsid w:val="00EC7BB5"/>
    <w:rsid w:val="00ED2649"/>
    <w:rsid w:val="00EE36FD"/>
    <w:rsid w:val="00EE5B6D"/>
    <w:rsid w:val="00EF1A26"/>
    <w:rsid w:val="00EF2774"/>
    <w:rsid w:val="00F01942"/>
    <w:rsid w:val="00F0312F"/>
    <w:rsid w:val="00F044C2"/>
    <w:rsid w:val="00F14B12"/>
    <w:rsid w:val="00F151CA"/>
    <w:rsid w:val="00F16898"/>
    <w:rsid w:val="00F204B5"/>
    <w:rsid w:val="00F24147"/>
    <w:rsid w:val="00F24DE5"/>
    <w:rsid w:val="00F26EF4"/>
    <w:rsid w:val="00F308DA"/>
    <w:rsid w:val="00F32C7F"/>
    <w:rsid w:val="00F4104B"/>
    <w:rsid w:val="00F47D86"/>
    <w:rsid w:val="00F47F6B"/>
    <w:rsid w:val="00F50765"/>
    <w:rsid w:val="00F52717"/>
    <w:rsid w:val="00F538ED"/>
    <w:rsid w:val="00F65851"/>
    <w:rsid w:val="00F679FF"/>
    <w:rsid w:val="00F67F0D"/>
    <w:rsid w:val="00F73385"/>
    <w:rsid w:val="00F75556"/>
    <w:rsid w:val="00F77AF9"/>
    <w:rsid w:val="00F815FD"/>
    <w:rsid w:val="00F965B9"/>
    <w:rsid w:val="00FA4211"/>
    <w:rsid w:val="00FB1B4F"/>
    <w:rsid w:val="00FB6323"/>
    <w:rsid w:val="00FC762C"/>
    <w:rsid w:val="00FE719E"/>
    <w:rsid w:val="00FF2D5D"/>
    <w:rsid w:val="00FF5D6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E1616"/>
  <w14:defaultImageDpi w14:val="32767"/>
  <w15:chartTrackingRefBased/>
  <w15:docId w15:val="{A20005DD-63B4-48D6-B6D3-30FEB7B1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1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C52FD"/>
    <w:pPr>
      <w:autoSpaceDE w:val="0"/>
      <w:autoSpaceDN w:val="0"/>
      <w:spacing w:before="86"/>
      <w:ind w:left="300"/>
      <w:jc w:val="left"/>
      <w:outlineLvl w:val="0"/>
    </w:pPr>
    <w:rPr>
      <w:rFonts w:eastAsia="Times New Roman" w:cs="Times New Roman"/>
      <w:color w:val="auto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0A4"/>
    <w:rPr>
      <w:sz w:val="18"/>
      <w:szCs w:val="18"/>
    </w:rPr>
  </w:style>
  <w:style w:type="paragraph" w:styleId="a7">
    <w:name w:val="Bibliography"/>
    <w:basedOn w:val="a"/>
    <w:next w:val="a"/>
    <w:uiPriority w:val="37"/>
    <w:unhideWhenUsed/>
    <w:rsid w:val="007C6D90"/>
    <w:pPr>
      <w:tabs>
        <w:tab w:val="left" w:pos="504"/>
      </w:tabs>
      <w:spacing w:after="240"/>
      <w:ind w:left="504" w:hanging="504"/>
    </w:pPr>
  </w:style>
  <w:style w:type="character" w:styleId="a8">
    <w:name w:val="Hyperlink"/>
    <w:basedOn w:val="a0"/>
    <w:uiPriority w:val="99"/>
    <w:unhideWhenUsed/>
    <w:rsid w:val="00E81F1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1F1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913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137F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913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137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9137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47D86"/>
  </w:style>
  <w:style w:type="paragraph" w:styleId="af0">
    <w:name w:val="List Paragraph"/>
    <w:basedOn w:val="a"/>
    <w:uiPriority w:val="34"/>
    <w:qFormat/>
    <w:rsid w:val="00927235"/>
    <w:pPr>
      <w:ind w:firstLineChars="200" w:firstLine="420"/>
    </w:pPr>
  </w:style>
  <w:style w:type="character" w:styleId="af1">
    <w:name w:val="line number"/>
    <w:basedOn w:val="a0"/>
    <w:uiPriority w:val="99"/>
    <w:semiHidden/>
    <w:unhideWhenUsed/>
    <w:rsid w:val="00EA5BB5"/>
  </w:style>
  <w:style w:type="paragraph" w:styleId="af2">
    <w:name w:val="Title"/>
    <w:basedOn w:val="a"/>
    <w:next w:val="a"/>
    <w:link w:val="af3"/>
    <w:qFormat/>
    <w:rsid w:val="00EA5BB5"/>
    <w:pPr>
      <w:widowControl/>
      <w:suppressLineNumbers/>
      <w:spacing w:before="240" w:after="360"/>
      <w:jc w:val="center"/>
    </w:pPr>
    <w:rPr>
      <w:rFonts w:eastAsiaTheme="minorEastAsia" w:cs="Times New Roman"/>
      <w:b/>
      <w:color w:val="auto"/>
      <w:kern w:val="0"/>
      <w:sz w:val="32"/>
      <w:szCs w:val="32"/>
      <w:lang w:eastAsia="en-US"/>
    </w:rPr>
  </w:style>
  <w:style w:type="character" w:customStyle="1" w:styleId="af3">
    <w:name w:val="标题 字符"/>
    <w:basedOn w:val="a0"/>
    <w:link w:val="af2"/>
    <w:rsid w:val="00EA5BB5"/>
    <w:rPr>
      <w:rFonts w:eastAsiaTheme="minorEastAsia" w:cs="Times New Roman"/>
      <w:b/>
      <w:color w:val="auto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rsid w:val="006C52FD"/>
    <w:rPr>
      <w:rFonts w:eastAsia="Times New Roman" w:cs="Times New Roman"/>
      <w:color w:val="auto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52FD"/>
    <w:pPr>
      <w:widowControl w:val="0"/>
      <w:autoSpaceDE w:val="0"/>
      <w:autoSpaceDN w:val="0"/>
    </w:pPr>
    <w:rPr>
      <w:rFonts w:asciiTheme="minorHAnsi" w:eastAsiaTheme="minorEastAsia" w:hAnsiTheme="minorHAnsi"/>
      <w:color w:val="auto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6C52FD"/>
    <w:pPr>
      <w:autoSpaceDE w:val="0"/>
      <w:autoSpaceDN w:val="0"/>
      <w:jc w:val="left"/>
    </w:pPr>
    <w:rPr>
      <w:rFonts w:eastAsia="Times New Roman" w:cs="Times New Roman"/>
      <w:color w:val="auto"/>
      <w:kern w:val="0"/>
      <w:szCs w:val="24"/>
      <w:lang w:eastAsia="en-US"/>
    </w:rPr>
  </w:style>
  <w:style w:type="character" w:customStyle="1" w:styleId="af5">
    <w:name w:val="正文文本 字符"/>
    <w:basedOn w:val="a0"/>
    <w:link w:val="af4"/>
    <w:uiPriority w:val="1"/>
    <w:rsid w:val="006C52FD"/>
    <w:rPr>
      <w:rFonts w:eastAsia="Times New Roman" w:cs="Times New Roman"/>
      <w:color w:val="auto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C52FD"/>
    <w:pPr>
      <w:autoSpaceDE w:val="0"/>
      <w:autoSpaceDN w:val="0"/>
      <w:jc w:val="left"/>
    </w:pPr>
    <w:rPr>
      <w:rFonts w:eastAsia="Times New Roman" w:cs="Times New Roman"/>
      <w:color w:val="auto"/>
      <w:kern w:val="0"/>
      <w:sz w:val="22"/>
      <w:szCs w:val="22"/>
      <w:lang w:eastAsia="en-US"/>
    </w:rPr>
  </w:style>
  <w:style w:type="paragraph" w:customStyle="1" w:styleId="Default">
    <w:name w:val="Default"/>
    <w:rsid w:val="0073593A"/>
    <w:pPr>
      <w:widowControl w:val="0"/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3F5444-A2CD-4AB4-A6A2-29A2E3888A8D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708D-102A-4508-ABF3-B87FB970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羽中</dc:creator>
  <cp:keywords/>
  <dc:description/>
  <cp:lastModifiedBy>陈 羽中</cp:lastModifiedBy>
  <cp:revision>3</cp:revision>
  <dcterms:created xsi:type="dcterms:W3CDTF">2021-05-08T21:47:00Z</dcterms:created>
  <dcterms:modified xsi:type="dcterms:W3CDTF">2021-05-08T21:50:00Z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id="hopdWhq9"/&gt;&lt;style id="http://www.zotero.org/styles/frontiers-in-oncology" hasBibliography="1" bibliographyStyleHasBeenSet="1"/&gt;&lt;prefs&gt;&lt;pref name="fieldType" value="Field"/&gt;&lt;/prefs&gt;&lt;/data&gt;</vt:lpwstr>
  </property>
</Properties>
</file>