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0AD41" w14:textId="77777777" w:rsidR="00DA3CAE" w:rsidRPr="00DA3CAE" w:rsidRDefault="00DA3CAE" w:rsidP="005532E7">
      <w:pPr>
        <w:spacing w:line="480" w:lineRule="auto"/>
        <w:jc w:val="both"/>
        <w:rPr>
          <w:b/>
          <w:lang w:val="en-GB"/>
        </w:rPr>
      </w:pPr>
      <w:r w:rsidRPr="00DA3CAE">
        <w:rPr>
          <w:b/>
          <w:lang w:val="en-GB"/>
        </w:rPr>
        <w:t>Viability cell analysis:</w:t>
      </w:r>
    </w:p>
    <w:p w14:paraId="79E37731" w14:textId="77777777" w:rsidR="005532E7" w:rsidRDefault="005532E7" w:rsidP="005532E7">
      <w:pPr>
        <w:spacing w:line="480" w:lineRule="auto"/>
        <w:jc w:val="both"/>
      </w:pPr>
      <w:r>
        <w:rPr>
          <w:lang w:val="en-GB"/>
        </w:rPr>
        <w:t xml:space="preserve">Viability was studied by flow </w:t>
      </w:r>
      <w:proofErr w:type="spellStart"/>
      <w:r>
        <w:rPr>
          <w:lang w:val="en-GB"/>
        </w:rPr>
        <w:t>cytometry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FACScalibur</w:t>
      </w:r>
      <w:proofErr w:type="spellEnd"/>
      <w:r>
        <w:rPr>
          <w:lang w:val="en-GB"/>
        </w:rPr>
        <w:t xml:space="preserve"> BD, 20,000 events recorded) using Fixable Viability Dye </w:t>
      </w:r>
      <w:proofErr w:type="spellStart"/>
      <w:r>
        <w:rPr>
          <w:lang w:val="en-GB"/>
        </w:rPr>
        <w:t>eFluor</w:t>
      </w:r>
      <w:proofErr w:type="spellEnd"/>
      <w:r>
        <w:rPr>
          <w:lang w:val="en-GB"/>
        </w:rPr>
        <w:t xml:space="preserve"> 660 (</w:t>
      </w:r>
      <w:proofErr w:type="spellStart"/>
      <w:r>
        <w:rPr>
          <w:lang w:val="en-GB"/>
        </w:rPr>
        <w:t>eBioscience</w:t>
      </w:r>
      <w:proofErr w:type="spellEnd"/>
      <w:r>
        <w:rPr>
          <w:lang w:val="en-GB"/>
        </w:rPr>
        <w:t>).</w:t>
      </w:r>
    </w:p>
    <w:p w14:paraId="2660982D" w14:textId="77777777" w:rsidR="005532E7" w:rsidRDefault="005532E7" w:rsidP="005532E7">
      <w:pPr>
        <w:spacing w:line="480" w:lineRule="auto"/>
        <w:jc w:val="both"/>
        <w:rPr>
          <w:lang w:val="en-GB"/>
        </w:rPr>
      </w:pPr>
    </w:p>
    <w:p w14:paraId="62BAB61C" w14:textId="77777777" w:rsidR="00DA3CAE" w:rsidRPr="00DA3CAE" w:rsidRDefault="00DA3CAE" w:rsidP="005532E7">
      <w:pPr>
        <w:spacing w:line="480" w:lineRule="auto"/>
        <w:jc w:val="both"/>
        <w:rPr>
          <w:b/>
          <w:lang w:val="en-GB"/>
        </w:rPr>
      </w:pPr>
      <w:r w:rsidRPr="00DA3CAE">
        <w:rPr>
          <w:b/>
          <w:lang w:val="en-GB"/>
        </w:rPr>
        <w:t>Lipid purification and analysis:</w:t>
      </w:r>
    </w:p>
    <w:p w14:paraId="2FE9401E" w14:textId="7F8CFF1C" w:rsidR="005532E7" w:rsidRDefault="005532E7" w:rsidP="005532E7">
      <w:pPr>
        <w:spacing w:line="480" w:lineRule="auto"/>
        <w:jc w:val="both"/>
        <w:rPr>
          <w:lang w:val="en-GB"/>
        </w:rPr>
      </w:pPr>
      <w:r>
        <w:rPr>
          <w:lang w:val="en-GB"/>
        </w:rPr>
        <w:t xml:space="preserve">Total lipids from culture supernatants were extracted following procedures described previously (24) and analysed by LC/MS as described by </w:t>
      </w:r>
      <w:proofErr w:type="spellStart"/>
      <w:r>
        <w:rPr>
          <w:lang w:val="en-GB"/>
        </w:rPr>
        <w:t>Sartain</w:t>
      </w:r>
      <w:proofErr w:type="spellEnd"/>
      <w:r>
        <w:rPr>
          <w:lang w:val="en-GB"/>
        </w:rPr>
        <w:t xml:space="preserve"> et al. (23). A high-resolution Agilent 6220 TOF mass spectrometer interfaced to a LC was used. Data files were analysed with Agilent’s Mass hunter workstation software (Version B.02.00, build 2.0.197.0) to identify compounds</w:t>
      </w:r>
      <w:bookmarkStart w:id="0" w:name="_GoBack"/>
      <w:bookmarkEnd w:id="0"/>
      <w:r>
        <w:rPr>
          <w:lang w:val="en-GB"/>
        </w:rPr>
        <w:t xml:space="preserve">. The Agilent mass profiler program was used to compare lipids present in the sample. Most compounds were identified using the lipid database developed by </w:t>
      </w:r>
      <w:proofErr w:type="spellStart"/>
      <w:r>
        <w:rPr>
          <w:lang w:val="en-GB"/>
        </w:rPr>
        <w:t>Sartain</w:t>
      </w:r>
      <w:proofErr w:type="spellEnd"/>
      <w:r>
        <w:rPr>
          <w:lang w:val="en-GB"/>
        </w:rPr>
        <w:t xml:space="preserve"> et al. Compounds of interest were semi-quantified by comparing their relative abundance in the samples. The selected ion chromatograms indicated that both </w:t>
      </w:r>
      <w:proofErr w:type="spellStart"/>
      <w:r>
        <w:rPr>
          <w:lang w:val="en-GB"/>
        </w:rPr>
        <w:t>mycoside</w:t>
      </w:r>
      <w:proofErr w:type="spellEnd"/>
      <w:r>
        <w:rPr>
          <w:lang w:val="en-GB"/>
        </w:rPr>
        <w:t xml:space="preserve"> B and triglycerides are more abundant in strain 04-303; for </w:t>
      </w:r>
      <w:proofErr w:type="spellStart"/>
      <w:r>
        <w:rPr>
          <w:lang w:val="en-GB"/>
        </w:rPr>
        <w:t>mycoside</w:t>
      </w:r>
      <w:proofErr w:type="spellEnd"/>
      <w:r>
        <w:rPr>
          <w:lang w:val="en-GB"/>
        </w:rPr>
        <w:t xml:space="preserve"> B the ratio was approximately 470:1 (04-303:534). For triglycerides the ratio varied depending on the large of fatty acids, from 16:1 to 5.5:1 (04-303:534).</w:t>
      </w:r>
    </w:p>
    <w:p w14:paraId="224D809D" w14:textId="77777777" w:rsidR="005532E7" w:rsidRDefault="005532E7" w:rsidP="005532E7">
      <w:pPr>
        <w:spacing w:line="480" w:lineRule="auto"/>
        <w:jc w:val="both"/>
        <w:rPr>
          <w:lang w:val="en-GB"/>
        </w:rPr>
      </w:pPr>
    </w:p>
    <w:p w14:paraId="124BC5FA" w14:textId="77777777" w:rsidR="00DA3CAE" w:rsidRPr="00DA3CAE" w:rsidRDefault="00DA3CAE" w:rsidP="005532E7">
      <w:pPr>
        <w:spacing w:line="480" w:lineRule="auto"/>
        <w:jc w:val="both"/>
        <w:rPr>
          <w:b/>
          <w:lang w:val="en-GB"/>
        </w:rPr>
      </w:pPr>
      <w:r w:rsidRPr="00DA3CAE">
        <w:rPr>
          <w:b/>
          <w:lang w:val="en-GB"/>
        </w:rPr>
        <w:t>Western blot analysis:</w:t>
      </w:r>
    </w:p>
    <w:p w14:paraId="7FF6D179" w14:textId="4D48DE82" w:rsidR="005532E7" w:rsidRDefault="005532E7" w:rsidP="005532E7">
      <w:pPr>
        <w:spacing w:line="480" w:lineRule="auto"/>
        <w:jc w:val="both"/>
        <w:rPr>
          <w:lang w:val="en-GB"/>
        </w:rPr>
      </w:pPr>
      <w:r>
        <w:rPr>
          <w:lang w:val="en-GB"/>
        </w:rPr>
        <w:t xml:space="preserve">Proteins from culture supernatants of bacterial cultures grown until stationary phase (30 days) were precipitated by incubation with 50% ammonium sulphate over night at 4 °C and centrifugation at 10,000 g. Protein pellets were </w:t>
      </w:r>
      <w:proofErr w:type="spellStart"/>
      <w:r>
        <w:rPr>
          <w:lang w:val="en-GB"/>
        </w:rPr>
        <w:t>resuspended</w:t>
      </w:r>
      <w:proofErr w:type="spellEnd"/>
      <w:r>
        <w:rPr>
          <w:lang w:val="en-GB"/>
        </w:rPr>
        <w:t xml:space="preserve"> in phosphate buffered saline (PBS) and dialyzed over night at 4 °C against PBS. The proteins were </w:t>
      </w:r>
      <w:proofErr w:type="spellStart"/>
      <w:r>
        <w:rPr>
          <w:lang w:val="en-GB"/>
        </w:rPr>
        <w:t>resuspended</w:t>
      </w:r>
      <w:proofErr w:type="spellEnd"/>
      <w:r>
        <w:rPr>
          <w:lang w:val="en-GB"/>
        </w:rPr>
        <w:t xml:space="preserve"> in </w:t>
      </w:r>
      <w:r w:rsidR="00CD0B87">
        <w:rPr>
          <w:lang w:val="en-GB"/>
        </w:rPr>
        <w:t xml:space="preserve">a </w:t>
      </w:r>
      <w:r>
        <w:rPr>
          <w:lang w:val="en-GB"/>
        </w:rPr>
        <w:t xml:space="preserve">cracking buffer (60 </w:t>
      </w:r>
      <w:proofErr w:type="spellStart"/>
      <w:r>
        <w:rPr>
          <w:lang w:val="en-GB"/>
        </w:rPr>
        <w:t>mM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Tris-Cl</w:t>
      </w:r>
      <w:proofErr w:type="spellEnd"/>
      <w:r>
        <w:rPr>
          <w:lang w:val="en-GB"/>
        </w:rPr>
        <w:t xml:space="preserve"> pH 6.8, 2% SDS, 10% glycerol, 2% β-</w:t>
      </w:r>
      <w:proofErr w:type="spellStart"/>
      <w:r>
        <w:rPr>
          <w:lang w:val="en-GB"/>
        </w:rPr>
        <w:t>mercaptoethanol</w:t>
      </w:r>
      <w:proofErr w:type="spellEnd"/>
      <w:r>
        <w:rPr>
          <w:lang w:val="en-GB"/>
        </w:rPr>
        <w:t xml:space="preserve">, 0.01% </w:t>
      </w:r>
      <w:proofErr w:type="spellStart"/>
      <w:r>
        <w:rPr>
          <w:lang w:val="en-GB"/>
        </w:rPr>
        <w:t>bromophenol</w:t>
      </w:r>
      <w:proofErr w:type="spellEnd"/>
      <w:r>
        <w:rPr>
          <w:lang w:val="en-GB"/>
        </w:rPr>
        <w:t xml:space="preserve"> blue). Protein samples were subjected to electrophoresis in 15% SDS-PAGE gels, </w:t>
      </w:r>
      <w:proofErr w:type="gramStart"/>
      <w:r>
        <w:rPr>
          <w:lang w:val="en-GB"/>
        </w:rPr>
        <w:t>then</w:t>
      </w:r>
      <w:proofErr w:type="gramEnd"/>
      <w:r>
        <w:rPr>
          <w:lang w:val="en-GB"/>
        </w:rPr>
        <w:t xml:space="preserve"> transferred to nitrocellulose membranes. </w:t>
      </w:r>
      <w:r>
        <w:rPr>
          <w:lang w:val="en-GB"/>
        </w:rPr>
        <w:lastRenderedPageBreak/>
        <w:t xml:space="preserve">The membranes were blocked with TBS (10 </w:t>
      </w:r>
      <w:proofErr w:type="spellStart"/>
      <w:r>
        <w:rPr>
          <w:lang w:val="en-GB"/>
        </w:rPr>
        <w:t>mM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tris-HClpH</w:t>
      </w:r>
      <w:proofErr w:type="spellEnd"/>
      <w:r>
        <w:rPr>
          <w:lang w:val="en-GB"/>
        </w:rPr>
        <w:t xml:space="preserve"> 7.5, 150 </w:t>
      </w:r>
      <w:proofErr w:type="spellStart"/>
      <w:r>
        <w:rPr>
          <w:lang w:val="en-GB"/>
        </w:rPr>
        <w:t>mM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NaCl</w:t>
      </w:r>
      <w:proofErr w:type="spellEnd"/>
      <w:r>
        <w:rPr>
          <w:lang w:val="en-GB"/>
        </w:rPr>
        <w:t xml:space="preserve">) supplemented with 5% skim milk for 30 min before incubating them with primary rabbit polyclonal antibody anti-ESAT-6 (BEI Resources) in a dilution 1/100 for 2 h. The nitrocellulose membranes were washed with TBS </w:t>
      </w:r>
      <w:r w:rsidR="00CD0B87">
        <w:rPr>
          <w:lang w:val="en-GB"/>
        </w:rPr>
        <w:t>three times</w:t>
      </w:r>
      <w:r>
        <w:rPr>
          <w:lang w:val="en-GB"/>
        </w:rPr>
        <w:t>, and incubated with a secondary anti- rabbit alkaline phosphatase-conjugated antibody at a 1:10000 dilution for 2 h. Western blots were revealed by incubation with BCIP/N</w:t>
      </w:r>
      <w:r w:rsidR="00CD0B87">
        <w:rPr>
          <w:lang w:val="en-GB"/>
        </w:rPr>
        <w:t>BT</w:t>
      </w:r>
      <w:r>
        <w:rPr>
          <w:lang w:val="en-GB"/>
        </w:rPr>
        <w:t xml:space="preserve"> solution.</w:t>
      </w:r>
    </w:p>
    <w:p w14:paraId="3ACEFE00" w14:textId="77777777" w:rsidR="005532E7" w:rsidRDefault="005532E7" w:rsidP="005532E7">
      <w:pPr>
        <w:spacing w:line="480" w:lineRule="auto"/>
        <w:jc w:val="both"/>
        <w:rPr>
          <w:i/>
          <w:lang w:val="en-GB"/>
        </w:rPr>
      </w:pPr>
    </w:p>
    <w:p w14:paraId="31F32755" w14:textId="77777777" w:rsidR="00AE4289" w:rsidRPr="00AE4289" w:rsidRDefault="00AE4289" w:rsidP="005532E7">
      <w:pPr>
        <w:spacing w:line="480" w:lineRule="auto"/>
        <w:jc w:val="both"/>
        <w:rPr>
          <w:b/>
          <w:lang w:val="en-US"/>
        </w:rPr>
      </w:pPr>
      <w:r w:rsidRPr="00AE4289">
        <w:rPr>
          <w:b/>
          <w:lang w:val="en-US"/>
        </w:rPr>
        <w:t>Two hybrid assays (growth in maltose medium):</w:t>
      </w:r>
    </w:p>
    <w:p w14:paraId="5838BFD8" w14:textId="652B3C52" w:rsidR="005532E7" w:rsidRDefault="00DA3CAE" w:rsidP="005532E7">
      <w:pPr>
        <w:spacing w:line="480" w:lineRule="auto"/>
        <w:jc w:val="both"/>
      </w:pPr>
      <w:r>
        <w:rPr>
          <w:i/>
          <w:lang w:val="en-US"/>
        </w:rPr>
        <w:t xml:space="preserve">E. </w:t>
      </w:r>
      <w:proofErr w:type="gramStart"/>
      <w:r>
        <w:rPr>
          <w:i/>
          <w:lang w:val="en-US"/>
        </w:rPr>
        <w:t>coli</w:t>
      </w:r>
      <w:proofErr w:type="gramEnd"/>
      <w:r>
        <w:rPr>
          <w:lang w:val="en-US"/>
        </w:rPr>
        <w:t xml:space="preserve"> BTH101 was </w:t>
      </w:r>
      <w:proofErr w:type="spellStart"/>
      <w:r>
        <w:rPr>
          <w:lang w:val="en-US"/>
        </w:rPr>
        <w:t>cotransformed</w:t>
      </w:r>
      <w:proofErr w:type="spellEnd"/>
      <w:r>
        <w:rPr>
          <w:lang w:val="en-US"/>
        </w:rPr>
        <w:t xml:space="preserve"> with a bait and prey recombinant plasmids. Co</w:t>
      </w:r>
      <w:r w:rsidR="00CD0B87">
        <w:rPr>
          <w:lang w:val="en-US"/>
        </w:rPr>
        <w:t>-</w:t>
      </w:r>
      <w:r w:rsidR="00AE4289">
        <w:rPr>
          <w:lang w:val="en-US"/>
        </w:rPr>
        <w:t xml:space="preserve">transformed strains </w:t>
      </w:r>
      <w:r w:rsidR="005532E7">
        <w:rPr>
          <w:lang w:val="en-GB"/>
        </w:rPr>
        <w:t xml:space="preserve">were grown in M63 medium supplemented with </w:t>
      </w:r>
      <w:r w:rsidR="00AE4289">
        <w:rPr>
          <w:lang w:val="en-US"/>
        </w:rPr>
        <w:t xml:space="preserve">0.3% maltose and antibiotics (ampicillin and kanamycin) at </w:t>
      </w:r>
      <w:r w:rsidR="00AE4289">
        <w:rPr>
          <w:lang w:val="en-GB"/>
        </w:rPr>
        <w:t>30ºC with shaking</w:t>
      </w:r>
      <w:r w:rsidR="005532E7">
        <w:rPr>
          <w:lang w:val="en-GB"/>
        </w:rPr>
        <w:t>. The bacterial growth was determined by OD600</w:t>
      </w:r>
      <w:r w:rsidR="005532E7">
        <w:rPr>
          <w:vertAlign w:val="subscript"/>
          <w:lang w:val="en-GB"/>
        </w:rPr>
        <w:t>nm</w:t>
      </w:r>
      <w:r>
        <w:rPr>
          <w:lang w:val="en-GB"/>
        </w:rPr>
        <w:t xml:space="preserve"> measurements at 4, 7 and 10 days of culturing. </w:t>
      </w:r>
      <w:r w:rsidR="005532E7">
        <w:rPr>
          <w:lang w:val="en-GB"/>
        </w:rPr>
        <w:t xml:space="preserve">Statistical analysis was performed using ANOVA and </w:t>
      </w:r>
      <w:proofErr w:type="spellStart"/>
      <w:r w:rsidR="005532E7">
        <w:rPr>
          <w:lang w:val="en-GB"/>
        </w:rPr>
        <w:t>Bonferroni</w:t>
      </w:r>
      <w:proofErr w:type="spellEnd"/>
      <w:r w:rsidR="005532E7">
        <w:rPr>
          <w:lang w:val="en-GB"/>
        </w:rPr>
        <w:t xml:space="preserve"> </w:t>
      </w:r>
      <w:proofErr w:type="gramStart"/>
      <w:r w:rsidR="005532E7">
        <w:rPr>
          <w:lang w:val="en-GB"/>
        </w:rPr>
        <w:t>post test</w:t>
      </w:r>
      <w:proofErr w:type="gramEnd"/>
      <w:r w:rsidR="005532E7">
        <w:rPr>
          <w:lang w:val="en-GB"/>
        </w:rPr>
        <w:t xml:space="preserve"> to compare </w:t>
      </w:r>
      <w:r w:rsidR="00AE4289">
        <w:rPr>
          <w:lang w:val="en-GB"/>
        </w:rPr>
        <w:t xml:space="preserve">the growth </w:t>
      </w:r>
      <w:r w:rsidR="005532E7">
        <w:rPr>
          <w:lang w:val="en-GB"/>
        </w:rPr>
        <w:t xml:space="preserve">among the different </w:t>
      </w:r>
      <w:r w:rsidR="00AE4289">
        <w:rPr>
          <w:lang w:val="en-GB"/>
        </w:rPr>
        <w:t>co</w:t>
      </w:r>
      <w:r w:rsidR="00CD0B87">
        <w:rPr>
          <w:lang w:val="en-GB"/>
        </w:rPr>
        <w:t>-</w:t>
      </w:r>
      <w:r>
        <w:rPr>
          <w:lang w:val="en-GB"/>
        </w:rPr>
        <w:t>transformed strains.</w:t>
      </w:r>
    </w:p>
    <w:p w14:paraId="1424A4C0" w14:textId="77777777" w:rsidR="005532E7" w:rsidRDefault="005532E7" w:rsidP="005532E7">
      <w:pPr>
        <w:spacing w:line="480" w:lineRule="auto"/>
        <w:jc w:val="both"/>
      </w:pPr>
    </w:p>
    <w:p w14:paraId="5CD12713" w14:textId="77777777" w:rsidR="005532E7" w:rsidRDefault="005532E7" w:rsidP="005532E7">
      <w:pPr>
        <w:spacing w:line="480" w:lineRule="auto"/>
        <w:jc w:val="both"/>
      </w:pPr>
    </w:p>
    <w:p w14:paraId="5ED4EF20" w14:textId="77777777" w:rsidR="00A032B5" w:rsidRDefault="00A032B5"/>
    <w:sectPr w:rsidR="00A032B5" w:rsidSect="007124B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E7"/>
    <w:rsid w:val="005532E7"/>
    <w:rsid w:val="007124B4"/>
    <w:rsid w:val="00A032B5"/>
    <w:rsid w:val="00AE4289"/>
    <w:rsid w:val="00C26DFA"/>
    <w:rsid w:val="00CD0B87"/>
    <w:rsid w:val="00D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DE3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E7"/>
    <w:pPr>
      <w:suppressAutoHyphens/>
    </w:pPr>
    <w:rPr>
      <w:rFonts w:ascii="Times New Roman" w:eastAsia="MS Mincho" w:hAnsi="Times New Roman" w:cs="Times New Roman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E7"/>
    <w:pPr>
      <w:suppressAutoHyphens/>
    </w:pPr>
    <w:rPr>
      <w:rFonts w:ascii="Times New Roman" w:eastAsia="MS Mincho" w:hAnsi="Times New Roman" w:cs="Times New Roman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2288</Characters>
  <Application>Microsoft Macintosh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BIGI</dc:creator>
  <cp:keywords/>
  <dc:description/>
  <cp:lastModifiedBy>FABIANA BIGI</cp:lastModifiedBy>
  <cp:revision>3</cp:revision>
  <dcterms:created xsi:type="dcterms:W3CDTF">2021-06-17T22:56:00Z</dcterms:created>
  <dcterms:modified xsi:type="dcterms:W3CDTF">2021-06-17T22:59:00Z</dcterms:modified>
</cp:coreProperties>
</file>