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5F4D0" w14:textId="77777777" w:rsidR="00D16D89" w:rsidRPr="007065AE" w:rsidRDefault="00D16D89" w:rsidP="00D16D89">
      <w:pPr>
        <w:spacing w:line="360" w:lineRule="auto"/>
        <w:jc w:val="both"/>
        <w:rPr>
          <w:rFonts w:ascii="Arial" w:hAnsi="Arial" w:cs="Arial"/>
          <w:b/>
          <w:color w:val="000000" w:themeColor="text1"/>
          <w:lang w:val="en-US"/>
        </w:rPr>
      </w:pPr>
      <w:r w:rsidRPr="007065AE">
        <w:rPr>
          <w:rFonts w:ascii="Arial" w:hAnsi="Arial" w:cs="Arial"/>
          <w:b/>
          <w:color w:val="000000" w:themeColor="text1"/>
          <w:lang w:val="en-US"/>
        </w:rPr>
        <w:t>Methods</w:t>
      </w:r>
    </w:p>
    <w:p w14:paraId="724D8775" w14:textId="77777777" w:rsidR="00D16D89" w:rsidRPr="007065AE" w:rsidRDefault="00D16D89" w:rsidP="00D16D89">
      <w:pPr>
        <w:rPr>
          <w:rFonts w:ascii="Arial" w:hAnsi="Arial" w:cs="Arial"/>
          <w:color w:val="000000" w:themeColor="text1"/>
          <w:lang w:val="en-US"/>
        </w:rPr>
      </w:pPr>
    </w:p>
    <w:p w14:paraId="235280AD" w14:textId="77777777" w:rsidR="00D16D89" w:rsidRPr="007065AE" w:rsidRDefault="00D16D89" w:rsidP="00D16D89">
      <w:pPr>
        <w:rPr>
          <w:rFonts w:ascii="Arial" w:hAnsi="Arial" w:cs="Arial"/>
          <w:color w:val="000000" w:themeColor="text1"/>
          <w:u w:val="single"/>
          <w:lang w:val="en-US"/>
        </w:rPr>
      </w:pPr>
      <w:r w:rsidRPr="007065AE">
        <w:rPr>
          <w:rFonts w:ascii="Arial" w:hAnsi="Arial" w:cs="Arial"/>
          <w:color w:val="000000" w:themeColor="text1"/>
          <w:u w:val="single"/>
          <w:lang w:val="en-US"/>
        </w:rPr>
        <w:t>PBMC and granulocyte isolation</w:t>
      </w:r>
    </w:p>
    <w:p w14:paraId="2F1F395A" w14:textId="77777777" w:rsidR="00D16D89" w:rsidRPr="007065AE" w:rsidRDefault="00D16D89" w:rsidP="00D16D89">
      <w:pPr>
        <w:rPr>
          <w:rFonts w:ascii="Arial" w:hAnsi="Arial" w:cs="Arial"/>
          <w:color w:val="000000" w:themeColor="text1"/>
          <w:lang w:val="en-US"/>
        </w:rPr>
      </w:pPr>
      <w:r w:rsidRPr="007065AE">
        <w:rPr>
          <w:rFonts w:ascii="Arial" w:hAnsi="Arial" w:cs="Arial"/>
          <w:color w:val="000000" w:themeColor="text1"/>
          <w:lang w:val="en-US"/>
        </w:rPr>
        <w:t>Whole blood was diluted 1:1 with RPMI 1640 and layered over lymphocyte separation medium (LSM) (MP Biomedicals, 0850494-CF). Tubes were centrifuged at 400 x g for 25 minutes and PBMCs were harvested and stored in liquid nitrogen until FACS staining. Remaining serum and LSM were discarded, and red blood cells lysed using red blood cell lysis buffer (8.3 g/l NH</w:t>
      </w:r>
      <w:r w:rsidRPr="007065AE">
        <w:rPr>
          <w:rFonts w:ascii="Arial" w:hAnsi="Arial" w:cs="Arial"/>
          <w:color w:val="000000" w:themeColor="text1"/>
          <w:vertAlign w:val="subscript"/>
          <w:lang w:val="en-US"/>
        </w:rPr>
        <w:t>4</w:t>
      </w:r>
      <w:r w:rsidRPr="007065AE">
        <w:rPr>
          <w:rFonts w:ascii="Arial" w:hAnsi="Arial" w:cs="Arial"/>
          <w:color w:val="000000" w:themeColor="text1"/>
          <w:lang w:val="en-US"/>
        </w:rPr>
        <w:t>Cl in 0.01 M Tris–HCl buffer, pH 7.5). The remaining pellet consists of granulocytes which were used for DNA isolation.</w:t>
      </w:r>
    </w:p>
    <w:p w14:paraId="5BE7F6A1" w14:textId="77777777" w:rsidR="00D16D89" w:rsidRPr="007065AE" w:rsidRDefault="00D16D89" w:rsidP="00D16D89">
      <w:pPr>
        <w:rPr>
          <w:rFonts w:ascii="Arial" w:hAnsi="Arial" w:cs="Arial"/>
          <w:color w:val="000000" w:themeColor="text1"/>
          <w:lang w:val="en-US"/>
        </w:rPr>
      </w:pPr>
    </w:p>
    <w:p w14:paraId="6CED5C85" w14:textId="77777777" w:rsidR="00D16D89" w:rsidRPr="007065AE" w:rsidRDefault="00D16D89" w:rsidP="00D16D89">
      <w:pPr>
        <w:rPr>
          <w:rFonts w:ascii="Arial" w:hAnsi="Arial" w:cs="Arial"/>
          <w:color w:val="000000" w:themeColor="text1"/>
          <w:u w:val="single"/>
          <w:lang w:val="en-US"/>
        </w:rPr>
      </w:pPr>
      <w:r w:rsidRPr="007065AE">
        <w:rPr>
          <w:rFonts w:ascii="Arial" w:hAnsi="Arial" w:cs="Arial"/>
          <w:color w:val="000000" w:themeColor="text1"/>
          <w:u w:val="single"/>
          <w:lang w:val="en-US"/>
        </w:rPr>
        <w:t>FACS</w:t>
      </w:r>
    </w:p>
    <w:p w14:paraId="690358F1" w14:textId="77777777" w:rsidR="00D16D89" w:rsidRPr="007065AE" w:rsidRDefault="00D16D89" w:rsidP="00D16D89">
      <w:pPr>
        <w:rPr>
          <w:rFonts w:ascii="Arial" w:hAnsi="Arial" w:cs="Arial"/>
          <w:color w:val="000000" w:themeColor="text1"/>
          <w:lang w:val="en-US"/>
        </w:rPr>
      </w:pPr>
      <w:r w:rsidRPr="007065AE">
        <w:rPr>
          <w:rFonts w:ascii="Arial" w:hAnsi="Arial" w:cs="Arial"/>
          <w:color w:val="000000" w:themeColor="text1"/>
          <w:lang w:val="en-US"/>
        </w:rPr>
        <w:t xml:space="preserve">PBMCs were stained in FACS buffer (PBS 1X, 3% FBS) with </w:t>
      </w:r>
      <w:proofErr w:type="spellStart"/>
      <w:r w:rsidRPr="007065AE">
        <w:rPr>
          <w:rFonts w:ascii="Arial" w:hAnsi="Arial" w:cs="Arial"/>
          <w:color w:val="000000" w:themeColor="text1"/>
          <w:lang w:val="en-US"/>
        </w:rPr>
        <w:t>eBioscience</w:t>
      </w:r>
      <w:proofErr w:type="spellEnd"/>
      <w:r w:rsidRPr="007065AE">
        <w:rPr>
          <w:rFonts w:ascii="Arial" w:hAnsi="Arial" w:cs="Arial"/>
          <w:color w:val="000000" w:themeColor="text1"/>
          <w:lang w:val="en-US"/>
        </w:rPr>
        <w:t xml:space="preserve">™ Fixable Viability Dye </w:t>
      </w:r>
      <w:proofErr w:type="spellStart"/>
      <w:r w:rsidRPr="007065AE">
        <w:rPr>
          <w:rFonts w:ascii="Arial" w:hAnsi="Arial" w:cs="Arial"/>
          <w:color w:val="000000" w:themeColor="text1"/>
          <w:lang w:val="en-US"/>
        </w:rPr>
        <w:t>eFluor</w:t>
      </w:r>
      <w:proofErr w:type="spellEnd"/>
      <w:r w:rsidRPr="007065AE">
        <w:rPr>
          <w:rFonts w:ascii="Arial" w:hAnsi="Arial" w:cs="Arial"/>
          <w:color w:val="000000" w:themeColor="text1"/>
          <w:lang w:val="en-US"/>
        </w:rPr>
        <w:t>™ 780 (Invitrogen, 65-0865-14) and fluorochrome-conjugated antibodies direct against human CD3 APC (</w:t>
      </w:r>
      <w:proofErr w:type="spellStart"/>
      <w:r w:rsidRPr="007065AE">
        <w:rPr>
          <w:rFonts w:ascii="Arial" w:hAnsi="Arial" w:cs="Arial"/>
          <w:color w:val="000000" w:themeColor="text1"/>
          <w:lang w:val="en-US"/>
        </w:rPr>
        <w:t>Biolegend</w:t>
      </w:r>
      <w:proofErr w:type="spellEnd"/>
      <w:r w:rsidRPr="007065AE">
        <w:rPr>
          <w:rFonts w:ascii="Arial" w:hAnsi="Arial" w:cs="Arial"/>
          <w:color w:val="000000" w:themeColor="text1"/>
          <w:lang w:val="en-US"/>
        </w:rPr>
        <w:t>, 300412), CD14 BV510 (</w:t>
      </w:r>
      <w:proofErr w:type="spellStart"/>
      <w:r w:rsidRPr="007065AE">
        <w:rPr>
          <w:rFonts w:ascii="Arial" w:hAnsi="Arial" w:cs="Arial"/>
          <w:color w:val="000000" w:themeColor="text1"/>
          <w:lang w:val="en-US"/>
        </w:rPr>
        <w:t>Biolegend</w:t>
      </w:r>
      <w:proofErr w:type="spellEnd"/>
      <w:r w:rsidRPr="007065AE">
        <w:rPr>
          <w:rFonts w:ascii="Arial" w:hAnsi="Arial" w:cs="Arial"/>
          <w:color w:val="000000" w:themeColor="text1"/>
          <w:lang w:val="en-US"/>
        </w:rPr>
        <w:t>, 301842) and CD56 FITC (</w:t>
      </w:r>
      <w:proofErr w:type="spellStart"/>
      <w:r w:rsidRPr="007065AE">
        <w:rPr>
          <w:rFonts w:ascii="Arial" w:hAnsi="Arial" w:cs="Arial"/>
          <w:color w:val="000000" w:themeColor="text1"/>
          <w:lang w:val="en-US"/>
        </w:rPr>
        <w:t>Biolegend</w:t>
      </w:r>
      <w:proofErr w:type="spellEnd"/>
      <w:r w:rsidRPr="007065AE">
        <w:rPr>
          <w:rFonts w:ascii="Arial" w:hAnsi="Arial" w:cs="Arial"/>
          <w:color w:val="000000" w:themeColor="text1"/>
          <w:lang w:val="en-US"/>
        </w:rPr>
        <w:t>, 301842). Sorting was done on a Sony MA900 sorter. Gating strategy is shown in Supplementary Figure 1.</w:t>
      </w:r>
    </w:p>
    <w:p w14:paraId="407814DB" w14:textId="77777777" w:rsidR="00D16D89" w:rsidRPr="007065AE" w:rsidRDefault="00D16D89" w:rsidP="00D16D89">
      <w:pPr>
        <w:rPr>
          <w:rFonts w:ascii="Arial" w:hAnsi="Arial" w:cs="Arial"/>
          <w:color w:val="000000" w:themeColor="text1"/>
          <w:lang w:val="en-US"/>
        </w:rPr>
      </w:pPr>
    </w:p>
    <w:p w14:paraId="59C4E056" w14:textId="77777777" w:rsidR="00D16D89" w:rsidRPr="007065AE" w:rsidRDefault="00D16D89" w:rsidP="00D16D89">
      <w:pPr>
        <w:rPr>
          <w:rFonts w:ascii="Arial" w:hAnsi="Arial" w:cs="Arial"/>
          <w:color w:val="000000" w:themeColor="text1"/>
          <w:u w:val="single"/>
          <w:lang w:val="en-US"/>
        </w:rPr>
      </w:pPr>
      <w:r w:rsidRPr="007065AE">
        <w:rPr>
          <w:rFonts w:ascii="Arial" w:hAnsi="Arial" w:cs="Arial"/>
          <w:color w:val="000000" w:themeColor="text1"/>
          <w:u w:val="single"/>
          <w:lang w:val="en-US"/>
        </w:rPr>
        <w:t>DNA isolation and sequencing</w:t>
      </w:r>
    </w:p>
    <w:p w14:paraId="70DF27B8" w14:textId="77777777" w:rsidR="00D16D89" w:rsidRPr="007065AE" w:rsidRDefault="00D16D89" w:rsidP="00D16D89">
      <w:pPr>
        <w:rPr>
          <w:rFonts w:ascii="Arial" w:hAnsi="Arial" w:cs="Arial"/>
          <w:color w:val="000000" w:themeColor="text1"/>
          <w:lang w:val="en-US"/>
        </w:rPr>
      </w:pPr>
      <w:r w:rsidRPr="007065AE">
        <w:rPr>
          <w:rFonts w:ascii="Arial" w:hAnsi="Arial" w:cs="Arial"/>
          <w:color w:val="000000" w:themeColor="text1"/>
          <w:lang w:val="en-US"/>
        </w:rPr>
        <w:t xml:space="preserve">The </w:t>
      </w:r>
      <w:proofErr w:type="spellStart"/>
      <w:r w:rsidRPr="007065AE">
        <w:rPr>
          <w:rFonts w:ascii="Arial" w:hAnsi="Arial" w:cs="Arial"/>
          <w:color w:val="000000" w:themeColor="text1"/>
          <w:lang w:val="en-US"/>
        </w:rPr>
        <w:t>QIAamp</w:t>
      </w:r>
      <w:proofErr w:type="spellEnd"/>
      <w:r w:rsidRPr="007065AE">
        <w:rPr>
          <w:rFonts w:ascii="Arial" w:hAnsi="Arial" w:cs="Arial"/>
          <w:color w:val="000000" w:themeColor="text1"/>
          <w:lang w:val="en-US"/>
        </w:rPr>
        <w:t xml:space="preserve"> DNA Blood Midi Kit (Qiagen, 51183) was used according to the manufacturers’ instructions. gDNA from the patients was isolated from whole blood, bone marrow aspirate, granulocytes, sorted T cells (CD14</w:t>
      </w:r>
      <w:r w:rsidRPr="007065AE">
        <w:rPr>
          <w:rFonts w:ascii="Arial" w:hAnsi="Arial" w:cs="Arial"/>
          <w:color w:val="000000" w:themeColor="text1"/>
          <w:vertAlign w:val="superscript"/>
          <w:lang w:val="en-US"/>
        </w:rPr>
        <w:t>-</w:t>
      </w:r>
      <w:r w:rsidRPr="007065AE">
        <w:rPr>
          <w:rFonts w:ascii="Arial" w:hAnsi="Arial" w:cs="Arial"/>
          <w:color w:val="000000" w:themeColor="text1"/>
          <w:lang w:val="en-US"/>
        </w:rPr>
        <w:t>CD3</w:t>
      </w:r>
      <w:r w:rsidRPr="007065AE">
        <w:rPr>
          <w:rFonts w:ascii="Arial" w:hAnsi="Arial" w:cs="Arial"/>
          <w:color w:val="000000" w:themeColor="text1"/>
          <w:vertAlign w:val="superscript"/>
          <w:lang w:val="en-US"/>
        </w:rPr>
        <w:t>+</w:t>
      </w:r>
      <w:r w:rsidRPr="007065AE">
        <w:rPr>
          <w:rFonts w:ascii="Arial" w:hAnsi="Arial" w:cs="Arial"/>
          <w:color w:val="000000" w:themeColor="text1"/>
          <w:lang w:val="en-US"/>
        </w:rPr>
        <w:t>CD56</w:t>
      </w:r>
      <w:r w:rsidRPr="007065AE">
        <w:rPr>
          <w:rFonts w:ascii="Arial" w:hAnsi="Arial" w:cs="Arial"/>
          <w:color w:val="000000" w:themeColor="text1"/>
          <w:vertAlign w:val="superscript"/>
          <w:lang w:val="en-US"/>
        </w:rPr>
        <w:t>-</w:t>
      </w:r>
      <w:r w:rsidRPr="007065AE">
        <w:rPr>
          <w:rFonts w:ascii="Arial" w:hAnsi="Arial" w:cs="Arial"/>
          <w:color w:val="000000" w:themeColor="text1"/>
          <w:lang w:val="en-US"/>
        </w:rPr>
        <w:t>) and monocytes (CD14</w:t>
      </w:r>
      <w:r w:rsidRPr="007065AE">
        <w:rPr>
          <w:rFonts w:ascii="Arial" w:hAnsi="Arial" w:cs="Arial"/>
          <w:color w:val="000000" w:themeColor="text1"/>
          <w:vertAlign w:val="superscript"/>
          <w:lang w:val="en-US"/>
        </w:rPr>
        <w:t>+</w:t>
      </w:r>
      <w:r w:rsidRPr="007065AE">
        <w:rPr>
          <w:rFonts w:ascii="Arial" w:hAnsi="Arial" w:cs="Arial"/>
          <w:color w:val="000000" w:themeColor="text1"/>
          <w:lang w:val="en-US"/>
        </w:rPr>
        <w:t>). The amount of gDNA extracted from NK cells was insufficient to perform PCR. The PCR for UBA1 was done using the following primers: forward GCTCCACTCCTGTGTGTCTC and reverse GGGGGTACTCTAGGTCAGGG. Sanger sequencing was done by Eurofins Genomics (Belgium).</w:t>
      </w:r>
    </w:p>
    <w:p w14:paraId="3C03ADF0" w14:textId="77777777" w:rsidR="00D16D89" w:rsidRPr="007065AE" w:rsidRDefault="00D16D89" w:rsidP="00D16D89">
      <w:pPr>
        <w:rPr>
          <w:rFonts w:ascii="Arial" w:hAnsi="Arial" w:cs="Arial"/>
          <w:color w:val="000000" w:themeColor="text1"/>
          <w:lang w:val="en-US"/>
        </w:rPr>
      </w:pPr>
    </w:p>
    <w:p w14:paraId="74349FD5" w14:textId="77777777" w:rsidR="00D16D89" w:rsidRPr="007065AE" w:rsidRDefault="00D16D89" w:rsidP="00D16D89">
      <w:pPr>
        <w:rPr>
          <w:rFonts w:ascii="Arial" w:hAnsi="Arial" w:cs="Arial"/>
          <w:color w:val="000000" w:themeColor="text1"/>
          <w:u w:val="single"/>
          <w:lang w:val="en-US"/>
        </w:rPr>
      </w:pPr>
      <w:r w:rsidRPr="007065AE">
        <w:rPr>
          <w:rFonts w:ascii="Arial" w:hAnsi="Arial" w:cs="Arial"/>
          <w:color w:val="000000" w:themeColor="text1"/>
          <w:u w:val="single"/>
          <w:lang w:val="en-US"/>
        </w:rPr>
        <w:t>Serum IL-6 measurement</w:t>
      </w:r>
    </w:p>
    <w:p w14:paraId="21E4B1CE" w14:textId="77777777" w:rsidR="00D16D89" w:rsidRPr="007065AE" w:rsidRDefault="00D16D89" w:rsidP="00D16D89">
      <w:pPr>
        <w:rPr>
          <w:rFonts w:ascii="Arial" w:hAnsi="Arial" w:cs="Arial"/>
          <w:color w:val="000000" w:themeColor="text1"/>
          <w:lang w:val="en-US"/>
        </w:rPr>
      </w:pPr>
      <w:r w:rsidRPr="007065AE">
        <w:rPr>
          <w:rFonts w:ascii="Arial" w:hAnsi="Arial" w:cs="Arial"/>
          <w:color w:val="000000" w:themeColor="text1"/>
          <w:lang w:val="en-US"/>
        </w:rPr>
        <w:t xml:space="preserve">Serum IL-6 levels were quantified using the Human IL-6 </w:t>
      </w:r>
      <w:proofErr w:type="spellStart"/>
      <w:r w:rsidRPr="007065AE">
        <w:rPr>
          <w:rFonts w:ascii="Arial" w:hAnsi="Arial" w:cs="Arial"/>
          <w:color w:val="000000" w:themeColor="text1"/>
          <w:lang w:val="en-US"/>
        </w:rPr>
        <w:t>Quantikine</w:t>
      </w:r>
      <w:proofErr w:type="spellEnd"/>
      <w:r w:rsidRPr="007065AE">
        <w:rPr>
          <w:rFonts w:ascii="Arial" w:hAnsi="Arial" w:cs="Arial"/>
          <w:color w:val="000000" w:themeColor="text1"/>
          <w:lang w:val="en-US"/>
        </w:rPr>
        <w:t xml:space="preserve"> ELISA Kit (R&amp;D systems, D6050) according to the manufacturer’s instructions. The serum IL-6 levels of six healthy controls were below the detection limit (&lt;9.5 </w:t>
      </w:r>
      <w:proofErr w:type="spellStart"/>
      <w:r w:rsidRPr="007065AE">
        <w:rPr>
          <w:rFonts w:ascii="Arial" w:hAnsi="Arial" w:cs="Arial"/>
          <w:color w:val="000000" w:themeColor="text1"/>
          <w:lang w:val="en-US"/>
        </w:rPr>
        <w:t>pg</w:t>
      </w:r>
      <w:proofErr w:type="spellEnd"/>
      <w:r w:rsidRPr="007065AE">
        <w:rPr>
          <w:rFonts w:ascii="Arial" w:hAnsi="Arial" w:cs="Arial"/>
          <w:color w:val="000000" w:themeColor="text1"/>
          <w:lang w:val="en-US"/>
        </w:rPr>
        <w:t>/ml).</w:t>
      </w:r>
    </w:p>
    <w:p w14:paraId="5D85F663" w14:textId="77777777" w:rsidR="00D16D89" w:rsidRPr="007065AE" w:rsidRDefault="00D16D89" w:rsidP="00D16D89">
      <w:pPr>
        <w:spacing w:line="360" w:lineRule="auto"/>
        <w:jc w:val="both"/>
        <w:rPr>
          <w:rFonts w:ascii="Arial" w:hAnsi="Arial" w:cs="Arial"/>
          <w:b/>
          <w:color w:val="000000" w:themeColor="text1"/>
          <w:lang w:val="en-US"/>
        </w:rPr>
      </w:pPr>
    </w:p>
    <w:p w14:paraId="774A29E6" w14:textId="77777777" w:rsidR="00D16D89" w:rsidRPr="007065AE" w:rsidRDefault="00D16D89" w:rsidP="00D16D89">
      <w:pPr>
        <w:spacing w:line="360" w:lineRule="auto"/>
        <w:jc w:val="both"/>
        <w:rPr>
          <w:rFonts w:ascii="Arial" w:hAnsi="Arial" w:cs="Arial"/>
          <w:bCs/>
          <w:color w:val="000000" w:themeColor="text1"/>
          <w:u w:val="single"/>
          <w:lang w:val="en-US"/>
        </w:rPr>
      </w:pPr>
      <w:r w:rsidRPr="007065AE">
        <w:rPr>
          <w:rFonts w:ascii="Arial" w:hAnsi="Arial" w:cs="Arial"/>
          <w:bCs/>
          <w:color w:val="000000" w:themeColor="text1"/>
          <w:u w:val="single"/>
          <w:lang w:val="en-US"/>
        </w:rPr>
        <w:t>HLH-criteria</w:t>
      </w:r>
    </w:p>
    <w:p w14:paraId="73365902" w14:textId="77777777" w:rsidR="00D16D89" w:rsidRPr="007065AE" w:rsidRDefault="00D16D89" w:rsidP="00D16D89">
      <w:pPr>
        <w:spacing w:line="360" w:lineRule="auto"/>
        <w:rPr>
          <w:rFonts w:ascii="Arial" w:hAnsi="Arial" w:cs="Arial"/>
          <w:color w:val="000000" w:themeColor="text1"/>
          <w:lang w:val="en-US"/>
        </w:rPr>
      </w:pPr>
      <w:r w:rsidRPr="007065AE">
        <w:rPr>
          <w:rFonts w:ascii="Arial" w:hAnsi="Arial" w:cs="Arial"/>
          <w:color w:val="000000" w:themeColor="text1"/>
          <w:lang w:val="en-US"/>
        </w:rPr>
        <w:t xml:space="preserve">HLH-2004 diagnostic criteria in patient 1 were fever (present), splenomegaly (present), </w:t>
      </w:r>
      <w:proofErr w:type="spellStart"/>
      <w:r w:rsidRPr="007065AE">
        <w:rPr>
          <w:rFonts w:ascii="Arial" w:hAnsi="Arial" w:cs="Arial"/>
          <w:color w:val="000000" w:themeColor="text1"/>
          <w:lang w:val="en-US"/>
        </w:rPr>
        <w:t>bicytopenia</w:t>
      </w:r>
      <w:proofErr w:type="spellEnd"/>
      <w:r w:rsidRPr="007065AE">
        <w:rPr>
          <w:rFonts w:ascii="Arial" w:hAnsi="Arial" w:cs="Arial"/>
          <w:color w:val="000000" w:themeColor="text1"/>
          <w:lang w:val="en-US"/>
        </w:rPr>
        <w:t xml:space="preserve"> (present), hypertriglyceridemia and/or hypofibrinogenemia (present), </w:t>
      </w:r>
      <w:proofErr w:type="spellStart"/>
      <w:r w:rsidRPr="007065AE">
        <w:rPr>
          <w:rFonts w:ascii="Arial" w:hAnsi="Arial" w:cs="Arial"/>
          <w:color w:val="000000" w:themeColor="text1"/>
          <w:lang w:val="en-US"/>
        </w:rPr>
        <w:t>hemophagocytosis</w:t>
      </w:r>
      <w:proofErr w:type="spellEnd"/>
      <w:r w:rsidRPr="007065AE">
        <w:rPr>
          <w:rFonts w:ascii="Arial" w:hAnsi="Arial" w:cs="Arial"/>
          <w:color w:val="000000" w:themeColor="text1"/>
          <w:lang w:val="en-US"/>
        </w:rPr>
        <w:t xml:space="preserve"> (present), low/absent NK-cell-activity (not determined), </w:t>
      </w:r>
      <w:proofErr w:type="spellStart"/>
      <w:r w:rsidRPr="007065AE">
        <w:rPr>
          <w:rFonts w:ascii="Arial" w:hAnsi="Arial" w:cs="Arial"/>
          <w:color w:val="000000" w:themeColor="text1"/>
          <w:lang w:val="en-US"/>
        </w:rPr>
        <w:t>hyperferritinemia</w:t>
      </w:r>
      <w:proofErr w:type="spellEnd"/>
      <w:r w:rsidRPr="007065AE">
        <w:rPr>
          <w:rFonts w:ascii="Arial" w:hAnsi="Arial" w:cs="Arial"/>
          <w:color w:val="000000" w:themeColor="text1"/>
          <w:lang w:val="en-US"/>
        </w:rPr>
        <w:t xml:space="preserve"> (present), and high soluble interleukin-2-receptor (not determined), rendering a score of 6/8. </w:t>
      </w:r>
    </w:p>
    <w:p w14:paraId="0F5403B7" w14:textId="77777777" w:rsidR="00315719" w:rsidRDefault="00315719"/>
    <w:sectPr w:rsidR="00315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oofdtekst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89"/>
    <w:rsid w:val="00315719"/>
    <w:rsid w:val="00D16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9DE2"/>
  <w15:chartTrackingRefBased/>
  <w15:docId w15:val="{CBA8247B-322C-43C4-864A-87FF350F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89"/>
    <w:pPr>
      <w:spacing w:after="0" w:line="240" w:lineRule="auto"/>
    </w:pPr>
    <w:rPr>
      <w:rFonts w:ascii="Times New Roman" w:hAnsi="Times New Roman" w:cs="Times New Roman (Hoofdtekst CS)"/>
      <w:sz w:val="24"/>
      <w:szCs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Masterman</dc:creator>
  <cp:keywords/>
  <dc:description/>
  <cp:lastModifiedBy>Eleanor Masterman</cp:lastModifiedBy>
  <cp:revision>1</cp:revision>
  <dcterms:created xsi:type="dcterms:W3CDTF">2021-04-08T13:51:00Z</dcterms:created>
  <dcterms:modified xsi:type="dcterms:W3CDTF">2021-04-08T13:51:00Z</dcterms:modified>
</cp:coreProperties>
</file>