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BDB6E" w14:textId="0E847995" w:rsidR="006E221F" w:rsidRDefault="006E221F" w:rsidP="0072636A">
      <w:pPr>
        <w:spacing w:line="360" w:lineRule="auto"/>
        <w:jc w:val="center"/>
        <w:rPr>
          <w:rFonts w:eastAsia="DengXian"/>
          <w:b/>
        </w:rPr>
      </w:pPr>
      <w:r w:rsidRPr="00FD1722">
        <w:rPr>
          <w:rFonts w:eastAsia="DengXian"/>
          <w:b/>
        </w:rPr>
        <w:t xml:space="preserve">Table </w:t>
      </w:r>
      <w:r>
        <w:rPr>
          <w:rFonts w:eastAsia="DengXian"/>
          <w:b/>
        </w:rPr>
        <w:t>S1</w:t>
      </w:r>
      <w:r w:rsidRPr="00FD1722">
        <w:rPr>
          <w:rFonts w:eastAsia="DengXian"/>
          <w:b/>
        </w:rPr>
        <w:t>.</w:t>
      </w:r>
      <w:r w:rsidRPr="00FD1722">
        <w:rPr>
          <w:rFonts w:eastAsia="DengXian" w:hint="eastAsia"/>
          <w:b/>
        </w:rPr>
        <w:t xml:space="preserve"> </w:t>
      </w:r>
      <w:r w:rsidRPr="00FD1722">
        <w:rPr>
          <w:rFonts w:eastAsia="DengXian"/>
          <w:b/>
        </w:rPr>
        <w:t>De</w:t>
      </w:r>
      <w:r w:rsidRPr="00752D20">
        <w:rPr>
          <w:rFonts w:eastAsia="DengXian"/>
          <w:b/>
        </w:rPr>
        <w:t>tailed Description of the</w:t>
      </w:r>
      <w:r>
        <w:rPr>
          <w:rFonts w:eastAsia="DengXian"/>
          <w:b/>
        </w:rPr>
        <w:t xml:space="preserve"> </w:t>
      </w:r>
      <w:r w:rsidR="0072636A">
        <w:rPr>
          <w:rFonts w:eastAsia="DengXian"/>
          <w:b/>
        </w:rPr>
        <w:t xml:space="preserve">Clinical </w:t>
      </w:r>
      <w:r>
        <w:rPr>
          <w:rFonts w:eastAsia="DengXian"/>
          <w:b/>
        </w:rPr>
        <w:t>Spatial Features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853"/>
        <w:gridCol w:w="11107"/>
      </w:tblGrid>
      <w:tr w:rsidR="006E221F" w:rsidRPr="00752D20" w14:paraId="37F921B4" w14:textId="77777777" w:rsidTr="003554F5">
        <w:trPr>
          <w:trHeight w:val="362"/>
          <w:jc w:val="center"/>
        </w:trPr>
        <w:tc>
          <w:tcPr>
            <w:tcW w:w="1022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E0FE3" w14:textId="77777777" w:rsidR="006E221F" w:rsidRPr="00752D20" w:rsidRDefault="006E221F" w:rsidP="00B75091">
            <w:pPr>
              <w:spacing w:line="360" w:lineRule="auto"/>
              <w:rPr>
                <w:rFonts w:eastAsia="DengXian"/>
                <w:b/>
                <w:sz w:val="20"/>
                <w:szCs w:val="20"/>
              </w:rPr>
            </w:pPr>
            <w:r w:rsidRPr="00752D20">
              <w:rPr>
                <w:rFonts w:eastAsia="DengXian"/>
                <w:b/>
                <w:sz w:val="20"/>
                <w:szCs w:val="20"/>
              </w:rPr>
              <w:t>Feature ID</w:t>
            </w:r>
          </w:p>
        </w:tc>
        <w:tc>
          <w:tcPr>
            <w:tcW w:w="3978" w:type="pct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433EE" w14:textId="77777777" w:rsidR="006E221F" w:rsidRPr="00752D20" w:rsidRDefault="006E221F" w:rsidP="00B75091">
            <w:pPr>
              <w:spacing w:line="360" w:lineRule="auto"/>
              <w:rPr>
                <w:rFonts w:eastAsia="DengXian"/>
                <w:b/>
                <w:sz w:val="20"/>
                <w:szCs w:val="20"/>
              </w:rPr>
            </w:pPr>
            <w:r w:rsidRPr="00752D20">
              <w:rPr>
                <w:rFonts w:eastAsia="DengXian"/>
                <w:b/>
                <w:sz w:val="20"/>
                <w:szCs w:val="20"/>
              </w:rPr>
              <w:t>Description</w:t>
            </w:r>
          </w:p>
        </w:tc>
      </w:tr>
      <w:tr w:rsidR="006E221F" w:rsidRPr="00752D20" w14:paraId="457748BB" w14:textId="77777777" w:rsidTr="003554F5">
        <w:trPr>
          <w:trHeight w:val="284"/>
          <w:jc w:val="center"/>
        </w:trPr>
        <w:tc>
          <w:tcPr>
            <w:tcW w:w="10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ED3F9" w14:textId="77777777" w:rsidR="006E221F" w:rsidRPr="00752D20" w:rsidRDefault="006E221F" w:rsidP="00B75091">
            <w:pPr>
              <w:spacing w:line="360" w:lineRule="auto"/>
              <w:rPr>
                <w:rFonts w:eastAsia="DengXian"/>
                <w:sz w:val="20"/>
                <w:szCs w:val="20"/>
              </w:rPr>
            </w:pPr>
            <w:proofErr w:type="spellStart"/>
            <w:r>
              <w:rPr>
                <w:rFonts w:ascii="pæ‰Ë˛" w:hAnsi="pæ‰Ë˛" w:cs="pæ‰Ë˛"/>
                <w:sz w:val="20"/>
                <w:szCs w:val="20"/>
              </w:rPr>
              <w:t>SPATIAL_Frontal</w:t>
            </w:r>
            <w:proofErr w:type="spellEnd"/>
          </w:p>
        </w:tc>
        <w:tc>
          <w:tcPr>
            <w:tcW w:w="3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6F2A3" w14:textId="77777777" w:rsidR="006E221F" w:rsidRPr="00752D20" w:rsidRDefault="006E221F" w:rsidP="00B75091">
            <w:pPr>
              <w:spacing w:line="360" w:lineRule="auto"/>
              <w:rPr>
                <w:rFonts w:eastAsia="DengXian"/>
                <w:sz w:val="20"/>
                <w:szCs w:val="20"/>
              </w:rPr>
            </w:pPr>
            <w:r w:rsidRPr="00E315E7">
              <w:rPr>
                <w:rFonts w:eastAsia="DengXian"/>
                <w:sz w:val="20"/>
                <w:szCs w:val="20"/>
              </w:rPr>
              <w:t>Percent</w:t>
            </w:r>
            <w:r>
              <w:rPr>
                <w:rFonts w:eastAsia="DengXian"/>
                <w:sz w:val="20"/>
                <w:szCs w:val="20"/>
              </w:rPr>
              <w:t xml:space="preserve">age of TC volume in the frontal </w:t>
            </w:r>
            <w:r w:rsidRPr="00E315E7">
              <w:rPr>
                <w:rFonts w:eastAsia="DengXian"/>
                <w:sz w:val="20"/>
                <w:szCs w:val="20"/>
              </w:rPr>
              <w:t>lobe.</w:t>
            </w:r>
          </w:p>
        </w:tc>
      </w:tr>
      <w:tr w:rsidR="006E221F" w14:paraId="789120F2" w14:textId="77777777" w:rsidTr="003554F5">
        <w:trPr>
          <w:trHeight w:val="284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0EE5" w14:textId="77777777" w:rsidR="006E221F" w:rsidRDefault="006E221F" w:rsidP="00B75091">
            <w:pPr>
              <w:spacing w:line="360" w:lineRule="auto"/>
              <w:rPr>
                <w:rFonts w:eastAsia="DengXian"/>
                <w:sz w:val="20"/>
                <w:szCs w:val="20"/>
              </w:rPr>
            </w:pPr>
            <w:proofErr w:type="spellStart"/>
            <w:r>
              <w:rPr>
                <w:rFonts w:ascii="pæ‰Ë˛" w:hAnsi="pæ‰Ë˛" w:cs="pæ‰Ë˛"/>
                <w:sz w:val="20"/>
                <w:szCs w:val="20"/>
              </w:rPr>
              <w:t>SPATIAL_Temporal</w:t>
            </w:r>
            <w:proofErr w:type="spellEnd"/>
          </w:p>
        </w:tc>
        <w:tc>
          <w:tcPr>
            <w:tcW w:w="3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E1C50" w14:textId="77777777" w:rsidR="006E221F" w:rsidRPr="00FC264E" w:rsidRDefault="006E221F" w:rsidP="00B750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DengXian"/>
                <w:sz w:val="20"/>
                <w:szCs w:val="20"/>
              </w:rPr>
            </w:pPr>
            <w:r w:rsidRPr="00FC264E">
              <w:rPr>
                <w:rFonts w:eastAsia="DengXian"/>
                <w:sz w:val="20"/>
                <w:szCs w:val="20"/>
              </w:rPr>
              <w:t>Percentage of TC volume in the temporal lobe.</w:t>
            </w:r>
          </w:p>
        </w:tc>
      </w:tr>
      <w:tr w:rsidR="006E221F" w14:paraId="5E38435E" w14:textId="77777777" w:rsidTr="003554F5">
        <w:trPr>
          <w:trHeight w:val="284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9D5BA" w14:textId="77777777" w:rsidR="006E221F" w:rsidRDefault="006E221F" w:rsidP="00B75091">
            <w:pPr>
              <w:spacing w:line="360" w:lineRule="auto"/>
              <w:rPr>
                <w:rFonts w:eastAsia="DengXian"/>
                <w:sz w:val="20"/>
                <w:szCs w:val="20"/>
              </w:rPr>
            </w:pPr>
            <w:proofErr w:type="spellStart"/>
            <w:r>
              <w:rPr>
                <w:rFonts w:ascii="pæ‰Ë˛" w:hAnsi="pæ‰Ë˛" w:cs="pæ‰Ë˛"/>
                <w:sz w:val="20"/>
                <w:szCs w:val="20"/>
              </w:rPr>
              <w:t>SPATIAL_Parietal</w:t>
            </w:r>
            <w:proofErr w:type="spellEnd"/>
          </w:p>
        </w:tc>
        <w:tc>
          <w:tcPr>
            <w:tcW w:w="3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93D79" w14:textId="77777777" w:rsidR="006E221F" w:rsidRPr="00FC264E" w:rsidRDefault="006E221F" w:rsidP="00B750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DengXian"/>
                <w:sz w:val="20"/>
                <w:szCs w:val="20"/>
              </w:rPr>
            </w:pPr>
            <w:r w:rsidRPr="00E315E7">
              <w:rPr>
                <w:rFonts w:eastAsia="DengXian"/>
                <w:sz w:val="20"/>
                <w:szCs w:val="20"/>
              </w:rPr>
              <w:t>Percenta</w:t>
            </w:r>
            <w:r>
              <w:rPr>
                <w:rFonts w:eastAsia="DengXian"/>
                <w:sz w:val="20"/>
                <w:szCs w:val="20"/>
              </w:rPr>
              <w:t xml:space="preserve">ge of TC volume in the parietal </w:t>
            </w:r>
            <w:r w:rsidRPr="00E315E7">
              <w:rPr>
                <w:rFonts w:eastAsia="DengXian"/>
                <w:sz w:val="20"/>
                <w:szCs w:val="20"/>
              </w:rPr>
              <w:t>lobe.</w:t>
            </w:r>
          </w:p>
        </w:tc>
      </w:tr>
      <w:tr w:rsidR="006E221F" w14:paraId="1E0F9035" w14:textId="77777777" w:rsidTr="003554F5">
        <w:trPr>
          <w:trHeight w:val="284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D4318" w14:textId="77777777" w:rsidR="006E221F" w:rsidRDefault="006E221F" w:rsidP="00B75091">
            <w:pPr>
              <w:spacing w:line="360" w:lineRule="auto"/>
              <w:rPr>
                <w:rFonts w:eastAsia="DengXian"/>
                <w:sz w:val="20"/>
                <w:szCs w:val="20"/>
              </w:rPr>
            </w:pPr>
            <w:proofErr w:type="spellStart"/>
            <w:r>
              <w:rPr>
                <w:rFonts w:ascii="pæ‰Ë˛" w:hAnsi="pæ‰Ë˛" w:cs="pæ‰Ë˛"/>
                <w:sz w:val="20"/>
                <w:szCs w:val="20"/>
              </w:rPr>
              <w:t>SPATIAL_Basal_G</w:t>
            </w:r>
            <w:proofErr w:type="spellEnd"/>
          </w:p>
        </w:tc>
        <w:tc>
          <w:tcPr>
            <w:tcW w:w="3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3B04E" w14:textId="77777777" w:rsidR="006E221F" w:rsidRDefault="006E221F" w:rsidP="00B75091">
            <w:pPr>
              <w:spacing w:line="360" w:lineRule="auto"/>
              <w:rPr>
                <w:rFonts w:eastAsia="DengXian"/>
                <w:sz w:val="20"/>
                <w:szCs w:val="20"/>
              </w:rPr>
            </w:pPr>
            <w:r w:rsidRPr="00E315E7">
              <w:rPr>
                <w:rFonts w:eastAsia="DengXian"/>
                <w:sz w:val="20"/>
                <w:szCs w:val="20"/>
              </w:rPr>
              <w:t>Percent</w:t>
            </w:r>
            <w:r>
              <w:rPr>
                <w:rFonts w:eastAsia="DengXian"/>
                <w:sz w:val="20"/>
                <w:szCs w:val="20"/>
              </w:rPr>
              <w:t xml:space="preserve">age of TC volume in the regions </w:t>
            </w:r>
            <w:r w:rsidRPr="00E315E7">
              <w:rPr>
                <w:rFonts w:eastAsia="DengXian"/>
                <w:sz w:val="20"/>
                <w:szCs w:val="20"/>
              </w:rPr>
              <w:t>of putamen, caudate nucleus, globus</w:t>
            </w:r>
            <w:r>
              <w:rPr>
                <w:rFonts w:eastAsia="DengXian"/>
                <w:sz w:val="20"/>
                <w:szCs w:val="20"/>
              </w:rPr>
              <w:t xml:space="preserve"> </w:t>
            </w:r>
            <w:r w:rsidRPr="00E315E7">
              <w:rPr>
                <w:rFonts w:eastAsia="DengXian"/>
                <w:sz w:val="20"/>
                <w:szCs w:val="20"/>
              </w:rPr>
              <w:t>pallidus, subthalamic nucleus, nucleus</w:t>
            </w:r>
            <w:r>
              <w:rPr>
                <w:rFonts w:eastAsia="DengXi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DengXian"/>
                <w:sz w:val="20"/>
                <w:szCs w:val="20"/>
              </w:rPr>
              <w:t>accumbens</w:t>
            </w:r>
            <w:proofErr w:type="spellEnd"/>
            <w:r>
              <w:rPr>
                <w:rFonts w:eastAsia="DengXian"/>
                <w:sz w:val="20"/>
                <w:szCs w:val="20"/>
              </w:rPr>
              <w:t xml:space="preserve">, </w:t>
            </w:r>
            <w:r w:rsidRPr="00E315E7">
              <w:rPr>
                <w:rFonts w:eastAsia="DengXian"/>
                <w:sz w:val="20"/>
                <w:szCs w:val="20"/>
              </w:rPr>
              <w:t>internal capsule, and</w:t>
            </w:r>
            <w:r>
              <w:rPr>
                <w:rFonts w:eastAsia="DengXian"/>
                <w:sz w:val="20"/>
                <w:szCs w:val="20"/>
              </w:rPr>
              <w:t xml:space="preserve"> </w:t>
            </w:r>
            <w:r w:rsidRPr="00E315E7">
              <w:rPr>
                <w:rFonts w:eastAsia="DengXian"/>
                <w:sz w:val="20"/>
                <w:szCs w:val="20"/>
              </w:rPr>
              <w:t>thalamus.</w:t>
            </w:r>
          </w:p>
        </w:tc>
      </w:tr>
      <w:tr w:rsidR="006E221F" w14:paraId="0AEF4BFD" w14:textId="77777777" w:rsidTr="003554F5">
        <w:trPr>
          <w:trHeight w:val="284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BFC12" w14:textId="77777777" w:rsidR="006E221F" w:rsidRDefault="006E221F" w:rsidP="00B75091">
            <w:pPr>
              <w:spacing w:line="360" w:lineRule="auto"/>
              <w:rPr>
                <w:rFonts w:ascii="pæ‰Ë˛" w:hAnsi="pæ‰Ë˛" w:cs="pæ‰Ë˛"/>
                <w:sz w:val="20"/>
                <w:szCs w:val="20"/>
              </w:rPr>
            </w:pPr>
            <w:proofErr w:type="spellStart"/>
            <w:r>
              <w:rPr>
                <w:rFonts w:ascii="pæ‰Ë˛" w:hAnsi="pæ‰Ë˛" w:cs="pæ‰Ë˛"/>
                <w:sz w:val="20"/>
                <w:szCs w:val="20"/>
              </w:rPr>
              <w:t>SPATIAL_Insula</w:t>
            </w:r>
            <w:proofErr w:type="spellEnd"/>
          </w:p>
        </w:tc>
        <w:tc>
          <w:tcPr>
            <w:tcW w:w="3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22EEF" w14:textId="77777777" w:rsidR="006E221F" w:rsidRDefault="006E221F" w:rsidP="00B75091">
            <w:pPr>
              <w:spacing w:line="360" w:lineRule="auto"/>
              <w:rPr>
                <w:rFonts w:eastAsia="DengXian"/>
                <w:sz w:val="20"/>
                <w:szCs w:val="20"/>
              </w:rPr>
            </w:pPr>
            <w:r w:rsidRPr="00E315E7">
              <w:rPr>
                <w:rFonts w:eastAsia="DengXian"/>
                <w:sz w:val="20"/>
                <w:szCs w:val="20"/>
              </w:rPr>
              <w:t>Percentage of TC volume in the region of the insula.</w:t>
            </w:r>
          </w:p>
        </w:tc>
      </w:tr>
      <w:tr w:rsidR="006E221F" w14:paraId="263676F5" w14:textId="77777777" w:rsidTr="003554F5">
        <w:trPr>
          <w:trHeight w:val="284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2CF20" w14:textId="77777777" w:rsidR="006E221F" w:rsidRDefault="006E221F" w:rsidP="00B75091">
            <w:pPr>
              <w:spacing w:line="360" w:lineRule="auto"/>
              <w:rPr>
                <w:rFonts w:ascii="pæ‰Ë˛" w:hAnsi="pæ‰Ë˛" w:cs="pæ‰Ë˛"/>
                <w:sz w:val="20"/>
                <w:szCs w:val="20"/>
              </w:rPr>
            </w:pPr>
            <w:proofErr w:type="spellStart"/>
            <w:r>
              <w:rPr>
                <w:rFonts w:ascii="pæ‰Ë˛" w:hAnsi="pæ‰Ë˛" w:cs="pæ‰Ë˛"/>
                <w:sz w:val="20"/>
                <w:szCs w:val="20"/>
              </w:rPr>
              <w:t>SPATIAL_CC_Fornix</w:t>
            </w:r>
            <w:proofErr w:type="spellEnd"/>
          </w:p>
        </w:tc>
        <w:tc>
          <w:tcPr>
            <w:tcW w:w="3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0CA87" w14:textId="77777777" w:rsidR="006E221F" w:rsidRDefault="006E221F" w:rsidP="00B75091">
            <w:pPr>
              <w:spacing w:line="360" w:lineRule="auto"/>
              <w:rPr>
                <w:rFonts w:eastAsia="DengXian"/>
                <w:sz w:val="20"/>
                <w:szCs w:val="20"/>
              </w:rPr>
            </w:pPr>
            <w:r w:rsidRPr="00E315E7">
              <w:rPr>
                <w:rFonts w:eastAsia="DengXian"/>
                <w:sz w:val="20"/>
                <w:szCs w:val="20"/>
              </w:rPr>
              <w:t>Percent</w:t>
            </w:r>
            <w:r>
              <w:rPr>
                <w:rFonts w:eastAsia="DengXian"/>
                <w:sz w:val="20"/>
                <w:szCs w:val="20"/>
              </w:rPr>
              <w:t xml:space="preserve">age of TC volume in the regions </w:t>
            </w:r>
            <w:r w:rsidRPr="00E315E7">
              <w:rPr>
                <w:rFonts w:eastAsia="DengXian"/>
                <w:sz w:val="20"/>
                <w:szCs w:val="20"/>
              </w:rPr>
              <w:t>of corpus callosum, fornix, and cingulate.</w:t>
            </w:r>
          </w:p>
        </w:tc>
      </w:tr>
      <w:tr w:rsidR="006E221F" w14:paraId="39B06E38" w14:textId="77777777" w:rsidTr="003554F5">
        <w:trPr>
          <w:trHeight w:val="284"/>
          <w:jc w:val="center"/>
        </w:trPr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E6DA6" w14:textId="77777777" w:rsidR="006E221F" w:rsidRDefault="006E221F" w:rsidP="00B75091">
            <w:pPr>
              <w:spacing w:line="360" w:lineRule="auto"/>
              <w:rPr>
                <w:rFonts w:ascii="pæ‰Ë˛" w:hAnsi="pæ‰Ë˛" w:cs="pæ‰Ë˛"/>
                <w:sz w:val="20"/>
                <w:szCs w:val="20"/>
              </w:rPr>
            </w:pPr>
            <w:proofErr w:type="spellStart"/>
            <w:r>
              <w:rPr>
                <w:rFonts w:ascii="pæ‰Ë˛" w:hAnsi="pæ‰Ë˛" w:cs="pæ‰Ë˛"/>
                <w:sz w:val="20"/>
                <w:szCs w:val="20"/>
              </w:rPr>
              <w:t>SPATIAL_Occipital</w:t>
            </w:r>
            <w:proofErr w:type="spellEnd"/>
          </w:p>
        </w:tc>
        <w:tc>
          <w:tcPr>
            <w:tcW w:w="39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2836" w14:textId="77777777" w:rsidR="006E221F" w:rsidRPr="00FC264E" w:rsidRDefault="006E221F" w:rsidP="00B7509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DengXian"/>
                <w:sz w:val="20"/>
                <w:szCs w:val="20"/>
              </w:rPr>
            </w:pPr>
            <w:r w:rsidRPr="00FC264E">
              <w:rPr>
                <w:rFonts w:eastAsia="DengXian"/>
                <w:sz w:val="20"/>
                <w:szCs w:val="20"/>
              </w:rPr>
              <w:t>Percentage of TC volume in the occipital lobe.</w:t>
            </w:r>
          </w:p>
        </w:tc>
      </w:tr>
      <w:tr w:rsidR="006E221F" w14:paraId="7E3B0478" w14:textId="77777777" w:rsidTr="003554F5">
        <w:trPr>
          <w:trHeight w:val="284"/>
          <w:jc w:val="center"/>
        </w:trPr>
        <w:tc>
          <w:tcPr>
            <w:tcW w:w="102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0812293" w14:textId="77777777" w:rsidR="006E221F" w:rsidRDefault="006E221F" w:rsidP="00B75091">
            <w:pPr>
              <w:spacing w:line="360" w:lineRule="auto"/>
              <w:rPr>
                <w:rFonts w:ascii="pæ‰Ë˛" w:hAnsi="pæ‰Ë˛" w:cs="pæ‰Ë˛"/>
                <w:sz w:val="20"/>
                <w:szCs w:val="20"/>
              </w:rPr>
            </w:pPr>
            <w:proofErr w:type="spellStart"/>
            <w:r>
              <w:rPr>
                <w:rFonts w:ascii="pæ‰Ë˛" w:hAnsi="pæ‰Ë˛" w:cs="pæ‰Ë˛"/>
                <w:sz w:val="20"/>
                <w:szCs w:val="20"/>
              </w:rPr>
              <w:t>SPATIAL_Cere</w:t>
            </w:r>
            <w:proofErr w:type="spellEnd"/>
          </w:p>
        </w:tc>
        <w:tc>
          <w:tcPr>
            <w:tcW w:w="397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5183F23" w14:textId="77777777" w:rsidR="006E221F" w:rsidRDefault="006E221F" w:rsidP="00B75091">
            <w:pPr>
              <w:spacing w:line="360" w:lineRule="auto"/>
              <w:rPr>
                <w:rFonts w:eastAsia="DengXian"/>
                <w:sz w:val="20"/>
                <w:szCs w:val="20"/>
              </w:rPr>
            </w:pPr>
            <w:r w:rsidRPr="00E315E7">
              <w:rPr>
                <w:rFonts w:eastAsia="DengXian"/>
                <w:sz w:val="20"/>
                <w:szCs w:val="20"/>
              </w:rPr>
              <w:t>Percentag</w:t>
            </w:r>
            <w:r>
              <w:rPr>
                <w:rFonts w:eastAsia="DengXian"/>
                <w:sz w:val="20"/>
                <w:szCs w:val="20"/>
              </w:rPr>
              <w:t xml:space="preserve">e of TC volume in the region of </w:t>
            </w:r>
            <w:r w:rsidRPr="00E315E7">
              <w:rPr>
                <w:rFonts w:eastAsia="DengXian"/>
                <w:sz w:val="20"/>
                <w:szCs w:val="20"/>
              </w:rPr>
              <w:t>the cerebellum.</w:t>
            </w:r>
          </w:p>
        </w:tc>
      </w:tr>
    </w:tbl>
    <w:p w14:paraId="392758DE" w14:textId="77777777" w:rsidR="006E221F" w:rsidRPr="00E315E7" w:rsidRDefault="006E221F" w:rsidP="006E221F">
      <w:pPr>
        <w:spacing w:line="360" w:lineRule="auto"/>
        <w:rPr>
          <w:rFonts w:eastAsia="DengXian"/>
          <w:sz w:val="20"/>
          <w:szCs w:val="20"/>
        </w:rPr>
      </w:pPr>
      <w:r>
        <w:rPr>
          <w:rFonts w:eastAsia="DengXian"/>
          <w:sz w:val="20"/>
          <w:szCs w:val="20"/>
        </w:rPr>
        <w:t xml:space="preserve"> </w:t>
      </w:r>
      <w:r w:rsidRPr="00E315E7">
        <w:rPr>
          <w:rFonts w:eastAsia="DengXian"/>
          <w:sz w:val="20"/>
          <w:szCs w:val="20"/>
        </w:rPr>
        <w:t>Note: TC: Tumor core</w:t>
      </w:r>
    </w:p>
    <w:p w14:paraId="10829F09" w14:textId="02052304" w:rsidR="006E221F" w:rsidRDefault="006E221F" w:rsidP="002A2B3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</w:p>
    <w:p w14:paraId="1A1D068E" w14:textId="66912E9B" w:rsidR="006E221F" w:rsidRDefault="006E221F" w:rsidP="002A2B3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</w:p>
    <w:p w14:paraId="6AB5E9EA" w14:textId="5FDBAEA4" w:rsidR="006E221F" w:rsidRDefault="006E221F" w:rsidP="002A2B3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</w:p>
    <w:p w14:paraId="09C7B45B" w14:textId="4D5EB451" w:rsidR="006E221F" w:rsidRDefault="006E221F" w:rsidP="002A2B3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</w:rPr>
      </w:pPr>
    </w:p>
    <w:p w14:paraId="73EEE772" w14:textId="21773FC1" w:rsidR="003554F5" w:rsidRDefault="003554F5">
      <w:pPr>
        <w:rPr>
          <w:b/>
          <w:bCs/>
        </w:rPr>
      </w:pPr>
    </w:p>
    <w:p w14:paraId="76D58296" w14:textId="77FFAC86" w:rsidR="003554F5" w:rsidRDefault="003554F5">
      <w:pPr>
        <w:rPr>
          <w:b/>
          <w:bCs/>
        </w:rPr>
      </w:pPr>
    </w:p>
    <w:p w14:paraId="268A9096" w14:textId="2CD9805E" w:rsidR="003554F5" w:rsidRDefault="003554F5">
      <w:pPr>
        <w:rPr>
          <w:b/>
          <w:bCs/>
        </w:rPr>
      </w:pPr>
    </w:p>
    <w:p w14:paraId="2F1E60A1" w14:textId="77777777" w:rsidR="003554F5" w:rsidRDefault="003554F5">
      <w:pPr>
        <w:rPr>
          <w:b/>
          <w:bCs/>
        </w:rPr>
      </w:pPr>
    </w:p>
    <w:p w14:paraId="67B0BA22" w14:textId="261CC284" w:rsidR="002A2B35" w:rsidRPr="009E5F5B" w:rsidRDefault="002A2B35" w:rsidP="00392402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b/>
          <w:bCs/>
        </w:rPr>
      </w:pPr>
      <w:r w:rsidRPr="009E5F5B">
        <w:rPr>
          <w:b/>
          <w:bCs/>
        </w:rPr>
        <w:lastRenderedPageBreak/>
        <w:t>Table</w:t>
      </w:r>
      <w:r>
        <w:rPr>
          <w:b/>
          <w:bCs/>
        </w:rPr>
        <w:t xml:space="preserve"> S</w:t>
      </w:r>
      <w:r w:rsidR="006E221F">
        <w:rPr>
          <w:b/>
          <w:bCs/>
        </w:rPr>
        <w:t>2</w:t>
      </w:r>
      <w:r w:rsidRPr="009E5F5B">
        <w:rPr>
          <w:b/>
          <w:bCs/>
        </w:rPr>
        <w:t xml:space="preserve">. </w:t>
      </w:r>
      <w:r w:rsidRPr="00392402">
        <w:rPr>
          <w:b/>
        </w:rPr>
        <w:t xml:space="preserve">Demographic and Clinical Characteristics of </w:t>
      </w:r>
      <w:r w:rsidR="0072636A">
        <w:rPr>
          <w:b/>
        </w:rPr>
        <w:t xml:space="preserve">GBM </w:t>
      </w:r>
      <w:r w:rsidRPr="00392402">
        <w:rPr>
          <w:b/>
        </w:rPr>
        <w:t>Patients in the Training and Test Cohort</w:t>
      </w:r>
    </w:p>
    <w:tbl>
      <w:tblPr>
        <w:tblStyle w:val="a3"/>
        <w:tblW w:w="900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003"/>
      </w:tblGrid>
      <w:tr w:rsidR="002A2B35" w:rsidRPr="00FA5AB9" w14:paraId="21FBCB36" w14:textId="77777777" w:rsidTr="008A659F">
        <w:trPr>
          <w:trHeight w:val="170"/>
          <w:jc w:val="center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01E1A610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 xml:space="preserve">Characteristic 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48AC6304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Training Cohort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185F7AEE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Test Cohort</w:t>
            </w:r>
          </w:p>
        </w:tc>
      </w:tr>
      <w:tr w:rsidR="002A2B35" w:rsidRPr="00FA5AB9" w14:paraId="084DA8C6" w14:textId="77777777" w:rsidTr="008A659F">
        <w:trPr>
          <w:trHeight w:val="170"/>
          <w:jc w:val="center"/>
        </w:trPr>
        <w:tc>
          <w:tcPr>
            <w:tcW w:w="3003" w:type="dxa"/>
          </w:tcPr>
          <w:p w14:paraId="1F193824" w14:textId="7DC835EB" w:rsidR="002A2B35" w:rsidRPr="00FA5AB9" w:rsidRDefault="00FA5AB9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Gender</w:t>
            </w:r>
            <w:r w:rsidRPr="00FA5AB9">
              <w:rPr>
                <w:sz w:val="18"/>
                <w:szCs w:val="18"/>
              </w:rPr>
              <w:t xml:space="preserve"> </w:t>
            </w:r>
            <w:r w:rsidR="002A2B35" w:rsidRPr="00FA5AB9">
              <w:rPr>
                <w:sz w:val="18"/>
                <w:szCs w:val="18"/>
              </w:rPr>
              <w:t>Male</w:t>
            </w:r>
          </w:p>
        </w:tc>
        <w:tc>
          <w:tcPr>
            <w:tcW w:w="3003" w:type="dxa"/>
          </w:tcPr>
          <w:p w14:paraId="258B6EE8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35 (35.35)</w:t>
            </w:r>
          </w:p>
        </w:tc>
        <w:tc>
          <w:tcPr>
            <w:tcW w:w="3003" w:type="dxa"/>
          </w:tcPr>
          <w:p w14:paraId="712A8C1A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13 (43.33)</w:t>
            </w:r>
          </w:p>
        </w:tc>
      </w:tr>
      <w:tr w:rsidR="002A2B35" w:rsidRPr="00FA5AB9" w14:paraId="332E32FE" w14:textId="77777777" w:rsidTr="008A659F">
        <w:trPr>
          <w:trHeight w:val="170"/>
          <w:jc w:val="center"/>
        </w:trPr>
        <w:tc>
          <w:tcPr>
            <w:tcW w:w="3003" w:type="dxa"/>
          </w:tcPr>
          <w:p w14:paraId="265079FD" w14:textId="00FD147D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 xml:space="preserve">   </w:t>
            </w:r>
            <w:r w:rsidR="00FA5AB9" w:rsidRPr="00FA5AB9">
              <w:rPr>
                <w:sz w:val="18"/>
                <w:szCs w:val="18"/>
              </w:rPr>
              <w:t xml:space="preserve">           </w:t>
            </w:r>
            <w:r w:rsidRPr="00FA5AB9">
              <w:rPr>
                <w:sz w:val="18"/>
                <w:szCs w:val="18"/>
              </w:rPr>
              <w:t>Female</w:t>
            </w:r>
          </w:p>
        </w:tc>
        <w:tc>
          <w:tcPr>
            <w:tcW w:w="3003" w:type="dxa"/>
          </w:tcPr>
          <w:p w14:paraId="7864B261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64 (64.65)</w:t>
            </w:r>
          </w:p>
        </w:tc>
        <w:tc>
          <w:tcPr>
            <w:tcW w:w="3003" w:type="dxa"/>
          </w:tcPr>
          <w:p w14:paraId="4A1C1A6A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17 (56.67)</w:t>
            </w:r>
          </w:p>
        </w:tc>
      </w:tr>
      <w:tr w:rsidR="002A2B35" w:rsidRPr="00FA5AB9" w14:paraId="68421D3C" w14:textId="77777777" w:rsidTr="008A659F">
        <w:trPr>
          <w:trHeight w:val="170"/>
          <w:jc w:val="center"/>
        </w:trPr>
        <w:tc>
          <w:tcPr>
            <w:tcW w:w="3003" w:type="dxa"/>
          </w:tcPr>
          <w:p w14:paraId="0E6715FD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KPS</w:t>
            </w:r>
            <w:r w:rsidRPr="00FA5AB9">
              <w:rPr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003" w:type="dxa"/>
          </w:tcPr>
          <w:p w14:paraId="23C34AFA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80 (60-100)</w:t>
            </w:r>
          </w:p>
        </w:tc>
        <w:tc>
          <w:tcPr>
            <w:tcW w:w="3003" w:type="dxa"/>
          </w:tcPr>
          <w:p w14:paraId="162017EA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80 (40-80)</w:t>
            </w:r>
          </w:p>
        </w:tc>
      </w:tr>
      <w:tr w:rsidR="002A2B35" w:rsidRPr="00FA5AB9" w14:paraId="5FA1A9DD" w14:textId="77777777" w:rsidTr="008A659F">
        <w:trPr>
          <w:trHeight w:val="170"/>
          <w:jc w:val="center"/>
        </w:trPr>
        <w:tc>
          <w:tcPr>
            <w:tcW w:w="3003" w:type="dxa"/>
          </w:tcPr>
          <w:p w14:paraId="4B686D99" w14:textId="4A527E80" w:rsidR="002A2B35" w:rsidRPr="00FA5AB9" w:rsidRDefault="00164ABF" w:rsidP="00B75091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Age (years old)</w:t>
            </w:r>
            <w:r w:rsidRPr="00FA5AB9">
              <w:rPr>
                <w:b/>
                <w:sz w:val="18"/>
                <w:szCs w:val="18"/>
                <w:vertAlign w:val="superscript"/>
              </w:rPr>
              <w:t xml:space="preserve"> †</w:t>
            </w:r>
          </w:p>
        </w:tc>
        <w:tc>
          <w:tcPr>
            <w:tcW w:w="3003" w:type="dxa"/>
          </w:tcPr>
          <w:p w14:paraId="00416884" w14:textId="2880BEBE" w:rsidR="002A2B35" w:rsidRPr="00FA5AB9" w:rsidRDefault="00164ABF" w:rsidP="00B75091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0.8 (48.2-66.3)</w:t>
            </w:r>
          </w:p>
        </w:tc>
        <w:tc>
          <w:tcPr>
            <w:tcW w:w="3003" w:type="dxa"/>
          </w:tcPr>
          <w:p w14:paraId="685352F0" w14:textId="43E718C9" w:rsidR="002A2B35" w:rsidRPr="00FA5AB9" w:rsidRDefault="00164ABF" w:rsidP="00B7509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 (59.4-68.6)</w:t>
            </w:r>
          </w:p>
        </w:tc>
      </w:tr>
      <w:tr w:rsidR="002A2B35" w:rsidRPr="00FA5AB9" w14:paraId="5EA66A67" w14:textId="77777777" w:rsidTr="008A659F">
        <w:trPr>
          <w:trHeight w:val="170"/>
          <w:jc w:val="center"/>
        </w:trPr>
        <w:tc>
          <w:tcPr>
            <w:tcW w:w="3003" w:type="dxa"/>
          </w:tcPr>
          <w:p w14:paraId="57FE61FE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Follow-up time (days)</w:t>
            </w:r>
            <w:r w:rsidRPr="00FA5AB9">
              <w:rPr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3003" w:type="dxa"/>
          </w:tcPr>
          <w:p w14:paraId="55023DE4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384 (183-630)</w:t>
            </w:r>
          </w:p>
        </w:tc>
        <w:tc>
          <w:tcPr>
            <w:tcW w:w="3003" w:type="dxa"/>
          </w:tcPr>
          <w:p w14:paraId="520D2DE4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348 (151.5-531)</w:t>
            </w:r>
          </w:p>
        </w:tc>
      </w:tr>
      <w:tr w:rsidR="002A2B35" w:rsidRPr="00FA5AB9" w14:paraId="54193D56" w14:textId="77777777" w:rsidTr="008A659F">
        <w:trPr>
          <w:trHeight w:val="170"/>
          <w:jc w:val="center"/>
        </w:trPr>
        <w:tc>
          <w:tcPr>
            <w:tcW w:w="3003" w:type="dxa"/>
          </w:tcPr>
          <w:p w14:paraId="53526E26" w14:textId="12605F41" w:rsidR="002A2B35" w:rsidRPr="00FA5AB9" w:rsidRDefault="00FA5AB9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IDH</w:t>
            </w:r>
            <w:r w:rsidRPr="00FA5AB9">
              <w:rPr>
                <w:sz w:val="18"/>
                <w:szCs w:val="18"/>
              </w:rPr>
              <w:t xml:space="preserve"> </w:t>
            </w:r>
            <w:r w:rsidR="002A2B35" w:rsidRPr="00FA5AB9">
              <w:rPr>
                <w:sz w:val="18"/>
                <w:szCs w:val="18"/>
              </w:rPr>
              <w:t>Mutant</w:t>
            </w:r>
          </w:p>
        </w:tc>
        <w:tc>
          <w:tcPr>
            <w:tcW w:w="3003" w:type="dxa"/>
          </w:tcPr>
          <w:p w14:paraId="1C588BFC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2 (2.02)</w:t>
            </w:r>
          </w:p>
        </w:tc>
        <w:tc>
          <w:tcPr>
            <w:tcW w:w="3003" w:type="dxa"/>
          </w:tcPr>
          <w:p w14:paraId="0BFF16C5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1 (3.45)</w:t>
            </w:r>
          </w:p>
        </w:tc>
      </w:tr>
      <w:tr w:rsidR="002A2B35" w:rsidRPr="00FA5AB9" w14:paraId="09B656AD" w14:textId="77777777" w:rsidTr="008A659F">
        <w:trPr>
          <w:trHeight w:val="170"/>
          <w:jc w:val="center"/>
        </w:trPr>
        <w:tc>
          <w:tcPr>
            <w:tcW w:w="3003" w:type="dxa"/>
          </w:tcPr>
          <w:p w14:paraId="6752E7CD" w14:textId="42581AAB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 xml:space="preserve">   </w:t>
            </w:r>
            <w:r w:rsidR="00FA5AB9" w:rsidRPr="00FA5AB9">
              <w:rPr>
                <w:sz w:val="18"/>
                <w:szCs w:val="18"/>
              </w:rPr>
              <w:t xml:space="preserve">      </w:t>
            </w:r>
            <w:r w:rsidRPr="00FA5AB9">
              <w:rPr>
                <w:sz w:val="18"/>
                <w:szCs w:val="18"/>
              </w:rPr>
              <w:t>Wild</w:t>
            </w:r>
          </w:p>
        </w:tc>
        <w:tc>
          <w:tcPr>
            <w:tcW w:w="3003" w:type="dxa"/>
          </w:tcPr>
          <w:p w14:paraId="7293A253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97 (97.98)</w:t>
            </w:r>
          </w:p>
        </w:tc>
        <w:tc>
          <w:tcPr>
            <w:tcW w:w="3003" w:type="dxa"/>
          </w:tcPr>
          <w:p w14:paraId="24C737D9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29 (96.67)</w:t>
            </w:r>
          </w:p>
        </w:tc>
      </w:tr>
      <w:tr w:rsidR="002A2B35" w:rsidRPr="00FA5AB9" w14:paraId="1AF6B1E3" w14:textId="77777777" w:rsidTr="008A659F">
        <w:trPr>
          <w:trHeight w:val="170"/>
          <w:jc w:val="center"/>
        </w:trPr>
        <w:tc>
          <w:tcPr>
            <w:tcW w:w="3003" w:type="dxa"/>
          </w:tcPr>
          <w:p w14:paraId="13F4D50F" w14:textId="4C7D61A9" w:rsidR="002A2B35" w:rsidRPr="00FA5AB9" w:rsidRDefault="00FA5AB9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 xml:space="preserve">TP53 </w:t>
            </w:r>
            <w:r w:rsidR="002A2B35" w:rsidRPr="00FA5AB9">
              <w:rPr>
                <w:sz w:val="18"/>
                <w:szCs w:val="18"/>
              </w:rPr>
              <w:t>Mutant</w:t>
            </w:r>
          </w:p>
        </w:tc>
        <w:tc>
          <w:tcPr>
            <w:tcW w:w="3003" w:type="dxa"/>
          </w:tcPr>
          <w:p w14:paraId="329E63BC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20 (20.20)</w:t>
            </w:r>
          </w:p>
        </w:tc>
        <w:tc>
          <w:tcPr>
            <w:tcW w:w="3003" w:type="dxa"/>
          </w:tcPr>
          <w:p w14:paraId="0165017C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7 (23.33)</w:t>
            </w:r>
          </w:p>
        </w:tc>
      </w:tr>
      <w:tr w:rsidR="002A2B35" w:rsidRPr="00FA5AB9" w14:paraId="48EDA93C" w14:textId="77777777" w:rsidTr="008A659F">
        <w:trPr>
          <w:trHeight w:val="170"/>
          <w:jc w:val="center"/>
        </w:trPr>
        <w:tc>
          <w:tcPr>
            <w:tcW w:w="3003" w:type="dxa"/>
          </w:tcPr>
          <w:p w14:paraId="05132205" w14:textId="02758A36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 xml:space="preserve">   </w:t>
            </w:r>
            <w:r w:rsidR="00FA5AB9" w:rsidRPr="00FA5AB9">
              <w:rPr>
                <w:sz w:val="18"/>
                <w:szCs w:val="18"/>
              </w:rPr>
              <w:t xml:space="preserve">       </w:t>
            </w:r>
            <w:r w:rsidRPr="00FA5AB9">
              <w:rPr>
                <w:sz w:val="18"/>
                <w:szCs w:val="18"/>
              </w:rPr>
              <w:t>Wild</w:t>
            </w:r>
          </w:p>
        </w:tc>
        <w:tc>
          <w:tcPr>
            <w:tcW w:w="3003" w:type="dxa"/>
          </w:tcPr>
          <w:p w14:paraId="4A0CBC8C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79 (79.80)</w:t>
            </w:r>
          </w:p>
        </w:tc>
        <w:tc>
          <w:tcPr>
            <w:tcW w:w="3003" w:type="dxa"/>
          </w:tcPr>
          <w:p w14:paraId="65AA14D2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23 (76.67)</w:t>
            </w:r>
          </w:p>
        </w:tc>
      </w:tr>
      <w:tr w:rsidR="002A2B35" w:rsidRPr="00FA5AB9" w14:paraId="41111532" w14:textId="77777777" w:rsidTr="008A659F">
        <w:trPr>
          <w:trHeight w:val="170"/>
          <w:jc w:val="center"/>
        </w:trPr>
        <w:tc>
          <w:tcPr>
            <w:tcW w:w="3003" w:type="dxa"/>
          </w:tcPr>
          <w:p w14:paraId="64DDB2A4" w14:textId="1067B700" w:rsidR="002A2B35" w:rsidRPr="00FA5AB9" w:rsidRDefault="00FA5AB9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PTEN</w:t>
            </w:r>
            <w:r w:rsidRPr="00FA5AB9">
              <w:rPr>
                <w:sz w:val="18"/>
                <w:szCs w:val="18"/>
              </w:rPr>
              <w:t xml:space="preserve"> </w:t>
            </w:r>
            <w:r w:rsidR="002A2B35" w:rsidRPr="00FA5AB9">
              <w:rPr>
                <w:sz w:val="18"/>
                <w:szCs w:val="18"/>
              </w:rPr>
              <w:t>Mutant</w:t>
            </w:r>
          </w:p>
        </w:tc>
        <w:tc>
          <w:tcPr>
            <w:tcW w:w="3003" w:type="dxa"/>
          </w:tcPr>
          <w:p w14:paraId="281B329E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17 (17.18)</w:t>
            </w:r>
          </w:p>
        </w:tc>
        <w:tc>
          <w:tcPr>
            <w:tcW w:w="3003" w:type="dxa"/>
          </w:tcPr>
          <w:p w14:paraId="3671A699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10 (33.33)</w:t>
            </w:r>
          </w:p>
        </w:tc>
      </w:tr>
      <w:tr w:rsidR="002A2B35" w:rsidRPr="00FA5AB9" w14:paraId="0E82B9C4" w14:textId="77777777" w:rsidTr="008A659F">
        <w:trPr>
          <w:trHeight w:val="170"/>
          <w:jc w:val="center"/>
        </w:trPr>
        <w:tc>
          <w:tcPr>
            <w:tcW w:w="3003" w:type="dxa"/>
          </w:tcPr>
          <w:p w14:paraId="4767024B" w14:textId="1CDF26EC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 xml:space="preserve">   </w:t>
            </w:r>
            <w:r w:rsidR="00FA5AB9" w:rsidRPr="00FA5AB9">
              <w:rPr>
                <w:sz w:val="18"/>
                <w:szCs w:val="18"/>
              </w:rPr>
              <w:t xml:space="preserve">         </w:t>
            </w:r>
            <w:r w:rsidRPr="00FA5AB9">
              <w:rPr>
                <w:sz w:val="18"/>
                <w:szCs w:val="18"/>
              </w:rPr>
              <w:t>Wild</w:t>
            </w:r>
          </w:p>
        </w:tc>
        <w:tc>
          <w:tcPr>
            <w:tcW w:w="3003" w:type="dxa"/>
          </w:tcPr>
          <w:p w14:paraId="55CFDCFF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82 (82.82)</w:t>
            </w:r>
          </w:p>
        </w:tc>
        <w:tc>
          <w:tcPr>
            <w:tcW w:w="3003" w:type="dxa"/>
          </w:tcPr>
          <w:p w14:paraId="225E161A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 xml:space="preserve">20 (66.67) </w:t>
            </w:r>
          </w:p>
        </w:tc>
      </w:tr>
      <w:tr w:rsidR="002A2B35" w:rsidRPr="00FA5AB9" w14:paraId="0C057307" w14:textId="77777777" w:rsidTr="008A659F">
        <w:trPr>
          <w:trHeight w:val="170"/>
          <w:jc w:val="center"/>
        </w:trPr>
        <w:tc>
          <w:tcPr>
            <w:tcW w:w="3003" w:type="dxa"/>
          </w:tcPr>
          <w:p w14:paraId="353E84FC" w14:textId="6B09B629" w:rsidR="002A2B35" w:rsidRPr="00FA5AB9" w:rsidRDefault="00FA5AB9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EGFR</w:t>
            </w:r>
            <w:r w:rsidRPr="00FA5AB9">
              <w:rPr>
                <w:sz w:val="18"/>
                <w:szCs w:val="18"/>
              </w:rPr>
              <w:t xml:space="preserve"> </w:t>
            </w:r>
            <w:r w:rsidR="002A2B35" w:rsidRPr="00FA5AB9">
              <w:rPr>
                <w:sz w:val="18"/>
                <w:szCs w:val="18"/>
              </w:rPr>
              <w:t>Mutant</w:t>
            </w:r>
          </w:p>
        </w:tc>
        <w:tc>
          <w:tcPr>
            <w:tcW w:w="3003" w:type="dxa"/>
          </w:tcPr>
          <w:p w14:paraId="3A808D1E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11 (11.11)</w:t>
            </w:r>
          </w:p>
        </w:tc>
        <w:tc>
          <w:tcPr>
            <w:tcW w:w="3003" w:type="dxa"/>
          </w:tcPr>
          <w:p w14:paraId="70B28782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5 (16.67)</w:t>
            </w:r>
          </w:p>
        </w:tc>
      </w:tr>
      <w:tr w:rsidR="002A2B35" w:rsidRPr="00FA5AB9" w14:paraId="49F36BEF" w14:textId="77777777" w:rsidTr="008A659F">
        <w:trPr>
          <w:trHeight w:val="170"/>
          <w:jc w:val="center"/>
        </w:trPr>
        <w:tc>
          <w:tcPr>
            <w:tcW w:w="3003" w:type="dxa"/>
          </w:tcPr>
          <w:p w14:paraId="481A7D21" w14:textId="128E6CA9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 xml:space="preserve">   </w:t>
            </w:r>
            <w:r w:rsidR="00FA5AB9" w:rsidRPr="00FA5AB9">
              <w:rPr>
                <w:sz w:val="18"/>
                <w:szCs w:val="18"/>
              </w:rPr>
              <w:t xml:space="preserve">         </w:t>
            </w:r>
            <w:r w:rsidRPr="00FA5AB9">
              <w:rPr>
                <w:sz w:val="18"/>
                <w:szCs w:val="18"/>
              </w:rPr>
              <w:t>Wild</w:t>
            </w:r>
          </w:p>
        </w:tc>
        <w:tc>
          <w:tcPr>
            <w:tcW w:w="3003" w:type="dxa"/>
          </w:tcPr>
          <w:p w14:paraId="3B3F2D8F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88 (88.89)</w:t>
            </w:r>
          </w:p>
        </w:tc>
        <w:tc>
          <w:tcPr>
            <w:tcW w:w="3003" w:type="dxa"/>
          </w:tcPr>
          <w:p w14:paraId="01C3A73C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25 (83.33)</w:t>
            </w:r>
          </w:p>
        </w:tc>
      </w:tr>
      <w:tr w:rsidR="002A2B35" w:rsidRPr="00FA5AB9" w14:paraId="4DA39E66" w14:textId="77777777" w:rsidTr="008A659F">
        <w:trPr>
          <w:trHeight w:val="170"/>
          <w:jc w:val="center"/>
        </w:trPr>
        <w:tc>
          <w:tcPr>
            <w:tcW w:w="3003" w:type="dxa"/>
          </w:tcPr>
          <w:p w14:paraId="1A808014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Spatial in Frontal</w:t>
            </w:r>
            <w:r w:rsidRPr="00FA5AB9">
              <w:rPr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3003" w:type="dxa"/>
          </w:tcPr>
          <w:p w14:paraId="4EBE37FC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5.69 (0 – 27.21)</w:t>
            </w:r>
          </w:p>
        </w:tc>
        <w:tc>
          <w:tcPr>
            <w:tcW w:w="3003" w:type="dxa"/>
          </w:tcPr>
          <w:p w14:paraId="7276ABA4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9.27 (0-62.08)</w:t>
            </w:r>
          </w:p>
        </w:tc>
      </w:tr>
      <w:tr w:rsidR="002A2B35" w:rsidRPr="00FA5AB9" w14:paraId="554F37D0" w14:textId="77777777" w:rsidTr="008A659F">
        <w:trPr>
          <w:trHeight w:val="170"/>
          <w:jc w:val="center"/>
        </w:trPr>
        <w:tc>
          <w:tcPr>
            <w:tcW w:w="3003" w:type="dxa"/>
          </w:tcPr>
          <w:p w14:paraId="19009795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Spatial in Temporal</w:t>
            </w:r>
            <w:r w:rsidRPr="00FA5AB9">
              <w:rPr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3003" w:type="dxa"/>
          </w:tcPr>
          <w:p w14:paraId="46C3F184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36.20 (0.10 – 83.55)</w:t>
            </w:r>
          </w:p>
        </w:tc>
        <w:tc>
          <w:tcPr>
            <w:tcW w:w="3003" w:type="dxa"/>
          </w:tcPr>
          <w:p w14:paraId="66152C3E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34.60 (0.51-72.45)</w:t>
            </w:r>
          </w:p>
        </w:tc>
      </w:tr>
      <w:tr w:rsidR="002A2B35" w:rsidRPr="00FA5AB9" w14:paraId="28BA781F" w14:textId="77777777" w:rsidTr="008A659F">
        <w:trPr>
          <w:trHeight w:val="170"/>
          <w:jc w:val="center"/>
        </w:trPr>
        <w:tc>
          <w:tcPr>
            <w:tcW w:w="3003" w:type="dxa"/>
          </w:tcPr>
          <w:p w14:paraId="5B1D18FA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Spatial in Parietal</w:t>
            </w:r>
            <w:r w:rsidRPr="00FA5AB9">
              <w:rPr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3003" w:type="dxa"/>
          </w:tcPr>
          <w:p w14:paraId="065416AD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1.43 (0 – 32.28)</w:t>
            </w:r>
          </w:p>
        </w:tc>
        <w:tc>
          <w:tcPr>
            <w:tcW w:w="3003" w:type="dxa"/>
          </w:tcPr>
          <w:p w14:paraId="62F694E1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4.51 (0-21.50)</w:t>
            </w:r>
          </w:p>
        </w:tc>
      </w:tr>
      <w:tr w:rsidR="002A2B35" w:rsidRPr="00FA5AB9" w14:paraId="25068DA3" w14:textId="77777777" w:rsidTr="008A659F">
        <w:trPr>
          <w:trHeight w:val="170"/>
          <w:jc w:val="center"/>
        </w:trPr>
        <w:tc>
          <w:tcPr>
            <w:tcW w:w="3003" w:type="dxa"/>
          </w:tcPr>
          <w:p w14:paraId="149F04D2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Spatial in Basal G</w:t>
            </w:r>
            <w:r w:rsidRPr="00FA5AB9">
              <w:rPr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3003" w:type="dxa"/>
          </w:tcPr>
          <w:p w14:paraId="3388B1AC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0.08 (0 – 5.09)</w:t>
            </w:r>
          </w:p>
        </w:tc>
        <w:tc>
          <w:tcPr>
            <w:tcW w:w="3003" w:type="dxa"/>
          </w:tcPr>
          <w:p w14:paraId="1E14F4F8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0.72 (0-10.66)</w:t>
            </w:r>
          </w:p>
        </w:tc>
      </w:tr>
      <w:tr w:rsidR="002A2B35" w:rsidRPr="00FA5AB9" w14:paraId="4F2D474D" w14:textId="77777777" w:rsidTr="008A659F">
        <w:trPr>
          <w:trHeight w:val="170"/>
          <w:jc w:val="center"/>
        </w:trPr>
        <w:tc>
          <w:tcPr>
            <w:tcW w:w="3003" w:type="dxa"/>
          </w:tcPr>
          <w:p w14:paraId="07745AE5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Spatial in Insula</w:t>
            </w:r>
            <w:r w:rsidRPr="00FA5AB9">
              <w:rPr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3003" w:type="dxa"/>
          </w:tcPr>
          <w:p w14:paraId="15CFAAE8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0.47 (0 – 2.58)</w:t>
            </w:r>
          </w:p>
        </w:tc>
        <w:tc>
          <w:tcPr>
            <w:tcW w:w="3003" w:type="dxa"/>
          </w:tcPr>
          <w:p w14:paraId="5ADC4419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0.23 (0-5.70)</w:t>
            </w:r>
          </w:p>
        </w:tc>
      </w:tr>
      <w:tr w:rsidR="002A2B35" w:rsidRPr="00FA5AB9" w14:paraId="40A3F6B2" w14:textId="77777777" w:rsidTr="008A659F">
        <w:trPr>
          <w:trHeight w:val="170"/>
          <w:jc w:val="center"/>
        </w:trPr>
        <w:tc>
          <w:tcPr>
            <w:tcW w:w="3003" w:type="dxa"/>
          </w:tcPr>
          <w:p w14:paraId="1715351C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Spatial in CC fornix</w:t>
            </w:r>
            <w:r w:rsidRPr="00FA5AB9">
              <w:rPr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3003" w:type="dxa"/>
          </w:tcPr>
          <w:p w14:paraId="23A3285F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 (0 – 0.01)</w:t>
            </w:r>
          </w:p>
        </w:tc>
        <w:tc>
          <w:tcPr>
            <w:tcW w:w="3003" w:type="dxa"/>
          </w:tcPr>
          <w:p w14:paraId="45509D01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 (0-1.48)</w:t>
            </w:r>
          </w:p>
        </w:tc>
      </w:tr>
      <w:tr w:rsidR="002A2B35" w:rsidRPr="00FA5AB9" w14:paraId="2149B1C1" w14:textId="77777777" w:rsidTr="008A659F">
        <w:trPr>
          <w:trHeight w:val="170"/>
          <w:jc w:val="center"/>
        </w:trPr>
        <w:tc>
          <w:tcPr>
            <w:tcW w:w="3003" w:type="dxa"/>
          </w:tcPr>
          <w:p w14:paraId="6D3BE181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Spatial in Occipital</w:t>
            </w:r>
            <w:r w:rsidRPr="00FA5AB9">
              <w:rPr>
                <w:b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3003" w:type="dxa"/>
          </w:tcPr>
          <w:p w14:paraId="2D46FFB6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 (0 – 0.03)</w:t>
            </w:r>
          </w:p>
        </w:tc>
        <w:tc>
          <w:tcPr>
            <w:tcW w:w="3003" w:type="dxa"/>
          </w:tcPr>
          <w:p w14:paraId="17CCA7AF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 (0-0.09)</w:t>
            </w:r>
          </w:p>
        </w:tc>
      </w:tr>
      <w:tr w:rsidR="002A2B35" w:rsidRPr="00FA5AB9" w14:paraId="0B373BE1" w14:textId="77777777" w:rsidTr="008A659F">
        <w:trPr>
          <w:trHeight w:val="170"/>
          <w:jc w:val="center"/>
        </w:trPr>
        <w:tc>
          <w:tcPr>
            <w:tcW w:w="3003" w:type="dxa"/>
          </w:tcPr>
          <w:p w14:paraId="2334F00A" w14:textId="77777777" w:rsidR="002A2B35" w:rsidRPr="00FA5AB9" w:rsidRDefault="002A2B35" w:rsidP="00B75091">
            <w:pPr>
              <w:spacing w:line="360" w:lineRule="auto"/>
              <w:rPr>
                <w:b/>
                <w:sz w:val="18"/>
                <w:szCs w:val="18"/>
              </w:rPr>
            </w:pPr>
            <w:r w:rsidRPr="00FA5AB9">
              <w:rPr>
                <w:b/>
                <w:sz w:val="18"/>
                <w:szCs w:val="18"/>
              </w:rPr>
              <w:t>Spatial in Brain stem</w:t>
            </w:r>
          </w:p>
        </w:tc>
        <w:tc>
          <w:tcPr>
            <w:tcW w:w="3003" w:type="dxa"/>
          </w:tcPr>
          <w:p w14:paraId="40E96894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 (0-0)</w:t>
            </w:r>
          </w:p>
        </w:tc>
        <w:tc>
          <w:tcPr>
            <w:tcW w:w="3003" w:type="dxa"/>
          </w:tcPr>
          <w:p w14:paraId="555DD167" w14:textId="77777777" w:rsidR="002A2B35" w:rsidRPr="00FA5AB9" w:rsidRDefault="002A2B35" w:rsidP="00B75091">
            <w:pPr>
              <w:spacing w:line="360" w:lineRule="auto"/>
              <w:rPr>
                <w:sz w:val="18"/>
                <w:szCs w:val="18"/>
              </w:rPr>
            </w:pPr>
            <w:r w:rsidRPr="00FA5AB9">
              <w:rPr>
                <w:sz w:val="18"/>
                <w:szCs w:val="18"/>
              </w:rPr>
              <w:t>0 (0-0.10)</w:t>
            </w:r>
          </w:p>
        </w:tc>
      </w:tr>
    </w:tbl>
    <w:p w14:paraId="6100E9F3" w14:textId="2EE0444A" w:rsidR="002A2B35" w:rsidRPr="00716975" w:rsidRDefault="002A2B35" w:rsidP="002A2B35">
      <w:pPr>
        <w:spacing w:line="360" w:lineRule="auto"/>
        <w:rPr>
          <w:sz w:val="20"/>
          <w:szCs w:val="20"/>
        </w:rPr>
      </w:pPr>
      <w:r w:rsidRPr="00716975">
        <w:rPr>
          <w:sz w:val="20"/>
          <w:szCs w:val="20"/>
        </w:rPr>
        <w:t xml:space="preserve">Note. Unless otherwise specified, data are numbers of patients, with percentages in parentheses. No difference was found between the training and the </w:t>
      </w:r>
      <w:r>
        <w:rPr>
          <w:sz w:val="20"/>
          <w:szCs w:val="20"/>
        </w:rPr>
        <w:t>test</w:t>
      </w:r>
      <w:r w:rsidRPr="00716975">
        <w:rPr>
          <w:sz w:val="20"/>
          <w:szCs w:val="20"/>
        </w:rPr>
        <w:t xml:space="preserve"> data set </w:t>
      </w:r>
      <w:r w:rsidR="0072636A">
        <w:rPr>
          <w:sz w:val="20"/>
          <w:szCs w:val="20"/>
        </w:rPr>
        <w:t>for</w:t>
      </w:r>
      <w:r w:rsidR="0072636A" w:rsidRPr="00716975">
        <w:rPr>
          <w:sz w:val="20"/>
          <w:szCs w:val="20"/>
        </w:rPr>
        <w:t xml:space="preserve"> </w:t>
      </w:r>
      <w:r w:rsidRPr="00716975">
        <w:rPr>
          <w:sz w:val="20"/>
          <w:szCs w:val="20"/>
        </w:rPr>
        <w:t>either the clinical characteristics or the follow-up data.</w:t>
      </w:r>
    </w:p>
    <w:p w14:paraId="7B1BE67E" w14:textId="77777777" w:rsidR="002A2B35" w:rsidRPr="00716975" w:rsidRDefault="002A2B35" w:rsidP="002A2B35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716975">
        <w:rPr>
          <w:sz w:val="20"/>
          <w:szCs w:val="20"/>
        </w:rPr>
        <w:t>* Data in parentheses are ranges.</w:t>
      </w:r>
    </w:p>
    <w:p w14:paraId="5897563C" w14:textId="03D61014" w:rsidR="008A659F" w:rsidRPr="00FA5AB9" w:rsidRDefault="002A2B35" w:rsidP="00C35DEE">
      <w:pPr>
        <w:spacing w:line="360" w:lineRule="auto"/>
        <w:rPr>
          <w:sz w:val="20"/>
          <w:szCs w:val="20"/>
        </w:rPr>
      </w:pPr>
      <w:r w:rsidRPr="00716975">
        <w:rPr>
          <w:sz w:val="20"/>
          <w:szCs w:val="20"/>
        </w:rPr>
        <w:t>† Data in parentheses are interquartile range</w:t>
      </w:r>
    </w:p>
    <w:p w14:paraId="43D2EA65" w14:textId="29BF14A5" w:rsidR="00C35DEE" w:rsidRDefault="00C35DEE" w:rsidP="00392402">
      <w:pPr>
        <w:spacing w:line="360" w:lineRule="auto"/>
        <w:jc w:val="center"/>
        <w:rPr>
          <w:rFonts w:eastAsia="DengXian"/>
          <w:b/>
        </w:rPr>
      </w:pPr>
      <w:r>
        <w:rPr>
          <w:rFonts w:eastAsia="DengXian"/>
          <w:b/>
        </w:rPr>
        <w:t>Table S</w:t>
      </w:r>
      <w:r w:rsidR="002A2B35">
        <w:rPr>
          <w:rFonts w:eastAsia="DengXian"/>
          <w:b/>
        </w:rPr>
        <w:t>3</w:t>
      </w:r>
      <w:r>
        <w:rPr>
          <w:rFonts w:eastAsia="DengXian"/>
          <w:b/>
        </w:rPr>
        <w:t xml:space="preserve">. </w:t>
      </w:r>
      <w:r w:rsidRPr="001B5868">
        <w:rPr>
          <w:rFonts w:eastAsia="DengXian"/>
          <w:b/>
        </w:rPr>
        <w:t>Radiomics signature calculation formula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950"/>
      </w:tblGrid>
      <w:tr w:rsidR="00C35DEE" w14:paraId="2AE6E3DF" w14:textId="77777777" w:rsidTr="000F0762">
        <w:tc>
          <w:tcPr>
            <w:tcW w:w="13950" w:type="dxa"/>
          </w:tcPr>
          <w:p w14:paraId="0D770AD2" w14:textId="77777777" w:rsidR="00C35DEE" w:rsidRPr="00FD1722" w:rsidRDefault="00C35DEE" w:rsidP="002261AB">
            <w:pPr>
              <w:spacing w:line="360" w:lineRule="auto"/>
              <w:rPr>
                <w:rFonts w:ascii="Cambria Math" w:hAnsi="Cambria Math" w:cs="Arial"/>
                <w:sz w:val="22"/>
              </w:rPr>
            </w:pPr>
            <w:r>
              <w:rPr>
                <w:rFonts w:ascii="Cambria Math" w:hAnsi="Cambria Math" w:cs="Arial"/>
                <w:sz w:val="22"/>
              </w:rPr>
              <w:t>Radscore-</w:t>
            </w:r>
            <w:r w:rsidRPr="00B928E2">
              <w:rPr>
                <w:rFonts w:ascii="Cambria Math" w:hAnsi="Cambria Math" w:cs="Arial"/>
                <w:sz w:val="22"/>
              </w:rPr>
              <w:t xml:space="preserve">ET = 0.219454820 ∙ SOLIDITY_ET + 0.1854476053 ∙ ECCENTRICITY_ET + (-0.0016264664) ∙ INTENSITY_Mean_ET_T2 + </w:t>
            </w:r>
            <w:bookmarkStart w:id="0" w:name="OLE_LINK2"/>
            <w:r w:rsidRPr="00B928E2">
              <w:rPr>
                <w:rFonts w:ascii="Cambria Math" w:hAnsi="Cambria Math" w:cs="Arial"/>
                <w:sz w:val="22"/>
              </w:rPr>
              <w:t>4.450693e</w:t>
            </w:r>
            <w:r w:rsidRPr="00B928E2">
              <w:rPr>
                <w:rFonts w:ascii="Cambria Math" w:hAnsi="Cambria Math" w:cs="Arial"/>
                <w:sz w:val="22"/>
                <w:vertAlign w:val="superscript"/>
              </w:rPr>
              <w:t>-04</w:t>
            </w:r>
            <w:r w:rsidRPr="00B928E2">
              <w:rPr>
                <w:rFonts w:ascii="Cambria Math" w:hAnsi="Cambria Math" w:cs="Arial"/>
                <w:sz w:val="22"/>
              </w:rPr>
              <w:t xml:space="preserve"> ∙ HISTO_ET_T1_Bin6</w:t>
            </w:r>
            <w:bookmarkEnd w:id="0"/>
            <w:r w:rsidRPr="00B928E2">
              <w:rPr>
                <w:rFonts w:ascii="Cambria Math" w:hAnsi="Cambria Math" w:cs="Arial"/>
                <w:sz w:val="22"/>
              </w:rPr>
              <w:t xml:space="preserve"> + (-1.206945e</w:t>
            </w:r>
            <w:r w:rsidRPr="00B928E2">
              <w:rPr>
                <w:rFonts w:ascii="Cambria Math" w:hAnsi="Cambria Math" w:cs="Arial"/>
                <w:sz w:val="22"/>
                <w:vertAlign w:val="superscript"/>
              </w:rPr>
              <w:t>-02</w:t>
            </w:r>
            <w:r w:rsidRPr="00B928E2">
              <w:rPr>
                <w:rFonts w:ascii="Cambria Math" w:hAnsi="Cambria Math" w:cs="Arial"/>
                <w:sz w:val="22"/>
              </w:rPr>
              <w:t>) ∙ HISTO_ET_T1_Bin9 + (-2.953768e</w:t>
            </w:r>
            <w:r w:rsidRPr="00B928E2">
              <w:rPr>
                <w:rFonts w:ascii="Cambria Math" w:hAnsi="Cambria Math" w:cs="Arial"/>
                <w:sz w:val="22"/>
                <w:vertAlign w:val="superscript"/>
              </w:rPr>
              <w:t>-02</w:t>
            </w:r>
            <w:r w:rsidRPr="00B928E2">
              <w:rPr>
                <w:rFonts w:ascii="Cambria Math" w:hAnsi="Cambria Math" w:cs="Arial"/>
                <w:sz w:val="22"/>
              </w:rPr>
              <w:t>) ∙ HISTO_ET_T1_Bin10 + (-6.574296e</w:t>
            </w:r>
            <w:r w:rsidRPr="00B928E2">
              <w:rPr>
                <w:rFonts w:ascii="Cambria Math" w:hAnsi="Cambria Math" w:cs="Arial"/>
                <w:sz w:val="22"/>
                <w:vertAlign w:val="superscript"/>
              </w:rPr>
              <w:t>-01</w:t>
            </w:r>
            <w:r w:rsidRPr="00B928E2">
              <w:rPr>
                <w:rFonts w:ascii="Cambria Math" w:hAnsi="Cambria Math" w:cs="Arial"/>
                <w:sz w:val="22"/>
              </w:rPr>
              <w:t>) ∙ TEXTURE_GLRLM_ET_T2_LGRE + (-2.198876e</w:t>
            </w:r>
            <w:r w:rsidRPr="00B928E2">
              <w:rPr>
                <w:rFonts w:ascii="Cambria Math" w:hAnsi="Cambria Math" w:cs="Arial"/>
                <w:sz w:val="22"/>
                <w:vertAlign w:val="superscript"/>
              </w:rPr>
              <w:t>01</w:t>
            </w:r>
            <w:r w:rsidRPr="00B928E2">
              <w:rPr>
                <w:rFonts w:ascii="Cambria Math" w:hAnsi="Cambria Math" w:cs="Arial"/>
                <w:sz w:val="22"/>
              </w:rPr>
              <w:t>) ∙ TEXTURE_GLSZM_ET_T1_SZLGE + 2.975086e</w:t>
            </w:r>
            <w:r w:rsidRPr="00B928E2">
              <w:rPr>
                <w:rFonts w:ascii="Cambria Math" w:hAnsi="Cambria Math" w:cs="Arial"/>
                <w:sz w:val="22"/>
                <w:vertAlign w:val="superscript"/>
              </w:rPr>
              <w:t>-03</w:t>
            </w:r>
            <w:r w:rsidRPr="00B928E2">
              <w:rPr>
                <w:rFonts w:ascii="Cambria Math" w:hAnsi="Cambria Math" w:cs="Arial"/>
                <w:sz w:val="22"/>
              </w:rPr>
              <w:t xml:space="preserve"> ∙ TEXTURE_GLSZM_ET_T2_LZLGE + 3.520358e</w:t>
            </w:r>
            <w:r w:rsidRPr="00B928E2">
              <w:rPr>
                <w:rFonts w:ascii="Cambria Math" w:hAnsi="Cambria Math" w:cs="Arial"/>
                <w:sz w:val="22"/>
                <w:vertAlign w:val="superscript"/>
              </w:rPr>
              <w:t>-04</w:t>
            </w:r>
            <w:r w:rsidRPr="00B928E2">
              <w:rPr>
                <w:rFonts w:ascii="Cambria Math" w:hAnsi="Cambria Math" w:cs="Arial"/>
                <w:sz w:val="22"/>
              </w:rPr>
              <w:t xml:space="preserve"> ∙ TEXTURE_GLSZM_ET_FLAIR_LZE</w:t>
            </w:r>
          </w:p>
        </w:tc>
      </w:tr>
      <w:tr w:rsidR="00C35DEE" w:rsidRPr="0072636A" w14:paraId="12ECCC3F" w14:textId="77777777" w:rsidTr="000F0762">
        <w:tc>
          <w:tcPr>
            <w:tcW w:w="13950" w:type="dxa"/>
          </w:tcPr>
          <w:p w14:paraId="76C0A3B9" w14:textId="77777777" w:rsidR="00C35DEE" w:rsidRPr="0072636A" w:rsidRDefault="00C35DEE" w:rsidP="002261AB">
            <w:pPr>
              <w:spacing w:line="360" w:lineRule="auto"/>
              <w:rPr>
                <w:rFonts w:ascii="Cambria Math" w:hAnsi="Cambria Math" w:cs="Arial"/>
                <w:sz w:val="22"/>
                <w:lang w:val="de-DE"/>
              </w:rPr>
            </w:pP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Radscore-NET = </w:t>
            </w:r>
            <w:bookmarkStart w:id="1" w:name="OLE_LINK3"/>
            <w:r w:rsidRPr="0072636A">
              <w:rPr>
                <w:rFonts w:ascii="Cambria Math" w:hAnsi="Cambria Math" w:cs="Arial"/>
                <w:sz w:val="22"/>
                <w:lang w:val="de-DE"/>
              </w:rPr>
              <w:t>(-0.3689748) ∙ VOLUME_NET_OVER_WT</w:t>
            </w:r>
            <w:bookmarkEnd w:id="1"/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+ (-0.4749949) ∙ SOLIDITY_NET +</w:t>
            </w:r>
            <w:bookmarkStart w:id="2" w:name="OLE_LINK4"/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6.426720e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∙ HISTO_NET_T2_Bin2</w:t>
            </w:r>
            <w:bookmarkEnd w:id="2"/>
          </w:p>
          <w:p w14:paraId="5755D582" w14:textId="77777777" w:rsidR="00C35DEE" w:rsidRPr="0072636A" w:rsidRDefault="00C35DEE" w:rsidP="002261AB">
            <w:pPr>
              <w:spacing w:line="360" w:lineRule="auto"/>
              <w:rPr>
                <w:rFonts w:ascii="Cambria Math" w:hAnsi="Cambria Math" w:cs="Arial"/>
                <w:sz w:val="22"/>
                <w:lang w:val="de-DE"/>
              </w:rPr>
            </w:pP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+ 2.103468e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∙ HISTO_NET_T2_Bin4 +</w:t>
            </w:r>
            <w:bookmarkStart w:id="3" w:name="OLE_LINK5"/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(-2.284474e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∙ HISTO_NET_T2_Bin7 </w:t>
            </w:r>
            <w:bookmarkEnd w:id="3"/>
            <w:r w:rsidRPr="0072636A">
              <w:rPr>
                <w:rFonts w:ascii="Cambria Math" w:hAnsi="Cambria Math" w:cs="Arial"/>
                <w:sz w:val="22"/>
                <w:lang w:val="de-DE"/>
              </w:rPr>
              <w:t>+ (-1.384110e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 xml:space="preserve"> ∙ 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>HISTO_NET_FLAIR_Bin2 + 6.883969e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-04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 xml:space="preserve"> ∙ 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>HISTO_NET_FLAIR_Bin7 + (-7.152464e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-01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 xml:space="preserve"> 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TEXTURE_GLRLM_NET_T2_LRLGE + 2.5411909516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 xml:space="preserve"> 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TEXTURE_GLSZM_NET_FLAIR_SZLGE + 1.467716e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-06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 xml:space="preserve"> 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>TEXTURE_NGTDM_NET_T1_Complexity</w:t>
            </w:r>
          </w:p>
        </w:tc>
      </w:tr>
      <w:tr w:rsidR="00C35DEE" w:rsidRPr="0072636A" w14:paraId="21337CDC" w14:textId="77777777" w:rsidTr="000F0762">
        <w:tc>
          <w:tcPr>
            <w:tcW w:w="13950" w:type="dxa"/>
          </w:tcPr>
          <w:p w14:paraId="21645592" w14:textId="77777777" w:rsidR="00C35DEE" w:rsidRPr="0072636A" w:rsidRDefault="00C35DEE" w:rsidP="002261AB">
            <w:pPr>
              <w:spacing w:beforeLines="50" w:before="120" w:afterLines="50" w:after="120" w:line="360" w:lineRule="auto"/>
              <w:rPr>
                <w:rFonts w:ascii="Cambria Math" w:hAnsi="Cambria Math" w:cs="Arial"/>
                <w:sz w:val="22"/>
                <w:lang w:val="de-DE"/>
              </w:rPr>
            </w:pPr>
            <w:r w:rsidRPr="0072636A">
              <w:rPr>
                <w:rFonts w:ascii="Cambria Math" w:hAnsi="Cambria Math" w:cs="Arial"/>
                <w:sz w:val="22"/>
                <w:lang w:val="de-DE"/>
              </w:rPr>
              <w:t>Radscore-ED = (-0.1652031)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 xml:space="preserve"> 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SOLIDITY_ED + (-0.07528354)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HISTO_ED_T1_Bin1 + (-0.01584542)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 xml:space="preserve"> ∙ </m:t>
              </m:r>
              <w:bookmarkStart w:id="4" w:name="OLE_LINK6"/>
              <w:bookmarkStart w:id="5" w:name="OLE_LINK7"/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HISTO_ED_T1_Bin10</m:t>
              </m:r>
            </m:oMath>
            <w:bookmarkEnd w:id="4"/>
            <w:bookmarkEnd w:id="5"/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+ 0.0010044853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 xml:space="preserve"> ∙ 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>HISTO_ED_T2_Bin2 + (-2.397592e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HISTO_ED_T2_Bin7 + (-0.0034031282)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HISTO_ED_T2_Bin8 + (-2.967122e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-02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TEXTURE_GLRLM_ED_FLAIR_LRLGE + 3.893689e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-01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TEXTURE_GLSZM_ED_T1_SZE + (-3.648048e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TEXTURE_GLSZM_ED_T1_LZLGE + 9.812213e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-02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TEXTURE_NGTDM_ED_T2_Busyness</w:t>
            </w:r>
          </w:p>
        </w:tc>
      </w:tr>
      <w:tr w:rsidR="00C35DEE" w:rsidRPr="0072636A" w14:paraId="5D6ECECC" w14:textId="77777777" w:rsidTr="000F0762">
        <w:tc>
          <w:tcPr>
            <w:tcW w:w="13950" w:type="dxa"/>
          </w:tcPr>
          <w:p w14:paraId="4F49CDF3" w14:textId="77777777" w:rsidR="00C35DEE" w:rsidRPr="0072636A" w:rsidRDefault="00C35DEE" w:rsidP="002261AB">
            <w:pPr>
              <w:spacing w:line="360" w:lineRule="auto"/>
              <w:rPr>
                <w:rFonts w:ascii="Cambria Math" w:hAnsi="Cambria Math" w:cs="Arial"/>
                <w:sz w:val="22"/>
                <w:lang w:val="de-DE"/>
              </w:rPr>
            </w:pPr>
            <w:r w:rsidRPr="0072636A">
              <w:rPr>
                <w:rFonts w:ascii="Cambria Math" w:hAnsi="Cambria Math" w:cs="Arial"/>
                <w:sz w:val="22"/>
                <w:lang w:val="de-DE"/>
              </w:rPr>
              <w:t>Radscore-</w:t>
            </w:r>
            <w:r w:rsidRPr="0072636A">
              <w:rPr>
                <w:rFonts w:ascii="Cambria Math" w:hAnsi="Cambria Math" w:cs="Arial" w:hint="eastAsia"/>
                <w:sz w:val="22"/>
                <w:lang w:val="de-DE"/>
              </w:rPr>
              <w:t>Con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= (-3.822443e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HISTO_ET_T1_Bin9 + (-1.506377e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-02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HISTO_ET_T1_Bin10 + (-6.140192e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-02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VOLUME_NET_OVER_WT + (-4.786771e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-01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SOLIDITY_NET + 1.832719e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HISTO_NET_T2_Bin2 + (-4.384262e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-04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HISTO_NET_T2_Bin7 + (-1.949495e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HISTO_NET_FLAIR_Bin1 + (-2.876273e</w:t>
            </w:r>
            <w:r w:rsidRPr="0072636A">
              <w:rPr>
                <w:rFonts w:ascii="Cambria Math" w:hAnsi="Cambria Math" w:cs="Arial"/>
                <w:sz w:val="22"/>
                <w:vertAlign w:val="superscript"/>
                <w:lang w:val="de-DE"/>
              </w:rPr>
              <w:t>-03</w:t>
            </w:r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)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lang w:val="de-DE"/>
                </w:rPr>
                <m:t>∙</m:t>
              </m:r>
            </m:oMath>
            <w:r w:rsidRPr="0072636A">
              <w:rPr>
                <w:rFonts w:ascii="Cambria Math" w:hAnsi="Cambria Math" w:cs="Arial"/>
                <w:sz w:val="22"/>
                <w:lang w:val="de-DE"/>
              </w:rPr>
              <w:t xml:space="preserve"> SOLIDITY_ED</w:t>
            </w:r>
          </w:p>
        </w:tc>
      </w:tr>
    </w:tbl>
    <w:p w14:paraId="7F005B0C" w14:textId="77777777" w:rsidR="00C35DEE" w:rsidRPr="0072636A" w:rsidRDefault="00C35DEE" w:rsidP="00C35DEE">
      <w:pPr>
        <w:spacing w:line="360" w:lineRule="auto"/>
        <w:rPr>
          <w:rFonts w:eastAsia="DengXian"/>
          <w:b/>
          <w:lang w:val="de-DE"/>
        </w:rPr>
      </w:pPr>
    </w:p>
    <w:p w14:paraId="4BB1CDA0" w14:textId="77777777" w:rsidR="00C35DEE" w:rsidRPr="0072636A" w:rsidRDefault="00C35DEE" w:rsidP="00C35DEE">
      <w:pPr>
        <w:spacing w:line="360" w:lineRule="auto"/>
        <w:rPr>
          <w:rFonts w:ascii="Arial" w:hAnsi="Arial" w:cs="Arial"/>
          <w:color w:val="FF0000"/>
          <w:lang w:val="de-DE"/>
        </w:rPr>
      </w:pPr>
    </w:p>
    <w:p w14:paraId="7F2A4D1C" w14:textId="77777777" w:rsidR="00C35DEE" w:rsidRPr="0072636A" w:rsidRDefault="00C35DEE" w:rsidP="00C35DEE">
      <w:pPr>
        <w:spacing w:line="360" w:lineRule="auto"/>
        <w:rPr>
          <w:rFonts w:ascii="Arial" w:hAnsi="Arial" w:cs="Arial"/>
          <w:color w:val="FF0000"/>
          <w:lang w:val="de-DE"/>
        </w:rPr>
      </w:pPr>
    </w:p>
    <w:p w14:paraId="14DD3126" w14:textId="77777777" w:rsidR="00C35DEE" w:rsidRPr="0072636A" w:rsidRDefault="00C35DEE" w:rsidP="00C35DEE">
      <w:pPr>
        <w:spacing w:line="360" w:lineRule="auto"/>
        <w:rPr>
          <w:rFonts w:ascii="Arial" w:hAnsi="Arial" w:cs="Arial"/>
          <w:color w:val="FF0000"/>
          <w:lang w:val="de-DE"/>
        </w:rPr>
      </w:pPr>
    </w:p>
    <w:p w14:paraId="04B32998" w14:textId="15FD2105" w:rsidR="00C35DEE" w:rsidRPr="0072636A" w:rsidRDefault="00C35DEE" w:rsidP="00C35DEE">
      <w:pPr>
        <w:spacing w:line="360" w:lineRule="auto"/>
        <w:rPr>
          <w:rFonts w:ascii="Arial" w:hAnsi="Arial" w:cs="Arial"/>
          <w:color w:val="FF0000"/>
          <w:lang w:val="de-DE"/>
        </w:rPr>
      </w:pPr>
    </w:p>
    <w:p w14:paraId="62D28644" w14:textId="4DDBA2F1" w:rsidR="003554F5" w:rsidRPr="0072636A" w:rsidRDefault="003554F5">
      <w:pPr>
        <w:rPr>
          <w:rFonts w:ascii="Arial" w:hAnsi="Arial" w:cs="Arial"/>
          <w:color w:val="FF0000"/>
          <w:lang w:val="de-DE"/>
        </w:rPr>
      </w:pPr>
    </w:p>
    <w:p w14:paraId="78905183" w14:textId="6CA88D7E" w:rsidR="00A87A77" w:rsidRPr="00392402" w:rsidRDefault="00A87A77" w:rsidP="00392402">
      <w:pPr>
        <w:spacing w:line="360" w:lineRule="auto"/>
        <w:jc w:val="center"/>
        <w:rPr>
          <w:b/>
        </w:rPr>
      </w:pPr>
      <w:r w:rsidRPr="00392402">
        <w:rPr>
          <w:b/>
          <w:color w:val="000000" w:themeColor="text1"/>
        </w:rPr>
        <w:t>Table S</w:t>
      </w:r>
      <w:r w:rsidR="002A2B35" w:rsidRPr="00392402">
        <w:rPr>
          <w:b/>
          <w:color w:val="000000" w:themeColor="text1"/>
        </w:rPr>
        <w:t>4</w:t>
      </w:r>
      <w:r w:rsidRPr="00392402">
        <w:rPr>
          <w:b/>
          <w:color w:val="000000" w:themeColor="text1"/>
        </w:rPr>
        <w:t xml:space="preserve">. </w:t>
      </w:r>
      <w:r w:rsidRPr="00392402">
        <w:rPr>
          <w:b/>
        </w:rPr>
        <w:t>Overall survival rate in high- and low-Radscore Groups</w:t>
      </w:r>
    </w:p>
    <w:tbl>
      <w:tblPr>
        <w:tblStyle w:val="a3"/>
        <w:tblW w:w="14000" w:type="dxa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5"/>
        <w:gridCol w:w="1889"/>
        <w:gridCol w:w="2608"/>
        <w:gridCol w:w="2515"/>
        <w:gridCol w:w="2608"/>
        <w:gridCol w:w="2645"/>
      </w:tblGrid>
      <w:tr w:rsidR="00A87A77" w:rsidRPr="0072636A" w14:paraId="3CE20279" w14:textId="77777777" w:rsidTr="003554F5">
        <w:tc>
          <w:tcPr>
            <w:tcW w:w="3624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3940354" w14:textId="77777777" w:rsidR="00A87A77" w:rsidRPr="00392402" w:rsidRDefault="00A87A77" w:rsidP="005F282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Parameter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050875A" w14:textId="77777777" w:rsidR="00A87A77" w:rsidRPr="00392402" w:rsidRDefault="00A87A77" w:rsidP="005F282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Training Cohort</w:t>
            </w:r>
          </w:p>
        </w:tc>
        <w:tc>
          <w:tcPr>
            <w:tcW w:w="525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C657FBB" w14:textId="495F7B91" w:rsidR="00A87A77" w:rsidRPr="00392402" w:rsidRDefault="000F0762" w:rsidP="005F2827">
            <w:pPr>
              <w:spacing w:line="360" w:lineRule="auto"/>
              <w:jc w:val="center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Test</w:t>
            </w:r>
            <w:r w:rsidR="00A87A77" w:rsidRPr="00392402">
              <w:rPr>
                <w:b/>
                <w:bCs/>
                <w:sz w:val="21"/>
                <w:szCs w:val="21"/>
              </w:rPr>
              <w:t xml:space="preserve"> Cohort</w:t>
            </w:r>
          </w:p>
        </w:tc>
      </w:tr>
      <w:tr w:rsidR="00A87A77" w:rsidRPr="0072636A" w14:paraId="0CB12D1E" w14:textId="77777777" w:rsidTr="003554F5">
        <w:tc>
          <w:tcPr>
            <w:tcW w:w="3624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4585B81E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14:paraId="35F540C6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high-Radscore Group</w:t>
            </w:r>
          </w:p>
        </w:tc>
        <w:tc>
          <w:tcPr>
            <w:tcW w:w="2515" w:type="dxa"/>
            <w:tcBorders>
              <w:top w:val="nil"/>
              <w:bottom w:val="single" w:sz="4" w:space="0" w:color="auto"/>
            </w:tcBorders>
            <w:vAlign w:val="center"/>
          </w:tcPr>
          <w:p w14:paraId="1CC2B8A9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low-Radscore Group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vAlign w:val="center"/>
          </w:tcPr>
          <w:p w14:paraId="7532DEDE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high-Radscore Group</w:t>
            </w:r>
          </w:p>
        </w:tc>
        <w:tc>
          <w:tcPr>
            <w:tcW w:w="2645" w:type="dxa"/>
            <w:tcBorders>
              <w:top w:val="nil"/>
              <w:bottom w:val="single" w:sz="4" w:space="0" w:color="auto"/>
            </w:tcBorders>
            <w:vAlign w:val="center"/>
          </w:tcPr>
          <w:p w14:paraId="3B9CE2AF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low-Radscore Group</w:t>
            </w:r>
          </w:p>
        </w:tc>
      </w:tr>
      <w:tr w:rsidR="003554F5" w:rsidRPr="0072636A" w14:paraId="1443A927" w14:textId="77777777" w:rsidTr="003554F5">
        <w:trPr>
          <w:trHeight w:val="340"/>
        </w:trPr>
        <w:tc>
          <w:tcPr>
            <w:tcW w:w="1735" w:type="dxa"/>
            <w:vMerge w:val="restart"/>
            <w:tcBorders>
              <w:top w:val="single" w:sz="4" w:space="0" w:color="auto"/>
            </w:tcBorders>
            <w:vAlign w:val="center"/>
          </w:tcPr>
          <w:p w14:paraId="041C8DB3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Radscore-ET</w:t>
            </w:r>
          </w:p>
        </w:tc>
        <w:tc>
          <w:tcPr>
            <w:tcW w:w="1889" w:type="dxa"/>
            <w:tcBorders>
              <w:top w:val="single" w:sz="4" w:space="0" w:color="auto"/>
            </w:tcBorders>
          </w:tcPr>
          <w:p w14:paraId="5674CF89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No. of patients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5A4AADDC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81 (81.8)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DFCAAC2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18 (18.2)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14:paraId="612FCC83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22 (73.3)</w:t>
            </w: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01C59722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8 (26.7)</w:t>
            </w:r>
          </w:p>
        </w:tc>
      </w:tr>
      <w:tr w:rsidR="003554F5" w:rsidRPr="0072636A" w14:paraId="2004A3F1" w14:textId="77777777" w:rsidTr="003554F5">
        <w:tc>
          <w:tcPr>
            <w:tcW w:w="1735" w:type="dxa"/>
            <w:vMerge/>
          </w:tcPr>
          <w:p w14:paraId="02BD00AF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27CFF6F1" w14:textId="77777777" w:rsidR="00A87A77" w:rsidRPr="00392402" w:rsidRDefault="00A87A77" w:rsidP="005F2827">
            <w:pPr>
              <w:spacing w:line="360" w:lineRule="auto"/>
              <w:ind w:right="120"/>
              <w:jc w:val="right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Median (day)*</w:t>
            </w:r>
          </w:p>
        </w:tc>
        <w:tc>
          <w:tcPr>
            <w:tcW w:w="2608" w:type="dxa"/>
          </w:tcPr>
          <w:p w14:paraId="70414C53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372 (175-600)</w:t>
            </w:r>
          </w:p>
        </w:tc>
        <w:tc>
          <w:tcPr>
            <w:tcW w:w="2515" w:type="dxa"/>
          </w:tcPr>
          <w:p w14:paraId="1419F5A8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775 (576-1256.5)</w:t>
            </w:r>
          </w:p>
        </w:tc>
        <w:tc>
          <w:tcPr>
            <w:tcW w:w="2608" w:type="dxa"/>
          </w:tcPr>
          <w:p w14:paraId="42F1D7EB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344 (168-531)</w:t>
            </w:r>
          </w:p>
        </w:tc>
        <w:tc>
          <w:tcPr>
            <w:tcW w:w="2645" w:type="dxa"/>
          </w:tcPr>
          <w:p w14:paraId="52F51A74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444.5 (296.5-854.25)</w:t>
            </w:r>
          </w:p>
        </w:tc>
      </w:tr>
      <w:tr w:rsidR="003554F5" w:rsidRPr="0072636A" w14:paraId="58F21B9D" w14:textId="77777777" w:rsidTr="003554F5">
        <w:tc>
          <w:tcPr>
            <w:tcW w:w="1735" w:type="dxa"/>
            <w:vMerge/>
          </w:tcPr>
          <w:p w14:paraId="6D12192F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6A5D0899" w14:textId="77777777" w:rsidR="00A87A77" w:rsidRPr="00392402" w:rsidRDefault="00A87A77" w:rsidP="005F2827">
            <w:pPr>
              <w:spacing w:line="360" w:lineRule="auto"/>
              <w:ind w:right="120"/>
              <w:jc w:val="right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Shortest (day)</w:t>
            </w:r>
          </w:p>
        </w:tc>
        <w:tc>
          <w:tcPr>
            <w:tcW w:w="2608" w:type="dxa"/>
          </w:tcPr>
          <w:p w14:paraId="0E1FBE69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16</w:t>
            </w:r>
          </w:p>
        </w:tc>
        <w:tc>
          <w:tcPr>
            <w:tcW w:w="2515" w:type="dxa"/>
          </w:tcPr>
          <w:p w14:paraId="72D87A0A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111</w:t>
            </w:r>
          </w:p>
        </w:tc>
        <w:tc>
          <w:tcPr>
            <w:tcW w:w="2608" w:type="dxa"/>
          </w:tcPr>
          <w:p w14:paraId="75CEBECD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30</w:t>
            </w:r>
          </w:p>
        </w:tc>
        <w:tc>
          <w:tcPr>
            <w:tcW w:w="2645" w:type="dxa"/>
          </w:tcPr>
          <w:p w14:paraId="177AB157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5</w:t>
            </w:r>
          </w:p>
        </w:tc>
      </w:tr>
      <w:tr w:rsidR="003554F5" w:rsidRPr="0072636A" w14:paraId="4904D5E5" w14:textId="77777777" w:rsidTr="003554F5">
        <w:tc>
          <w:tcPr>
            <w:tcW w:w="1735" w:type="dxa"/>
            <w:vMerge w:val="restart"/>
            <w:vAlign w:val="center"/>
          </w:tcPr>
          <w:p w14:paraId="5B1A3B0A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Radscore-NET</w:t>
            </w:r>
          </w:p>
        </w:tc>
        <w:tc>
          <w:tcPr>
            <w:tcW w:w="1889" w:type="dxa"/>
          </w:tcPr>
          <w:p w14:paraId="1857C2C8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No. of patients</w:t>
            </w:r>
          </w:p>
        </w:tc>
        <w:tc>
          <w:tcPr>
            <w:tcW w:w="2608" w:type="dxa"/>
          </w:tcPr>
          <w:p w14:paraId="79D82574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82 (82.8)</w:t>
            </w:r>
          </w:p>
        </w:tc>
        <w:tc>
          <w:tcPr>
            <w:tcW w:w="2515" w:type="dxa"/>
          </w:tcPr>
          <w:p w14:paraId="7421D92F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17 (17.2)</w:t>
            </w:r>
          </w:p>
        </w:tc>
        <w:tc>
          <w:tcPr>
            <w:tcW w:w="2608" w:type="dxa"/>
          </w:tcPr>
          <w:p w14:paraId="5195DEA1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18 (60.0)</w:t>
            </w:r>
          </w:p>
        </w:tc>
        <w:tc>
          <w:tcPr>
            <w:tcW w:w="2645" w:type="dxa"/>
          </w:tcPr>
          <w:p w14:paraId="7D8A9862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12 (40.0)</w:t>
            </w:r>
          </w:p>
        </w:tc>
      </w:tr>
      <w:tr w:rsidR="003554F5" w:rsidRPr="0072636A" w14:paraId="2C3D52AF" w14:textId="77777777" w:rsidTr="003554F5">
        <w:tc>
          <w:tcPr>
            <w:tcW w:w="1735" w:type="dxa"/>
            <w:vMerge/>
          </w:tcPr>
          <w:p w14:paraId="598E9A6A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89" w:type="dxa"/>
          </w:tcPr>
          <w:p w14:paraId="4EC6C7BF" w14:textId="77777777" w:rsidR="00A87A77" w:rsidRPr="00392402" w:rsidRDefault="00A87A77" w:rsidP="005F2827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Median (day)*</w:t>
            </w:r>
          </w:p>
        </w:tc>
        <w:tc>
          <w:tcPr>
            <w:tcW w:w="2608" w:type="dxa"/>
          </w:tcPr>
          <w:p w14:paraId="3AE9D22A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366 (179.25-588.5)</w:t>
            </w:r>
          </w:p>
        </w:tc>
        <w:tc>
          <w:tcPr>
            <w:tcW w:w="2515" w:type="dxa"/>
          </w:tcPr>
          <w:p w14:paraId="37305EB0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873 (630-1356)</w:t>
            </w:r>
          </w:p>
        </w:tc>
        <w:tc>
          <w:tcPr>
            <w:tcW w:w="2608" w:type="dxa"/>
          </w:tcPr>
          <w:p w14:paraId="55AD6013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298 (168-433.25)</w:t>
            </w:r>
          </w:p>
        </w:tc>
        <w:tc>
          <w:tcPr>
            <w:tcW w:w="2645" w:type="dxa"/>
          </w:tcPr>
          <w:p w14:paraId="774BA672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647 (340.25-1149)</w:t>
            </w:r>
          </w:p>
        </w:tc>
      </w:tr>
      <w:tr w:rsidR="003554F5" w:rsidRPr="0072636A" w14:paraId="4441831A" w14:textId="77777777" w:rsidTr="003554F5">
        <w:tc>
          <w:tcPr>
            <w:tcW w:w="1735" w:type="dxa"/>
            <w:vMerge/>
          </w:tcPr>
          <w:p w14:paraId="4799D35F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89" w:type="dxa"/>
          </w:tcPr>
          <w:p w14:paraId="734ECE82" w14:textId="77777777" w:rsidR="00A87A77" w:rsidRPr="00392402" w:rsidRDefault="00A87A77" w:rsidP="005F2827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Shortest (day)</w:t>
            </w:r>
          </w:p>
        </w:tc>
        <w:tc>
          <w:tcPr>
            <w:tcW w:w="2608" w:type="dxa"/>
          </w:tcPr>
          <w:p w14:paraId="315539C1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16</w:t>
            </w:r>
          </w:p>
        </w:tc>
        <w:tc>
          <w:tcPr>
            <w:tcW w:w="2515" w:type="dxa"/>
          </w:tcPr>
          <w:p w14:paraId="2D956393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103</w:t>
            </w:r>
          </w:p>
        </w:tc>
        <w:tc>
          <w:tcPr>
            <w:tcW w:w="2608" w:type="dxa"/>
          </w:tcPr>
          <w:p w14:paraId="5719DCA9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82</w:t>
            </w:r>
          </w:p>
        </w:tc>
        <w:tc>
          <w:tcPr>
            <w:tcW w:w="2645" w:type="dxa"/>
          </w:tcPr>
          <w:p w14:paraId="16332C91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5</w:t>
            </w:r>
          </w:p>
        </w:tc>
      </w:tr>
      <w:tr w:rsidR="003554F5" w:rsidRPr="0072636A" w14:paraId="18F3DB00" w14:textId="77777777" w:rsidTr="003554F5">
        <w:tc>
          <w:tcPr>
            <w:tcW w:w="1735" w:type="dxa"/>
            <w:vMerge w:val="restart"/>
            <w:vAlign w:val="center"/>
          </w:tcPr>
          <w:p w14:paraId="204F60C7" w14:textId="77777777" w:rsidR="00A87A77" w:rsidRPr="00392402" w:rsidRDefault="00A87A77" w:rsidP="005F2827">
            <w:pPr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Radscore-ED</w:t>
            </w:r>
          </w:p>
        </w:tc>
        <w:tc>
          <w:tcPr>
            <w:tcW w:w="1889" w:type="dxa"/>
          </w:tcPr>
          <w:p w14:paraId="20406E17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No. of patients</w:t>
            </w:r>
          </w:p>
        </w:tc>
        <w:tc>
          <w:tcPr>
            <w:tcW w:w="2608" w:type="dxa"/>
          </w:tcPr>
          <w:p w14:paraId="62CC19E2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81 (81.8)</w:t>
            </w:r>
          </w:p>
        </w:tc>
        <w:tc>
          <w:tcPr>
            <w:tcW w:w="2515" w:type="dxa"/>
          </w:tcPr>
          <w:p w14:paraId="4B09CF6A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18 (18.2)</w:t>
            </w:r>
          </w:p>
        </w:tc>
        <w:tc>
          <w:tcPr>
            <w:tcW w:w="2608" w:type="dxa"/>
          </w:tcPr>
          <w:p w14:paraId="5266E6F4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22 (73.3)</w:t>
            </w:r>
          </w:p>
        </w:tc>
        <w:tc>
          <w:tcPr>
            <w:tcW w:w="2645" w:type="dxa"/>
          </w:tcPr>
          <w:p w14:paraId="50B7097D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8 (26.7)</w:t>
            </w:r>
          </w:p>
        </w:tc>
      </w:tr>
      <w:tr w:rsidR="003554F5" w:rsidRPr="0072636A" w14:paraId="74E795F5" w14:textId="77777777" w:rsidTr="003554F5">
        <w:tc>
          <w:tcPr>
            <w:tcW w:w="1735" w:type="dxa"/>
            <w:vMerge/>
          </w:tcPr>
          <w:p w14:paraId="5E2559A1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89" w:type="dxa"/>
          </w:tcPr>
          <w:p w14:paraId="59EC4C07" w14:textId="77777777" w:rsidR="00A87A77" w:rsidRPr="00392402" w:rsidRDefault="00A87A77" w:rsidP="005F2827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Median (day)*</w:t>
            </w:r>
          </w:p>
        </w:tc>
        <w:tc>
          <w:tcPr>
            <w:tcW w:w="2608" w:type="dxa"/>
          </w:tcPr>
          <w:p w14:paraId="592DA0E0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372 (175-621)</w:t>
            </w:r>
          </w:p>
        </w:tc>
        <w:tc>
          <w:tcPr>
            <w:tcW w:w="2515" w:type="dxa"/>
          </w:tcPr>
          <w:p w14:paraId="4681A6A3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795 (425.5-1688.5)</w:t>
            </w:r>
          </w:p>
        </w:tc>
        <w:tc>
          <w:tcPr>
            <w:tcW w:w="2608" w:type="dxa"/>
          </w:tcPr>
          <w:p w14:paraId="76E29F51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346 (148.5-494.75)</w:t>
            </w:r>
          </w:p>
        </w:tc>
        <w:tc>
          <w:tcPr>
            <w:tcW w:w="2645" w:type="dxa"/>
          </w:tcPr>
          <w:p w14:paraId="6F06DA0A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645.5 (312.75-1061.25)</w:t>
            </w:r>
          </w:p>
        </w:tc>
      </w:tr>
      <w:tr w:rsidR="003554F5" w:rsidRPr="0072636A" w14:paraId="592760FF" w14:textId="77777777" w:rsidTr="003554F5">
        <w:tc>
          <w:tcPr>
            <w:tcW w:w="1735" w:type="dxa"/>
            <w:vMerge/>
          </w:tcPr>
          <w:p w14:paraId="7370E098" w14:textId="77777777" w:rsidR="00A87A77" w:rsidRPr="00392402" w:rsidRDefault="00A87A77" w:rsidP="005F2827">
            <w:pPr>
              <w:spacing w:line="360" w:lineRule="auto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889" w:type="dxa"/>
          </w:tcPr>
          <w:p w14:paraId="4C652C84" w14:textId="77777777" w:rsidR="00A87A77" w:rsidRPr="00392402" w:rsidRDefault="00A87A77" w:rsidP="005F2827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Shortest (day)</w:t>
            </w:r>
          </w:p>
        </w:tc>
        <w:tc>
          <w:tcPr>
            <w:tcW w:w="2608" w:type="dxa"/>
          </w:tcPr>
          <w:p w14:paraId="6069A32F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16</w:t>
            </w:r>
          </w:p>
        </w:tc>
        <w:tc>
          <w:tcPr>
            <w:tcW w:w="2515" w:type="dxa"/>
          </w:tcPr>
          <w:p w14:paraId="4FA63D1B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123</w:t>
            </w:r>
          </w:p>
        </w:tc>
        <w:tc>
          <w:tcPr>
            <w:tcW w:w="2608" w:type="dxa"/>
          </w:tcPr>
          <w:p w14:paraId="37831864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30</w:t>
            </w:r>
          </w:p>
        </w:tc>
        <w:tc>
          <w:tcPr>
            <w:tcW w:w="2645" w:type="dxa"/>
          </w:tcPr>
          <w:p w14:paraId="3B4B772A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5</w:t>
            </w:r>
          </w:p>
        </w:tc>
      </w:tr>
      <w:tr w:rsidR="003554F5" w:rsidRPr="0072636A" w14:paraId="6314A146" w14:textId="77777777" w:rsidTr="003554F5">
        <w:tc>
          <w:tcPr>
            <w:tcW w:w="1735" w:type="dxa"/>
            <w:vMerge w:val="restart"/>
            <w:vAlign w:val="center"/>
          </w:tcPr>
          <w:p w14:paraId="56C0EF33" w14:textId="77777777" w:rsidR="00A87A77" w:rsidRPr="00392402" w:rsidRDefault="00A87A77" w:rsidP="005F2827">
            <w:pPr>
              <w:spacing w:line="360" w:lineRule="auto"/>
              <w:jc w:val="both"/>
              <w:rPr>
                <w:b/>
                <w:bCs/>
                <w:sz w:val="21"/>
                <w:szCs w:val="21"/>
              </w:rPr>
            </w:pPr>
            <w:r w:rsidRPr="00392402">
              <w:rPr>
                <w:b/>
                <w:bCs/>
                <w:sz w:val="21"/>
                <w:szCs w:val="21"/>
              </w:rPr>
              <w:t>Radscore-Con</w:t>
            </w:r>
          </w:p>
        </w:tc>
        <w:tc>
          <w:tcPr>
            <w:tcW w:w="1889" w:type="dxa"/>
          </w:tcPr>
          <w:p w14:paraId="42A56C31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No. of patients</w:t>
            </w:r>
          </w:p>
        </w:tc>
        <w:tc>
          <w:tcPr>
            <w:tcW w:w="2608" w:type="dxa"/>
          </w:tcPr>
          <w:p w14:paraId="5F346685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85 (85.9)</w:t>
            </w:r>
          </w:p>
        </w:tc>
        <w:tc>
          <w:tcPr>
            <w:tcW w:w="2515" w:type="dxa"/>
          </w:tcPr>
          <w:p w14:paraId="784DEA88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14 (14.1)</w:t>
            </w:r>
          </w:p>
        </w:tc>
        <w:tc>
          <w:tcPr>
            <w:tcW w:w="2608" w:type="dxa"/>
          </w:tcPr>
          <w:p w14:paraId="602B6B06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21</w:t>
            </w:r>
          </w:p>
        </w:tc>
        <w:tc>
          <w:tcPr>
            <w:tcW w:w="2645" w:type="dxa"/>
          </w:tcPr>
          <w:p w14:paraId="7CB5BCB0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9</w:t>
            </w:r>
          </w:p>
        </w:tc>
      </w:tr>
      <w:tr w:rsidR="003554F5" w:rsidRPr="0072636A" w14:paraId="2409F6F8" w14:textId="77777777" w:rsidTr="003554F5">
        <w:tc>
          <w:tcPr>
            <w:tcW w:w="1735" w:type="dxa"/>
            <w:vMerge/>
          </w:tcPr>
          <w:p w14:paraId="297BE5A7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11260EBD" w14:textId="77777777" w:rsidR="00A87A77" w:rsidRPr="00392402" w:rsidRDefault="00A87A77" w:rsidP="005F2827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Median (day)*</w:t>
            </w:r>
          </w:p>
        </w:tc>
        <w:tc>
          <w:tcPr>
            <w:tcW w:w="2608" w:type="dxa"/>
          </w:tcPr>
          <w:p w14:paraId="7C101EAE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382 (178-621)</w:t>
            </w:r>
          </w:p>
        </w:tc>
        <w:tc>
          <w:tcPr>
            <w:tcW w:w="2515" w:type="dxa"/>
          </w:tcPr>
          <w:p w14:paraId="1175F7FE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881 (582.25-1302.75)</w:t>
            </w:r>
          </w:p>
        </w:tc>
        <w:tc>
          <w:tcPr>
            <w:tcW w:w="2608" w:type="dxa"/>
          </w:tcPr>
          <w:p w14:paraId="75B78BA2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342 (153-567)</w:t>
            </w:r>
          </w:p>
        </w:tc>
        <w:tc>
          <w:tcPr>
            <w:tcW w:w="2645" w:type="dxa"/>
          </w:tcPr>
          <w:p w14:paraId="1D74C72E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434 (368-772)</w:t>
            </w:r>
          </w:p>
        </w:tc>
      </w:tr>
      <w:tr w:rsidR="003554F5" w:rsidRPr="0072636A" w14:paraId="0C05F40C" w14:textId="77777777" w:rsidTr="003554F5">
        <w:tc>
          <w:tcPr>
            <w:tcW w:w="1735" w:type="dxa"/>
            <w:vMerge/>
          </w:tcPr>
          <w:p w14:paraId="2D5457F8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889" w:type="dxa"/>
          </w:tcPr>
          <w:p w14:paraId="17BF90B3" w14:textId="77777777" w:rsidR="00A87A77" w:rsidRPr="00392402" w:rsidRDefault="00A87A77" w:rsidP="005F2827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Shortest (day)</w:t>
            </w:r>
          </w:p>
        </w:tc>
        <w:tc>
          <w:tcPr>
            <w:tcW w:w="2608" w:type="dxa"/>
          </w:tcPr>
          <w:p w14:paraId="2B1EE112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16</w:t>
            </w:r>
          </w:p>
        </w:tc>
        <w:tc>
          <w:tcPr>
            <w:tcW w:w="2515" w:type="dxa"/>
          </w:tcPr>
          <w:p w14:paraId="5AAD324D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127</w:t>
            </w:r>
          </w:p>
        </w:tc>
        <w:tc>
          <w:tcPr>
            <w:tcW w:w="2608" w:type="dxa"/>
          </w:tcPr>
          <w:p w14:paraId="416F87BE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30</w:t>
            </w:r>
          </w:p>
        </w:tc>
        <w:tc>
          <w:tcPr>
            <w:tcW w:w="2645" w:type="dxa"/>
          </w:tcPr>
          <w:p w14:paraId="6EB760B5" w14:textId="77777777" w:rsidR="00A87A77" w:rsidRPr="00392402" w:rsidRDefault="00A87A77" w:rsidP="005F2827">
            <w:pPr>
              <w:spacing w:line="360" w:lineRule="auto"/>
              <w:rPr>
                <w:sz w:val="21"/>
                <w:szCs w:val="21"/>
              </w:rPr>
            </w:pPr>
            <w:r w:rsidRPr="00392402">
              <w:rPr>
                <w:sz w:val="21"/>
                <w:szCs w:val="21"/>
              </w:rPr>
              <w:t>5</w:t>
            </w:r>
          </w:p>
        </w:tc>
      </w:tr>
    </w:tbl>
    <w:p w14:paraId="5B70203D" w14:textId="77777777" w:rsidR="00A87A77" w:rsidRPr="00392402" w:rsidRDefault="00A87A77" w:rsidP="00A87A77">
      <w:pPr>
        <w:spacing w:line="360" w:lineRule="auto"/>
        <w:rPr>
          <w:kern w:val="2"/>
        </w:rPr>
      </w:pPr>
      <w:r w:rsidRPr="00392402">
        <w:t xml:space="preserve">Note. </w:t>
      </w:r>
      <w:r w:rsidRPr="00392402">
        <w:rPr>
          <w:kern w:val="2"/>
        </w:rPr>
        <w:t>Unless otherwise specified, data in parentheses are percentages.</w:t>
      </w:r>
    </w:p>
    <w:p w14:paraId="7791A09E" w14:textId="77777777" w:rsidR="00A87A77" w:rsidRPr="0072636A" w:rsidRDefault="00A87A77" w:rsidP="00A87A77">
      <w:pPr>
        <w:spacing w:line="360" w:lineRule="auto"/>
      </w:pPr>
      <w:r w:rsidRPr="00392402">
        <w:rPr>
          <w:kern w:val="2"/>
        </w:rPr>
        <w:t>* Data in parentheses are interquartile ranges.</w:t>
      </w:r>
    </w:p>
    <w:p w14:paraId="28CBD326" w14:textId="77777777" w:rsidR="00A87A77" w:rsidRDefault="00A87A77" w:rsidP="00A87A77">
      <w:pPr>
        <w:spacing w:line="360" w:lineRule="auto"/>
        <w:rPr>
          <w:rFonts w:ascii="Arial" w:hAnsi="Arial" w:cs="Arial"/>
          <w:color w:val="FF0000"/>
        </w:rPr>
      </w:pPr>
    </w:p>
    <w:p w14:paraId="1497D0BE" w14:textId="57811A5D" w:rsidR="00A87A77" w:rsidRDefault="00A87A77" w:rsidP="003554F5">
      <w:pPr>
        <w:rPr>
          <w:rFonts w:ascii="pæ‰Ë˛" w:hAnsi="pæ‰Ë˛" w:cs="pæ‰Ë˛"/>
          <w:sz w:val="20"/>
          <w:szCs w:val="20"/>
        </w:rPr>
      </w:pPr>
    </w:p>
    <w:p w14:paraId="0EDD52C8" w14:textId="5BBD72D5" w:rsidR="003C6586" w:rsidRDefault="003C6586" w:rsidP="003554F5">
      <w:pPr>
        <w:rPr>
          <w:rFonts w:ascii="pæ‰Ë˛" w:hAnsi="pæ‰Ë˛" w:cs="pæ‰Ë˛"/>
          <w:sz w:val="20"/>
          <w:szCs w:val="20"/>
        </w:rPr>
      </w:pPr>
    </w:p>
    <w:p w14:paraId="0DEB4DB8" w14:textId="17113462" w:rsidR="003C6586" w:rsidRDefault="003C6586" w:rsidP="003554F5">
      <w:pPr>
        <w:rPr>
          <w:rFonts w:ascii="pæ‰Ë˛" w:hAnsi="pæ‰Ë˛" w:cs="pæ‰Ë˛"/>
          <w:sz w:val="20"/>
          <w:szCs w:val="20"/>
        </w:rPr>
      </w:pPr>
    </w:p>
    <w:p w14:paraId="0A135159" w14:textId="22246A39" w:rsidR="003C6586" w:rsidRDefault="003C6586" w:rsidP="003554F5">
      <w:pPr>
        <w:rPr>
          <w:rFonts w:ascii="pæ‰Ë˛" w:hAnsi="pæ‰Ë˛" w:cs="pæ‰Ë˛"/>
          <w:sz w:val="20"/>
          <w:szCs w:val="20"/>
        </w:rPr>
      </w:pPr>
    </w:p>
    <w:p w14:paraId="6A0BCA98" w14:textId="61682AC5" w:rsidR="003C6586" w:rsidRDefault="003C6586" w:rsidP="003554F5">
      <w:pPr>
        <w:rPr>
          <w:rFonts w:ascii="pæ‰Ë˛" w:hAnsi="pæ‰Ë˛" w:cs="pæ‰Ë˛"/>
          <w:sz w:val="20"/>
          <w:szCs w:val="20"/>
        </w:rPr>
      </w:pPr>
    </w:p>
    <w:p w14:paraId="743DA393" w14:textId="7BB940B3" w:rsidR="003C6586" w:rsidRDefault="003C6586" w:rsidP="003554F5">
      <w:pPr>
        <w:rPr>
          <w:rFonts w:ascii="pæ‰Ë˛" w:hAnsi="pæ‰Ë˛" w:cs="pæ‰Ë˛"/>
          <w:sz w:val="20"/>
          <w:szCs w:val="20"/>
        </w:rPr>
      </w:pPr>
    </w:p>
    <w:p w14:paraId="0CF40E70" w14:textId="09DA9876" w:rsidR="003C6586" w:rsidRDefault="003C6586" w:rsidP="003554F5">
      <w:pPr>
        <w:rPr>
          <w:rFonts w:ascii="pæ‰Ë˛" w:hAnsi="pæ‰Ë˛" w:cs="pæ‰Ë˛"/>
          <w:sz w:val="20"/>
          <w:szCs w:val="20"/>
        </w:rPr>
      </w:pPr>
    </w:p>
    <w:p w14:paraId="22179C12" w14:textId="7ECB10AA" w:rsidR="003C6586" w:rsidRDefault="003C6586" w:rsidP="003554F5">
      <w:pPr>
        <w:rPr>
          <w:rFonts w:ascii="pæ‰Ë˛" w:hAnsi="pæ‰Ë˛" w:cs="pæ‰Ë˛"/>
          <w:sz w:val="20"/>
          <w:szCs w:val="20"/>
        </w:rPr>
      </w:pPr>
    </w:p>
    <w:p w14:paraId="4F4B3774" w14:textId="139B33FC" w:rsidR="003C6586" w:rsidRDefault="003C6586" w:rsidP="003554F5">
      <w:pPr>
        <w:rPr>
          <w:rFonts w:ascii="pæ‰Ë˛" w:hAnsi="pæ‰Ë˛" w:cs="pæ‰Ë˛"/>
          <w:sz w:val="20"/>
          <w:szCs w:val="20"/>
        </w:rPr>
      </w:pPr>
    </w:p>
    <w:p w14:paraId="0C1DDE65" w14:textId="1CEDAC22" w:rsidR="003C6586" w:rsidRDefault="004B2372" w:rsidP="003554F5">
      <w:pPr>
        <w:rPr>
          <w:rFonts w:ascii="pæ‰Ë˛" w:hAnsi="pæ‰Ë˛" w:cs="pæ‰Ë˛"/>
          <w:sz w:val="20"/>
          <w:szCs w:val="20"/>
        </w:rPr>
      </w:pPr>
      <w:r>
        <w:rPr>
          <w:rFonts w:ascii="pæ‰Ë˛" w:hAnsi="pæ‰Ë˛" w:cs="pæ‰Ë˛"/>
          <w:noProof/>
          <w:sz w:val="20"/>
          <w:szCs w:val="20"/>
        </w:rPr>
        <w:drawing>
          <wp:inline distT="0" distB="0" distL="0" distR="0" wp14:anchorId="64F1505E" wp14:editId="6F257983">
            <wp:extent cx="6004392" cy="4639734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zardRatio-new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531" cy="464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A605F" w14:textId="321FFAC1" w:rsidR="0072636A" w:rsidRDefault="0072636A" w:rsidP="0072636A">
      <w:pPr>
        <w:rPr>
          <w:rFonts w:ascii="pæ‰Ë˛" w:hAnsi="pæ‰Ë˛" w:cs="pæ‰Ë˛"/>
          <w:sz w:val="20"/>
          <w:szCs w:val="20"/>
        </w:rPr>
      </w:pPr>
      <w:r w:rsidRPr="00E932D1">
        <w:rPr>
          <w:rFonts w:hint="eastAsia"/>
        </w:rPr>
        <w:t>F</w:t>
      </w:r>
      <w:r w:rsidRPr="00E932D1">
        <w:t xml:space="preserve">igure S1. </w:t>
      </w:r>
      <w:r w:rsidRPr="008270EC">
        <w:t xml:space="preserve">Forest plot of independent predictors </w:t>
      </w:r>
      <w:r>
        <w:t xml:space="preserve">evaluated </w:t>
      </w:r>
      <w:r w:rsidRPr="008270EC">
        <w:t>with a multivariate regression model.</w:t>
      </w:r>
    </w:p>
    <w:p w14:paraId="0C28FD4E" w14:textId="77777777" w:rsidR="0072636A" w:rsidRPr="003C6586" w:rsidRDefault="0072636A" w:rsidP="003554F5">
      <w:pPr>
        <w:rPr>
          <w:rFonts w:ascii="pæ‰Ë˛" w:hAnsi="pæ‰Ë˛" w:cs="pæ‰Ë˛"/>
          <w:sz w:val="20"/>
          <w:szCs w:val="20"/>
        </w:rPr>
      </w:pPr>
    </w:p>
    <w:sectPr w:rsidR="0072636A" w:rsidRPr="003C6586" w:rsidSect="003554F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ED70F" w14:textId="77777777" w:rsidR="00B80B6F" w:rsidRDefault="00B80B6F" w:rsidP="00C75ADD">
      <w:r>
        <w:separator/>
      </w:r>
    </w:p>
  </w:endnote>
  <w:endnote w:type="continuationSeparator" w:id="0">
    <w:p w14:paraId="2ABEA65A" w14:textId="77777777" w:rsidR="00B80B6F" w:rsidRDefault="00B80B6F" w:rsidP="00C7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æ‰Ë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0D362" w14:textId="77777777" w:rsidR="00B80B6F" w:rsidRDefault="00B80B6F" w:rsidP="00C75ADD">
      <w:r>
        <w:separator/>
      </w:r>
    </w:p>
  </w:footnote>
  <w:footnote w:type="continuationSeparator" w:id="0">
    <w:p w14:paraId="2FD89B84" w14:textId="77777777" w:rsidR="00B80B6F" w:rsidRDefault="00B80B6F" w:rsidP="00C75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C76"/>
    <w:rsid w:val="0005354F"/>
    <w:rsid w:val="00087AB2"/>
    <w:rsid w:val="000C4906"/>
    <w:rsid w:val="000D2076"/>
    <w:rsid w:val="000E6F40"/>
    <w:rsid w:val="000F0762"/>
    <w:rsid w:val="000F59B0"/>
    <w:rsid w:val="00116521"/>
    <w:rsid w:val="0012064A"/>
    <w:rsid w:val="001218C3"/>
    <w:rsid w:val="00135C17"/>
    <w:rsid w:val="0014067B"/>
    <w:rsid w:val="0014245C"/>
    <w:rsid w:val="00164ABF"/>
    <w:rsid w:val="00173B0E"/>
    <w:rsid w:val="001953A9"/>
    <w:rsid w:val="001B5868"/>
    <w:rsid w:val="001D46C5"/>
    <w:rsid w:val="001D5C8A"/>
    <w:rsid w:val="001E2632"/>
    <w:rsid w:val="001F6085"/>
    <w:rsid w:val="002024A2"/>
    <w:rsid w:val="00211CCB"/>
    <w:rsid w:val="002238A6"/>
    <w:rsid w:val="00233232"/>
    <w:rsid w:val="00247E8B"/>
    <w:rsid w:val="002967D7"/>
    <w:rsid w:val="00296AC5"/>
    <w:rsid w:val="002A2B35"/>
    <w:rsid w:val="002A48A9"/>
    <w:rsid w:val="002B24BD"/>
    <w:rsid w:val="002E078A"/>
    <w:rsid w:val="002E61D5"/>
    <w:rsid w:val="00326447"/>
    <w:rsid w:val="003554F5"/>
    <w:rsid w:val="00360077"/>
    <w:rsid w:val="00392402"/>
    <w:rsid w:val="003A26C2"/>
    <w:rsid w:val="003C6586"/>
    <w:rsid w:val="003E4D39"/>
    <w:rsid w:val="003F2C9E"/>
    <w:rsid w:val="00400E68"/>
    <w:rsid w:val="00401A22"/>
    <w:rsid w:val="00410766"/>
    <w:rsid w:val="0041451E"/>
    <w:rsid w:val="004439F2"/>
    <w:rsid w:val="00496039"/>
    <w:rsid w:val="004A615B"/>
    <w:rsid w:val="004B2372"/>
    <w:rsid w:val="004D6EBB"/>
    <w:rsid w:val="004E16A7"/>
    <w:rsid w:val="004F245F"/>
    <w:rsid w:val="00507447"/>
    <w:rsid w:val="005353B5"/>
    <w:rsid w:val="00543272"/>
    <w:rsid w:val="00561255"/>
    <w:rsid w:val="00567BC3"/>
    <w:rsid w:val="00571539"/>
    <w:rsid w:val="005A6BA3"/>
    <w:rsid w:val="005B2720"/>
    <w:rsid w:val="005E6A27"/>
    <w:rsid w:val="0061078B"/>
    <w:rsid w:val="00657463"/>
    <w:rsid w:val="00666E3F"/>
    <w:rsid w:val="0069087A"/>
    <w:rsid w:val="00693571"/>
    <w:rsid w:val="006E221F"/>
    <w:rsid w:val="0072636A"/>
    <w:rsid w:val="007376EA"/>
    <w:rsid w:val="00737DEB"/>
    <w:rsid w:val="00794D0E"/>
    <w:rsid w:val="007A4078"/>
    <w:rsid w:val="007A6D13"/>
    <w:rsid w:val="007B19B2"/>
    <w:rsid w:val="007C28E0"/>
    <w:rsid w:val="008502D3"/>
    <w:rsid w:val="008575E9"/>
    <w:rsid w:val="008628AA"/>
    <w:rsid w:val="00870D6B"/>
    <w:rsid w:val="008766FF"/>
    <w:rsid w:val="00883D92"/>
    <w:rsid w:val="00893598"/>
    <w:rsid w:val="008A659F"/>
    <w:rsid w:val="008D3009"/>
    <w:rsid w:val="00905B4C"/>
    <w:rsid w:val="00906CE3"/>
    <w:rsid w:val="00923717"/>
    <w:rsid w:val="00926C76"/>
    <w:rsid w:val="00971B53"/>
    <w:rsid w:val="00975F87"/>
    <w:rsid w:val="009815DA"/>
    <w:rsid w:val="0098707F"/>
    <w:rsid w:val="009A786A"/>
    <w:rsid w:val="009C4EE5"/>
    <w:rsid w:val="009C68D6"/>
    <w:rsid w:val="009C77A6"/>
    <w:rsid w:val="009E4E95"/>
    <w:rsid w:val="009E6652"/>
    <w:rsid w:val="00A12200"/>
    <w:rsid w:val="00A20A11"/>
    <w:rsid w:val="00A25C9F"/>
    <w:rsid w:val="00A4604C"/>
    <w:rsid w:val="00A5403A"/>
    <w:rsid w:val="00A62BF5"/>
    <w:rsid w:val="00A87A77"/>
    <w:rsid w:val="00AB2B6D"/>
    <w:rsid w:val="00AB312C"/>
    <w:rsid w:val="00AD56A4"/>
    <w:rsid w:val="00AE0C03"/>
    <w:rsid w:val="00AE341F"/>
    <w:rsid w:val="00B34F1D"/>
    <w:rsid w:val="00B43EA0"/>
    <w:rsid w:val="00B5146C"/>
    <w:rsid w:val="00B55468"/>
    <w:rsid w:val="00B77DAC"/>
    <w:rsid w:val="00B80B6F"/>
    <w:rsid w:val="00BB6564"/>
    <w:rsid w:val="00BC3D93"/>
    <w:rsid w:val="00BC6EF6"/>
    <w:rsid w:val="00C0522D"/>
    <w:rsid w:val="00C15688"/>
    <w:rsid w:val="00C17F1B"/>
    <w:rsid w:val="00C23CAD"/>
    <w:rsid w:val="00C337E4"/>
    <w:rsid w:val="00C35DEE"/>
    <w:rsid w:val="00C51DB7"/>
    <w:rsid w:val="00C75ADD"/>
    <w:rsid w:val="00C95A8C"/>
    <w:rsid w:val="00CB705B"/>
    <w:rsid w:val="00CE5395"/>
    <w:rsid w:val="00CF2F21"/>
    <w:rsid w:val="00D16CFC"/>
    <w:rsid w:val="00D24115"/>
    <w:rsid w:val="00D477DA"/>
    <w:rsid w:val="00D4781B"/>
    <w:rsid w:val="00D75A45"/>
    <w:rsid w:val="00DA1F7A"/>
    <w:rsid w:val="00DC2393"/>
    <w:rsid w:val="00DE24A3"/>
    <w:rsid w:val="00E11A97"/>
    <w:rsid w:val="00E22C38"/>
    <w:rsid w:val="00E315E7"/>
    <w:rsid w:val="00E452BC"/>
    <w:rsid w:val="00E614AC"/>
    <w:rsid w:val="00E9062C"/>
    <w:rsid w:val="00E92480"/>
    <w:rsid w:val="00E932D1"/>
    <w:rsid w:val="00EC461E"/>
    <w:rsid w:val="00ED06B1"/>
    <w:rsid w:val="00F05F01"/>
    <w:rsid w:val="00F10A7D"/>
    <w:rsid w:val="00F3336F"/>
    <w:rsid w:val="00F826A6"/>
    <w:rsid w:val="00F87031"/>
    <w:rsid w:val="00F9772E"/>
    <w:rsid w:val="00FA5447"/>
    <w:rsid w:val="00FA5AB9"/>
    <w:rsid w:val="00FC264E"/>
    <w:rsid w:val="00FD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539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DB7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C76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ADD"/>
    <w:pPr>
      <w:tabs>
        <w:tab w:val="center" w:pos="4680"/>
        <w:tab w:val="right" w:pos="9360"/>
      </w:tabs>
    </w:pPr>
  </w:style>
  <w:style w:type="character" w:customStyle="1" w:styleId="a5">
    <w:name w:val="页眉 字符"/>
    <w:basedOn w:val="a0"/>
    <w:link w:val="a4"/>
    <w:uiPriority w:val="99"/>
    <w:rsid w:val="00C75ADD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C75ADD"/>
    <w:pPr>
      <w:tabs>
        <w:tab w:val="center" w:pos="4680"/>
        <w:tab w:val="right" w:pos="9360"/>
      </w:tabs>
    </w:pPr>
  </w:style>
  <w:style w:type="character" w:customStyle="1" w:styleId="a7">
    <w:name w:val="页脚 字符"/>
    <w:basedOn w:val="a0"/>
    <w:link w:val="a6"/>
    <w:uiPriority w:val="99"/>
    <w:rsid w:val="00C75ADD"/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58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B58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Yang-Yang</dc:creator>
  <cp:keywords/>
  <dc:description/>
  <cp:lastModifiedBy>Yang-Yang</cp:lastModifiedBy>
  <cp:revision>6</cp:revision>
  <dcterms:created xsi:type="dcterms:W3CDTF">2020-11-11T01:32:00Z</dcterms:created>
  <dcterms:modified xsi:type="dcterms:W3CDTF">2021-04-13T08:05:00Z</dcterms:modified>
</cp:coreProperties>
</file>