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sz w:val="24"/>
        </w:rPr>
        <w:t>upplementary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Table 1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</w:rPr>
        <w:t>. Sequencing quality statistics of NGS on the targeted region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Sample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Number of targeted genes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Coverage of target region (%)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Average sequencing depth on target（X） 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Fraction of target covered with at least 20x (%)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Proband</w:t>
            </w:r>
          </w:p>
        </w:tc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22,000</w:t>
            </w:r>
          </w:p>
        </w:tc>
        <w:tc>
          <w:tcPr>
            <w:tcW w:w="170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99.59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107.76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Father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22,000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99.91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118.55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Mother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22,000</w:t>
            </w:r>
          </w:p>
        </w:tc>
        <w:tc>
          <w:tcPr>
            <w:tcW w:w="170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99.62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106.11</w:t>
            </w:r>
          </w:p>
        </w:tc>
        <w:tc>
          <w:tcPr>
            <w:tcW w:w="170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24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97.67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1ef757c0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2021-05-01T06:51:45Z</dcterms:created>
  <dc:creator>15825</dc:creator>
  <cp:lastModifiedBy>陈原</cp:lastModifiedBy>
  <dcterms:modified xsi:type="dcterms:W3CDTF">2021-05-01T06:52:32Z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