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2"/>
        <w:rPr>
          <w:b w:val="0"/>
        </w:rPr>
      </w:pPr>
      <w:r>
        <w:t>Supplementary Material</w:t>
      </w:r>
    </w:p>
    <w:p>
      <w:pPr>
        <w:pStyle w:val="2"/>
      </w:pPr>
      <w:r>
        <w:t>Supplementary Figures and Tables</w:t>
      </w:r>
    </w:p>
    <w:p>
      <w:pPr>
        <w:pStyle w:val="4"/>
      </w:pPr>
      <w:r>
        <w:t>Supplementary Figures</w:t>
      </w:r>
    </w:p>
    <w:p/>
    <w:p>
      <w:pPr>
        <w:keepNext/>
        <w:jc w:val="center"/>
        <w:rPr>
          <w:rFonts w:hint="eastAsia" w:eastAsia="宋体" w:cs="Times New Roman"/>
          <w:szCs w:val="24"/>
          <w:lang w:eastAsia="zh-CN"/>
        </w:rPr>
      </w:pPr>
      <w:r>
        <w:rPr>
          <w:rFonts w:hint="eastAsia" w:eastAsia="宋体" w:cs="Times New Roman"/>
          <w:szCs w:val="24"/>
          <w:lang w:eastAsia="zh-CN"/>
        </w:rPr>
        <w:drawing>
          <wp:inline distT="0" distB="0" distL="114300" distR="114300">
            <wp:extent cx="5800090" cy="3602990"/>
            <wp:effectExtent l="0" t="0" r="6350" b="8890"/>
            <wp:docPr id="4" name="图片 4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rPr>
          <w:rFonts w:hint="eastAsia" w:ascii="Times New Roman" w:hAnsi="Times New Roman" w:cs="Times New Roman"/>
          <w:sz w:val="24"/>
          <w:szCs w:val="28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fldChar w:fldCharType="begin"/>
      </w:r>
      <w:r>
        <w:rPr>
          <w:rFonts w:cs="Times New Roman"/>
          <w:b/>
          <w:szCs w:val="24"/>
        </w:rPr>
        <w:instrText xml:space="preserve"> SEQ Figure \* ARABIC </w:instrText>
      </w:r>
      <w:r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8"/>
        </w:rPr>
        <w:t>GO analysis of differentially expressed MRGs. (A) Significantly enriched biological process (BP), cellular components (CC), and molecular functions (MF) terms of DEMRGs. (B) The highly enriched pathways in three terms.</w:t>
      </w:r>
    </w:p>
    <w:p>
      <w:r>
        <w:br w:type="page"/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871470" cy="2828290"/>
            <wp:effectExtent l="0" t="0" r="8890" b="6350"/>
            <wp:docPr id="3" name="图片 3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lang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2</w:t>
      </w:r>
      <w:r>
        <w:rPr>
          <w:rFonts w:hint="eastAsia" w:eastAsia="宋体"/>
          <w:lang w:eastAsia="zh-CN"/>
        </w:rPr>
        <w:t>. The interactions of prognosis-related 10 risk signature among MRGs showing in PPI network.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br w:type="page"/>
      </w:r>
    </w:p>
    <w:p>
      <w:pPr>
        <w:jc w:val="left"/>
        <w:rPr>
          <w:rFonts w:hint="eastAsia" w:eastAsia="宋体"/>
          <w:lang w:eastAsia="zh-CN"/>
        </w:rPr>
      </w:pPr>
    </w:p>
    <w:p>
      <w:pPr>
        <w:keepNext/>
        <w:jc w:val="center"/>
        <w:rPr>
          <w:rFonts w:hint="eastAsia" w:ascii="Times New Roman" w:hAnsi="Times New Roman" w:eastAsia="宋体" w:cs="Times New Roman"/>
          <w:sz w:val="24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8"/>
          <w:lang w:eastAsia="zh-CN"/>
        </w:rPr>
        <w:drawing>
          <wp:inline distT="0" distB="0" distL="114300" distR="114300">
            <wp:extent cx="4785360" cy="4218305"/>
            <wp:effectExtent l="0" t="0" r="0" b="3175"/>
            <wp:docPr id="5" name="图片 5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S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jc w:val="both"/>
        <w:rPr>
          <w:rFonts w:hint="eastAsia" w:ascii="Times New Roman" w:hAnsi="Times New Roman" w:cs="Times New Roman"/>
          <w:sz w:val="24"/>
          <w:szCs w:val="28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3</w:t>
      </w:r>
      <w:bookmarkStart w:id="0" w:name="_GoBack"/>
      <w:bookmarkEnd w:id="0"/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8"/>
        </w:rPr>
        <w:t>T</w:t>
      </w:r>
      <w:r>
        <w:rPr>
          <w:rFonts w:ascii="Times New Roman" w:hAnsi="Times New Roman" w:cs="Times New Roman"/>
          <w:sz w:val="24"/>
          <w:szCs w:val="24"/>
        </w:rPr>
        <w:t>he survival analysis</w:t>
      </w:r>
      <w:r>
        <w:rPr>
          <w:rFonts w:hint="eastAsia"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 xml:space="preserve">HNSCC </w:t>
      </w:r>
      <w:r>
        <w:rPr>
          <w:rFonts w:hint="eastAsia" w:ascii="Times New Roman" w:hAnsi="Times New Roman" w:cs="Times New Roman"/>
          <w:sz w:val="24"/>
          <w:szCs w:val="24"/>
        </w:rPr>
        <w:t xml:space="preserve">patients with </w:t>
      </w:r>
      <w:r>
        <w:rPr>
          <w:rFonts w:ascii="Times New Roman" w:hAnsi="Times New Roman" w:cs="Times New Roman"/>
          <w:sz w:val="24"/>
          <w:szCs w:val="24"/>
        </w:rPr>
        <w:t>chemotherapy</w:t>
      </w:r>
      <w:r>
        <w:rPr>
          <w:rFonts w:hint="eastAsia" w:ascii="Times New Roman" w:hAnsi="Times New Roman" w:cs="Times New Roman"/>
          <w:sz w:val="24"/>
          <w:szCs w:val="24"/>
        </w:rPr>
        <w:t xml:space="preserve"> or r</w:t>
      </w:r>
      <w:r>
        <w:rPr>
          <w:rFonts w:ascii="Times New Roman" w:hAnsi="Times New Roman" w:cs="Times New Roman"/>
          <w:sz w:val="24"/>
          <w:szCs w:val="24"/>
        </w:rPr>
        <w:t>adiotherapy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8"/>
        </w:rPr>
        <w:t>(RT)</w:t>
      </w:r>
      <w:r>
        <w:rPr>
          <w:rFonts w:hint="eastAsia" w:ascii="Times New Roman" w:hAnsi="Times New Roman" w:cs="Times New Roman"/>
          <w:sz w:val="24"/>
          <w:szCs w:val="24"/>
        </w:rPr>
        <w:t xml:space="preserve">. </w:t>
      </w:r>
      <w:r>
        <w:rPr>
          <w:rFonts w:hint="eastAsia" w:ascii="Times New Roman" w:hAnsi="Times New Roman" w:cs="Times New Roman"/>
          <w:sz w:val="24"/>
          <w:szCs w:val="28"/>
        </w:rPr>
        <w:t xml:space="preserve">Kaplan-Meier analysis for OS in (A) low- and (B) high-risk groups with the application of RT. </w:t>
      </w:r>
      <w:r>
        <w:rPr>
          <w:rFonts w:hint="eastAsia" w:ascii="Times New Roman" w:hAnsi="Times New Roman" w:cs="Times New Roman"/>
          <w:sz w:val="24"/>
          <w:szCs w:val="24"/>
        </w:rPr>
        <w:t>And</w:t>
      </w:r>
      <w:r>
        <w:rPr>
          <w:rFonts w:hint="eastAsia" w:ascii="Times New Roman" w:hAnsi="Times New Roman" w:cs="Times New Roman"/>
          <w:sz w:val="24"/>
          <w:szCs w:val="28"/>
        </w:rPr>
        <w:t xml:space="preserve"> the predictive value of risk model for OS in patients with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hint="eastAsia"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8"/>
        </w:rPr>
        <w:t xml:space="preserve">chemotherapy and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hint="eastAsia"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8"/>
        </w:rPr>
        <w:t>radiotherapy.</w:t>
      </w:r>
    </w:p>
    <w:p>
      <w:pPr>
        <w:rPr>
          <w:rFonts w:hint="eastAsia"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sz w:val="24"/>
          <w:szCs w:val="28"/>
        </w:rPr>
        <w:br w:type="page"/>
      </w:r>
    </w:p>
    <w:p>
      <w:pPr>
        <w:pStyle w:val="4"/>
      </w:pPr>
      <w:r>
        <w:t xml:space="preserve">Supplementary </w:t>
      </w:r>
      <w:r>
        <w:rPr>
          <w:rFonts w:hint="eastAsia" w:eastAsia="宋体"/>
          <w:lang w:val="en-US" w:eastAsia="zh-CN"/>
        </w:rPr>
        <w:t>Table</w:t>
      </w:r>
      <w:r>
        <w:t>s</w:t>
      </w:r>
    </w:p>
    <w:tbl>
      <w:tblPr>
        <w:tblStyle w:val="20"/>
        <w:tblW w:w="9223" w:type="dxa"/>
        <w:tblInd w:w="-278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3"/>
        <w:gridCol w:w="3205"/>
        <w:gridCol w:w="3532"/>
        <w:gridCol w:w="1483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exact"/>
        </w:trPr>
        <w:tc>
          <w:tcPr>
            <w:tcW w:w="9223" w:type="dxa"/>
            <w:gridSpan w:val="4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Table S1. 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Introduction of 10 MRGs constructing the prognostic model.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exact"/>
        </w:trPr>
        <w:tc>
          <w:tcPr>
            <w:tcW w:w="1003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Gene symbol  </w:t>
            </w:r>
          </w:p>
        </w:tc>
        <w:tc>
          <w:tcPr>
            <w:tcW w:w="3205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Full name</w:t>
            </w:r>
          </w:p>
        </w:tc>
        <w:tc>
          <w:tcPr>
            <w:tcW w:w="3532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Encoding protein</w:t>
            </w:r>
          </w:p>
        </w:tc>
        <w:tc>
          <w:tcPr>
            <w:tcW w:w="1483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Risk Coefficient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 w:hRule="exac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ADA</w:t>
            </w:r>
          </w:p>
        </w:tc>
        <w:tc>
          <w:tcPr>
            <w:tcW w:w="3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Adenosine deaminase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 enzyme that catalyzes the hydrolysis of adenosine to inosine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0.013053726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0" w:hRule="exac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ALG3</w:t>
            </w:r>
          </w:p>
        </w:tc>
        <w:tc>
          <w:tcPr>
            <w:tcW w:w="3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Alpha-1, 3-mannosyltransferase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 member of the ALG3 family, a   crucial   class   of glycosyltransferases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0.004785301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exac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CHPF2</w:t>
            </w:r>
          </w:p>
        </w:tc>
        <w:tc>
          <w:tcPr>
            <w:tcW w:w="3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Chondroitin polymerizing factor 2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 kind of glycosyltransferase used  for chondroitin synthesis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0.005102212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 w:hRule="exac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CYP4X1</w:t>
            </w:r>
          </w:p>
        </w:tc>
        <w:tc>
          <w:tcPr>
            <w:tcW w:w="3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Cytochrome P450, family 4, subfamily X, polypeptide 1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 member of the cytochrome P450 superfamily of enzymes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-0.009745387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exac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GATM</w:t>
            </w:r>
          </w:p>
        </w:tc>
        <w:tc>
          <w:tcPr>
            <w:tcW w:w="3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Glycine amidinotransferase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 mitochondrial enzyme that belongs to the amidinotransferase family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-0.011462085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7" w:hRule="exac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GPT</w:t>
            </w:r>
          </w:p>
        </w:tc>
        <w:tc>
          <w:tcPr>
            <w:tcW w:w="3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Glutamic-pyruvate transaminase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Cytosolic alanine aminotransaminase 1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-0.004815018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7" w:hRule="exac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HPRT1</w:t>
            </w:r>
          </w:p>
        </w:tc>
        <w:tc>
          <w:tcPr>
            <w:tcW w:w="3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Hypoxanthine phosphoribosyltransferase 1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shd w:val="clear"/>
                <w:lang w:val="en-US" w:eastAsia="zh-CN" w:bidi="ar"/>
              </w:rPr>
              <w:t>A transferase that converts hypoxanthine  and  guanine  into adenosine and guanosine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0.012284735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6" w:hRule="exac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HS3ST1</w:t>
            </w:r>
          </w:p>
        </w:tc>
        <w:tc>
          <w:tcPr>
            <w:tcW w:w="3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Heparan sulfate (glucosamine) 3-O-sulfotransferase 1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 member of the heparan sulfate biosynthetic enzyme family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0.054555857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exact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HSD17B6</w:t>
            </w:r>
          </w:p>
        </w:tc>
        <w:tc>
          <w:tcPr>
            <w:tcW w:w="3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Hydroxysteroid (17-beta) dehydrogenase 6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 member of the retinol dehydrogenase family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-0.003982598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 w:hRule="exact"/>
        </w:trPr>
        <w:tc>
          <w:tcPr>
            <w:tcW w:w="1003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LIPE</w:t>
            </w:r>
          </w:p>
        </w:tc>
        <w:tc>
          <w:tcPr>
            <w:tcW w:w="3205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Lipase, hormone-sensitive</w:t>
            </w:r>
          </w:p>
        </w:tc>
        <w:tc>
          <w:tcPr>
            <w:tcW w:w="3532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One of the lipolytic enzymeson that regulates adipose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tissue adiposetissue deposition  </w:t>
            </w:r>
          </w:p>
        </w:tc>
        <w:tc>
          <w:tcPr>
            <w:tcW w:w="1483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-0.070739922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exact"/>
        </w:trPr>
        <w:tc>
          <w:tcPr>
            <w:tcW w:w="9223" w:type="dxa"/>
            <w:gridSpan w:val="4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The introduction of genes from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GEPIA v2.0 database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</w:p>
        </w:tc>
      </w:tr>
    </w:tbl>
    <w:p/>
    <w:p>
      <w:pPr>
        <w:keepNext/>
        <w:rPr>
          <w:rFonts w:hint="eastAsia" w:ascii="Times New Roman" w:hAnsi="Times New Roman" w:cs="Times New Roman"/>
          <w:sz w:val="24"/>
          <w:szCs w:val="28"/>
        </w:rPr>
      </w:pPr>
    </w:p>
    <w:p>
      <w:pPr>
        <w:keepNext/>
        <w:rPr>
          <w:rFonts w:cs="Times New Roman"/>
          <w:b/>
          <w:szCs w:val="24"/>
        </w:rPr>
      </w:pPr>
      <w:r>
        <w:rPr>
          <w:rFonts w:cs="Times New Roman"/>
          <w:szCs w:val="24"/>
        </w:rPr>
        <w:t xml:space="preserve"> </w:t>
      </w:r>
    </w:p>
    <w:p>
      <w:pPr>
        <w:spacing w:before="240"/>
      </w:pPr>
    </w:p>
    <w:sectPr>
      <w:headerReference r:id="rId4" w:type="first"/>
      <w:footerReference r:id="rId5" w:type="default"/>
      <w:headerReference r:id="rId3" w:type="even"/>
      <w:footerReference r:id="rId6" w:type="even"/>
      <w:pgSz w:w="12240" w:h="15840"/>
      <w:pgMar w:top="1138" w:right="1181" w:bottom="1138" w:left="1282" w:header="720" w:footer="72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35.1pt;height:31.15pt;width:118.8pt;mso-position-horizontal-relative:page;mso-position-vertical-relative:page;z-index:251646976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MV0Qi0gAAAAQBAAAPAAAAAAAAAAEA&#10;IAAAACIAAABkcnMvZG93bnJldi54bWxQSwECFAAUAAAACACHTuJAXLnphhUCAAAnBAAADgAAAAAA&#10;AAABACAAAAAhAQAAZHJzL2Uyb0RvYy54bWxQSwUGAAAAAAYABgBZAQAAqA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35.1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MV0Qi0gAAAAQBAAAPAAAAAAAAAAEA&#10;IAAAACIAAABkcnMvZG93bnJldi54bWxQSwECFAAUAAAACACHTuJAknen5xUCAAAlBAAADgAAAAAA&#10;AAABACAAAAAhAQAAZHJzL2Uyb0RvYy54bWxQSwUGAAAAAAYABgBZAQAAqA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ttachedTemplate r:id="rId1"/>
  <w:documentProtection w:enforcement="0"/>
  <w:defaultTabStop w:val="720"/>
  <w:evenAndOddHeaders w:val="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F8F6A8E"/>
    <w:rsid w:val="10400038"/>
    <w:rsid w:val="408D5FB0"/>
    <w:rsid w:val="46477800"/>
    <w:rsid w:val="67247E0B"/>
    <w:rsid w:val="6776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uiPriority w:val="99"/>
    <w:rPr>
      <w:vertAlign w:val="superscript"/>
    </w:rPr>
  </w:style>
  <w:style w:type="character" w:customStyle="1" w:styleId="31">
    <w:name w:val="Heading 1 Char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Heading 2 Char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Subtitle Char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Balloon Text Char"/>
    <w:basedOn w:val="22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Book Title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Comment Text Char"/>
    <w:basedOn w:val="22"/>
    <w:link w:val="10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Comment Subject Char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Endnote Text Char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Footer Char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Footnote Text Char"/>
    <w:basedOn w:val="22"/>
    <w:link w:val="16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Header Char"/>
    <w:basedOn w:val="22"/>
    <w:link w:val="14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Intense Emphasis"/>
    <w:basedOn w:val="22"/>
    <w:unhideWhenUsed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Intense Reference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Heading 3 Char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Heading 4 Char"/>
    <w:basedOn w:val="22"/>
    <w:link w:val="6"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Heading 5 Char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Quote Char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Subtle Emphasis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Title Char"/>
    <w:basedOn w:val="22"/>
    <w:link w:val="18"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8" Type="http://schemas.openxmlformats.org/officeDocument/2006/relationships/image" Target="media/image1.tiff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tiff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A95B22-B4E8-4C8E-ABCB-1E2B9143F8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1</Pages>
  <Words>247</Words>
  <Characters>1410</Characters>
  <Lines>11</Lines>
  <Paragraphs>3</Paragraphs>
  <TotalTime>1</TotalTime>
  <ScaleCrop>false</ScaleCrop>
  <LinksUpToDate>false</LinksUpToDate>
  <CharactersWithSpaces>1654</CharactersWithSpaces>
  <Application>WPS Office_11.1.0.9192_F1E327BC-269C-435d-A152-05C5408002CA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2018-11-23T08:58:00Z</dcterms:created>
  <dc:creator>Frontiers Media SA</dc:creator>
  <cp:lastModifiedBy>lying</cp:lastModifiedBy>
  <cp:lastPrinted>2013-10-03T12:51:00Z</cp:lastPrinted>
  <dcterms:modified xsi:type="dcterms:W3CDTF">2021-05-22T10:31:47Z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