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88B1B" w14:textId="0F567321" w:rsidR="008E292A" w:rsidRPr="00774392" w:rsidRDefault="00774392" w:rsidP="00774392">
      <w:pPr>
        <w:pStyle w:val="SupplementaryMaterial"/>
        <w:rPr>
          <w:b w:val="0"/>
        </w:rPr>
      </w:pPr>
      <w:r>
        <w:rPr>
          <w:noProof/>
        </w:rPr>
        <mc:AlternateContent>
          <mc:Choice Requires="wps">
            <w:drawing>
              <wp:anchor distT="0" distB="0" distL="114300" distR="114300" simplePos="0" relativeHeight="251661312" behindDoc="0" locked="0" layoutInCell="1" allowOverlap="1" wp14:anchorId="6D110B21" wp14:editId="42B2C9C0">
                <wp:simplePos x="0" y="0"/>
                <wp:positionH relativeFrom="column">
                  <wp:posOffset>165100</wp:posOffset>
                </wp:positionH>
                <wp:positionV relativeFrom="paragraph">
                  <wp:posOffset>5062220</wp:posOffset>
                </wp:positionV>
                <wp:extent cx="6257925" cy="635"/>
                <wp:effectExtent l="0" t="0" r="9525" b="3810"/>
                <wp:wrapTopAndBottom/>
                <wp:docPr id="8" name="Text Box 8"/>
                <wp:cNvGraphicFramePr/>
                <a:graphic xmlns:a="http://schemas.openxmlformats.org/drawingml/2006/main">
                  <a:graphicData uri="http://schemas.microsoft.com/office/word/2010/wordprocessingShape">
                    <wps:wsp>
                      <wps:cNvSpPr txBox="1"/>
                      <wps:spPr>
                        <a:xfrm>
                          <a:off x="0" y="0"/>
                          <a:ext cx="6257925" cy="635"/>
                        </a:xfrm>
                        <a:prstGeom prst="rect">
                          <a:avLst/>
                        </a:prstGeom>
                        <a:solidFill>
                          <a:prstClr val="white"/>
                        </a:solidFill>
                        <a:ln>
                          <a:noFill/>
                        </a:ln>
                      </wps:spPr>
                      <wps:txbx>
                        <w:txbxContent>
                          <w:p w14:paraId="20D3EF6D" w14:textId="651DF532" w:rsidR="00774392" w:rsidRPr="00774392" w:rsidRDefault="00435FAD" w:rsidP="00774392">
                            <w:pPr>
                              <w:pStyle w:val="Caption"/>
                              <w:rPr>
                                <w:b w:val="0"/>
                                <w:i/>
                                <w:noProof/>
                                <w:sz w:val="32"/>
                                <w:szCs w:val="32"/>
                              </w:rPr>
                            </w:pPr>
                            <w:r>
                              <w:rPr>
                                <w:noProof/>
                              </w:rPr>
                              <w:drawing>
                                <wp:inline distT="0" distB="0" distL="0" distR="0" wp14:anchorId="4954606C" wp14:editId="4503E03B">
                                  <wp:extent cx="5486400" cy="62849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6284976"/>
                                          </a:xfrm>
                                          <a:prstGeom prst="rect">
                                            <a:avLst/>
                                          </a:prstGeom>
                                        </pic:spPr>
                                      </pic:pic>
                                    </a:graphicData>
                                  </a:graphic>
                                </wp:inline>
                              </w:drawing>
                            </w:r>
                            <w:r w:rsidR="00774392">
                              <w:t xml:space="preserve">Supplemental Figure </w:t>
                            </w:r>
                            <w:fldSimple w:instr=" SEQ Figure \* ARABIC ">
                              <w:r w:rsidR="00774392">
                                <w:rPr>
                                  <w:noProof/>
                                </w:rPr>
                                <w:t>1</w:t>
                              </w:r>
                            </w:fldSimple>
                            <w:r w:rsidR="00774392">
                              <w:t xml:space="preserve">: Ruby Stain. </w:t>
                            </w:r>
                            <w:r w:rsidR="00774392">
                              <w:rPr>
                                <w:b w:val="0"/>
                              </w:rPr>
                              <w:t>Total protein loaded into lanes for Western blot were stained using Ruby, shown above, before antibodies were loaded to stain for specific proteins (See Figures 6 and 7</w:t>
                            </w:r>
                            <w:r w:rsidR="00B73B29">
                              <w:rPr>
                                <w:b w:val="0"/>
                              </w:rPr>
                              <w:t>).</w:t>
                            </w:r>
                            <w:r w:rsidR="00774392">
                              <w:rPr>
                                <w:b w:val="0"/>
                              </w:rPr>
                              <w:t xml:space="preserve"> Western blots were run to analyze protein expression of BDNF and PGC1α and normalized to total protein in the parietal cortex (</w:t>
                            </w:r>
                            <w:r w:rsidR="00774392">
                              <w:t>A, B</w:t>
                            </w:r>
                            <w:r w:rsidR="00774392">
                              <w:rPr>
                                <w:b w:val="0"/>
                              </w:rPr>
                              <w:t>), hippocampus (</w:t>
                            </w:r>
                            <w:r w:rsidR="00774392">
                              <w:t>C, D</w:t>
                            </w:r>
                            <w:r w:rsidR="00774392">
                              <w:rPr>
                                <w:b w:val="0"/>
                              </w:rPr>
                              <w:t>), and muscle (</w:t>
                            </w:r>
                            <w:r w:rsidR="00774392">
                              <w:t>E, F</w:t>
                            </w:r>
                            <w:r w:rsidR="00774392">
                              <w:rPr>
                                <w:b w:val="0"/>
                              </w:rPr>
                              <w:t>). Sex differences were not found in muscle</w:t>
                            </w:r>
                            <w:r w:rsidR="00B73B29">
                              <w:rPr>
                                <w:b w:val="0"/>
                              </w:rPr>
                              <w:t>, so data was combined</w:t>
                            </w:r>
                            <w:r w:rsidR="00774392">
                              <w:rPr>
                                <w:b w:val="0"/>
                              </w:rPr>
                              <w:t>.</w:t>
                            </w:r>
                            <w:r w:rsidR="00B73B29">
                              <w:rPr>
                                <w:b w:val="0"/>
                              </w:rPr>
                              <w:t xml:space="preserve"> Ruby stains presented are relative to bands illustrated in Figures 6 and 7. </w:t>
                            </w:r>
                            <w:r w:rsidR="00774392">
                              <w:rPr>
                                <w:b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110B21" id="_x0000_t202" coordsize="21600,21600" o:spt="202" path="m,l,21600r21600,l21600,xe">
                <v:stroke joinstyle="miter"/>
                <v:path gradientshapeok="t" o:connecttype="rect"/>
              </v:shapetype>
              <v:shape id="Text Box 8" o:spid="_x0000_s1026" type="#_x0000_t202" style="position:absolute;left:0;text-align:left;margin-left:13pt;margin-top:398.6pt;width:492.7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" stroked="f">
                <v:textbox style="mso-fit-shape-to-text:t" inset="0,0,0,0">
                  <w:txbxContent>
                    <w:p w14:paraId="20D3EF6D" w14:textId="651DF532" w:rsidR="00774392" w:rsidRPr="00774392" w:rsidRDefault="00435FAD" w:rsidP="00774392">
                      <w:pPr>
                        <w:pStyle w:val="Caption"/>
                        <w:rPr>
                          <w:b w:val="0"/>
                          <w:i/>
                          <w:noProof/>
                          <w:sz w:val="32"/>
                          <w:szCs w:val="32"/>
                        </w:rPr>
                      </w:pPr>
                      <w:r>
                        <w:rPr>
                          <w:noProof/>
                        </w:rPr>
                        <w:drawing>
                          <wp:inline distT="0" distB="0" distL="0" distR="0" wp14:anchorId="4954606C" wp14:editId="4503E03B">
                            <wp:extent cx="5486400" cy="62849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6284976"/>
                                    </a:xfrm>
                                    <a:prstGeom prst="rect">
                                      <a:avLst/>
                                    </a:prstGeom>
                                  </pic:spPr>
                                </pic:pic>
                              </a:graphicData>
                            </a:graphic>
                          </wp:inline>
                        </w:drawing>
                      </w:r>
                      <w:r w:rsidR="00774392">
                        <w:t xml:space="preserve">Supplemental Figure </w:t>
                      </w:r>
                      <w:fldSimple w:instr=" SEQ Figure \* ARABIC ">
                        <w:r w:rsidR="00774392">
                          <w:rPr>
                            <w:noProof/>
                          </w:rPr>
                          <w:t>1</w:t>
                        </w:r>
                      </w:fldSimple>
                      <w:r w:rsidR="00774392">
                        <w:t xml:space="preserve">: Ruby Stain. </w:t>
                      </w:r>
                      <w:r w:rsidR="00774392">
                        <w:rPr>
                          <w:b w:val="0"/>
                        </w:rPr>
                        <w:t>Total protein loaded into lanes for Western blot were stained using Ruby, shown above, before antibodies were loaded to stain for specific proteins (See Figures 6 and 7</w:t>
                      </w:r>
                      <w:r w:rsidR="00B73B29">
                        <w:rPr>
                          <w:b w:val="0"/>
                        </w:rPr>
                        <w:t>).</w:t>
                      </w:r>
                      <w:r w:rsidR="00774392">
                        <w:rPr>
                          <w:b w:val="0"/>
                        </w:rPr>
                        <w:t xml:space="preserve"> Western blots were run to analyze protein expression of BDNF and PGC1α and normalized to total protein in the parietal cortex (</w:t>
                      </w:r>
                      <w:r w:rsidR="00774392">
                        <w:t>A, B</w:t>
                      </w:r>
                      <w:r w:rsidR="00774392">
                        <w:rPr>
                          <w:b w:val="0"/>
                        </w:rPr>
                        <w:t>), hippocampus (</w:t>
                      </w:r>
                      <w:r w:rsidR="00774392">
                        <w:t>C, D</w:t>
                      </w:r>
                      <w:r w:rsidR="00774392">
                        <w:rPr>
                          <w:b w:val="0"/>
                        </w:rPr>
                        <w:t>), and muscle (</w:t>
                      </w:r>
                      <w:r w:rsidR="00774392">
                        <w:t>E, F</w:t>
                      </w:r>
                      <w:r w:rsidR="00774392">
                        <w:rPr>
                          <w:b w:val="0"/>
                        </w:rPr>
                        <w:t>). Sex differences were not found in muscle</w:t>
                      </w:r>
                      <w:r w:rsidR="00B73B29">
                        <w:rPr>
                          <w:b w:val="0"/>
                        </w:rPr>
                        <w:t>, so data was combined</w:t>
                      </w:r>
                      <w:r w:rsidR="00774392">
                        <w:rPr>
                          <w:b w:val="0"/>
                        </w:rPr>
                        <w:t>.</w:t>
                      </w:r>
                      <w:r w:rsidR="00B73B29">
                        <w:rPr>
                          <w:b w:val="0"/>
                        </w:rPr>
                        <w:t xml:space="preserve"> Ruby stains presented are relative to bands illustrated in Figures 6 and 7. </w:t>
                      </w:r>
                      <w:r w:rsidR="00774392">
                        <w:rPr>
                          <w:b w:val="0"/>
                        </w:rPr>
                        <w:t xml:space="preserve"> </w:t>
                      </w:r>
                    </w:p>
                  </w:txbxContent>
                </v:textbox>
                <w10:wrap type="topAndBottom"/>
              </v:shape>
            </w:pict>
          </mc:Fallback>
        </mc:AlternateContent>
      </w:r>
      <w:r w:rsidR="003D7157">
        <w:t xml:space="preserve"> </w:t>
      </w:r>
      <w:r w:rsidR="00654E8F" w:rsidRPr="001549D3">
        <w:t>Supplementary Material</w:t>
      </w:r>
    </w:p>
    <w:p w14:paraId="2117F032" w14:textId="6765439D" w:rsidR="008E292A" w:rsidRDefault="008E292A" w:rsidP="003D7157">
      <w:pPr>
        <w:keepNext/>
        <w:rPr>
          <w:noProof/>
        </w:rPr>
      </w:pPr>
    </w:p>
    <w:p w14:paraId="1AC47948" w14:textId="0249A29B" w:rsidR="008E292A" w:rsidRDefault="008E292A" w:rsidP="003D7157">
      <w:pPr>
        <w:keepNext/>
        <w:rPr>
          <w:noProof/>
        </w:rPr>
      </w:pPr>
    </w:p>
    <w:p w14:paraId="49C7AC05" w14:textId="77777777" w:rsidR="008E292A" w:rsidRDefault="008E292A" w:rsidP="003D7157">
      <w:pPr>
        <w:keepNext/>
        <w:rPr>
          <w:noProof/>
        </w:rPr>
      </w:pPr>
    </w:p>
    <w:p w14:paraId="5F43F1AB" w14:textId="07E6737D" w:rsidR="003D7157" w:rsidRDefault="003D7157" w:rsidP="003D7157">
      <w:pPr>
        <w:keepNext/>
      </w:pPr>
    </w:p>
    <w:p w14:paraId="10F257F1" w14:textId="2A012B42" w:rsidR="00774392" w:rsidRDefault="00774392" w:rsidP="003D7157">
      <w:pPr>
        <w:pStyle w:val="Caption"/>
      </w:pPr>
      <w:r>
        <w:rPr>
          <w:noProof/>
        </w:rPr>
        <w:drawing>
          <wp:inline distT="0" distB="0" distL="0" distR="0" wp14:anchorId="6F8FE114" wp14:editId="7DBAA71C">
            <wp:extent cx="2964307" cy="308465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NF band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5594" cy="3096399"/>
                    </a:xfrm>
                    <a:prstGeom prst="rect">
                      <a:avLst/>
                    </a:prstGeom>
                  </pic:spPr>
                </pic:pic>
              </a:graphicData>
            </a:graphic>
          </wp:inline>
        </w:drawing>
      </w:r>
    </w:p>
    <w:p w14:paraId="77AE3AFD" w14:textId="09C0F0D0" w:rsidR="003D7157" w:rsidRDefault="003D7157" w:rsidP="003D7157">
      <w:pPr>
        <w:pStyle w:val="Caption"/>
        <w:rPr>
          <w:b w:val="0"/>
        </w:rPr>
      </w:pPr>
      <w:r>
        <w:t xml:space="preserve">Supplementary Figure </w:t>
      </w:r>
      <w:fldSimple w:instr=" SEQ Figure \* ARABIC ">
        <w:r w:rsidR="00774392">
          <w:rPr>
            <w:noProof/>
          </w:rPr>
          <w:t>2</w:t>
        </w:r>
      </w:fldSimple>
      <w:r>
        <w:t xml:space="preserve">: </w:t>
      </w:r>
      <w:r w:rsidRPr="003D7157">
        <w:rPr>
          <w:b w:val="0"/>
        </w:rPr>
        <w:t xml:space="preserve">Analysis of Various BDNF Antibodies. The BDNF protein has multiple cleavage products that can be detected through Western blotting techniques. Antibodies to detect BDNF can target multiple or specific isoforms. We tested BDNF antibodies from three different companies: </w:t>
      </w:r>
      <w:proofErr w:type="spellStart"/>
      <w:r w:rsidRPr="003D7157">
        <w:rPr>
          <w:b w:val="0"/>
        </w:rPr>
        <w:t>Abcam</w:t>
      </w:r>
      <w:proofErr w:type="spellEnd"/>
      <w:r w:rsidRPr="003D7157">
        <w:rPr>
          <w:b w:val="0"/>
        </w:rPr>
        <w:t xml:space="preserve"> (UK), Santa Cruz Biotechnology (CA, USA), and Novus Biologicals (CO, USA). Samples from this study of male (top) and female (bottom) rats given 10 days in a running wheel (exe) or 10 days in locked wheel (</w:t>
      </w:r>
      <w:proofErr w:type="spellStart"/>
      <w:r w:rsidRPr="003D7157">
        <w:rPr>
          <w:b w:val="0"/>
        </w:rPr>
        <w:t>sed</w:t>
      </w:r>
      <w:proofErr w:type="spellEnd"/>
      <w:r w:rsidRPr="003D7157">
        <w:rPr>
          <w:b w:val="0"/>
        </w:rPr>
        <w:t xml:space="preserve">) were analyzed for each antibody. We also included a sample from gastrocnemius muscle of an exercised male from this study, and male sham rat that was sedentary for 20 days (from previous study – to compare across studies). </w:t>
      </w:r>
    </w:p>
    <w:p w14:paraId="49E3206C" w14:textId="29E58472" w:rsidR="00100789" w:rsidRDefault="00100789" w:rsidP="00100789">
      <w:pPr>
        <w:pStyle w:val="NoSpacing"/>
      </w:pPr>
    </w:p>
    <w:p w14:paraId="584ADDF8" w14:textId="77777777" w:rsidR="00100789" w:rsidRDefault="00100789" w:rsidP="00100789">
      <w:pPr>
        <w:pStyle w:val="Caption"/>
      </w:pPr>
      <w:r>
        <w:t xml:space="preserve">Supplemental Table </w:t>
      </w:r>
      <w:r>
        <w:fldChar w:fldCharType="begin"/>
      </w:r>
      <w:r>
        <w:instrText xml:space="preserve"> SEQ Table \* ARABIC </w:instrText>
      </w:r>
      <w:r>
        <w:fldChar w:fldCharType="separate"/>
      </w:r>
      <w:r>
        <w:rPr>
          <w:noProof/>
        </w:rPr>
        <w:t>1</w:t>
      </w:r>
      <w:r>
        <w:rPr>
          <w:noProof/>
        </w:rPr>
        <w:fldChar w:fldCharType="end"/>
      </w:r>
      <w:r>
        <w:t xml:space="preserve">: </w:t>
      </w:r>
      <w:r w:rsidRPr="002F1545">
        <w:rPr>
          <w:b w:val="0"/>
        </w:rPr>
        <w:t>Primary Antibody Description. BDNF is a protein with multiple isoforms. These antibodies were used to test the detection of multiple BDNF bands.*antibody has been discontinued and replaced with pro-BDNF antibody (5H8): sc-65514 for detection of BDNF preproprotein (mouse monoclonal).</w:t>
      </w:r>
    </w:p>
    <w:tbl>
      <w:tblPr>
        <w:tblStyle w:val="TableGrid"/>
        <w:tblW w:w="0" w:type="auto"/>
        <w:tblLook w:val="04A0" w:firstRow="1" w:lastRow="0" w:firstColumn="1" w:lastColumn="0" w:noHBand="0" w:noVBand="1"/>
      </w:tblPr>
      <w:tblGrid>
        <w:gridCol w:w="1870"/>
        <w:gridCol w:w="1870"/>
        <w:gridCol w:w="1870"/>
        <w:gridCol w:w="1870"/>
        <w:gridCol w:w="1870"/>
      </w:tblGrid>
      <w:tr w:rsidR="00100789" w14:paraId="7268B199" w14:textId="77777777" w:rsidTr="005C5573">
        <w:tc>
          <w:tcPr>
            <w:tcW w:w="1870" w:type="dxa"/>
          </w:tcPr>
          <w:p w14:paraId="4B325879" w14:textId="77777777" w:rsidR="00100789" w:rsidRPr="009B07F2" w:rsidRDefault="00100789" w:rsidP="005C5573">
            <w:pPr>
              <w:rPr>
                <w:b/>
              </w:rPr>
            </w:pPr>
            <w:r w:rsidRPr="009B07F2">
              <w:rPr>
                <w:b/>
              </w:rPr>
              <w:t>Product Name and Code</w:t>
            </w:r>
          </w:p>
        </w:tc>
        <w:tc>
          <w:tcPr>
            <w:tcW w:w="1870" w:type="dxa"/>
          </w:tcPr>
          <w:p w14:paraId="6578EA94" w14:textId="77777777" w:rsidR="00100789" w:rsidRPr="009B07F2" w:rsidRDefault="00100789" w:rsidP="005C5573">
            <w:pPr>
              <w:rPr>
                <w:b/>
              </w:rPr>
            </w:pPr>
            <w:r w:rsidRPr="009B07F2">
              <w:rPr>
                <w:b/>
              </w:rPr>
              <w:t>Host</w:t>
            </w:r>
          </w:p>
        </w:tc>
        <w:tc>
          <w:tcPr>
            <w:tcW w:w="1870" w:type="dxa"/>
          </w:tcPr>
          <w:p w14:paraId="6ACC1AB0" w14:textId="77777777" w:rsidR="00100789" w:rsidRPr="009B07F2" w:rsidRDefault="00100789" w:rsidP="005C5573">
            <w:pPr>
              <w:rPr>
                <w:b/>
              </w:rPr>
            </w:pPr>
            <w:r w:rsidRPr="009B07F2">
              <w:rPr>
                <w:b/>
              </w:rPr>
              <w:t>Dilution</w:t>
            </w:r>
          </w:p>
        </w:tc>
        <w:tc>
          <w:tcPr>
            <w:tcW w:w="1870" w:type="dxa"/>
          </w:tcPr>
          <w:p w14:paraId="3328B37F" w14:textId="77777777" w:rsidR="00100789" w:rsidRPr="009B07F2" w:rsidRDefault="00100789" w:rsidP="005C5573">
            <w:pPr>
              <w:rPr>
                <w:b/>
              </w:rPr>
            </w:pPr>
            <w:r w:rsidRPr="009B07F2">
              <w:rPr>
                <w:b/>
              </w:rPr>
              <w:t>Detection</w:t>
            </w:r>
          </w:p>
        </w:tc>
        <w:tc>
          <w:tcPr>
            <w:tcW w:w="1870" w:type="dxa"/>
          </w:tcPr>
          <w:p w14:paraId="3B7AD5CB" w14:textId="77777777" w:rsidR="00100789" w:rsidRPr="009B07F2" w:rsidRDefault="00100789" w:rsidP="005C5573">
            <w:pPr>
              <w:rPr>
                <w:b/>
              </w:rPr>
            </w:pPr>
            <w:r w:rsidRPr="009B07F2">
              <w:rPr>
                <w:b/>
              </w:rPr>
              <w:t>Supplier</w:t>
            </w:r>
          </w:p>
        </w:tc>
      </w:tr>
      <w:tr w:rsidR="00100789" w14:paraId="26DE5AF8" w14:textId="77777777" w:rsidTr="005C5573">
        <w:tc>
          <w:tcPr>
            <w:tcW w:w="1870" w:type="dxa"/>
          </w:tcPr>
          <w:p w14:paraId="35722727" w14:textId="77777777" w:rsidR="00100789" w:rsidRDefault="00100789" w:rsidP="005C5573">
            <w:r>
              <w:lastRenderedPageBreak/>
              <w:t>Recombinant anti-BDNF [EPR1291] ab108319</w:t>
            </w:r>
          </w:p>
        </w:tc>
        <w:tc>
          <w:tcPr>
            <w:tcW w:w="1870" w:type="dxa"/>
          </w:tcPr>
          <w:p w14:paraId="7754E4A6" w14:textId="77777777" w:rsidR="00100789" w:rsidRDefault="00100789" w:rsidP="005C5573">
            <w:r>
              <w:t>Rabbit monoclonal</w:t>
            </w:r>
          </w:p>
        </w:tc>
        <w:tc>
          <w:tcPr>
            <w:tcW w:w="1870" w:type="dxa"/>
          </w:tcPr>
          <w:p w14:paraId="0ED49A36" w14:textId="77777777" w:rsidR="00100789" w:rsidRDefault="00100789" w:rsidP="005C5573">
            <w:r>
              <w:t>1:5000</w:t>
            </w:r>
          </w:p>
        </w:tc>
        <w:tc>
          <w:tcPr>
            <w:tcW w:w="1870" w:type="dxa"/>
          </w:tcPr>
          <w:p w14:paraId="0D2CBE4C" w14:textId="77777777" w:rsidR="00100789" w:rsidRDefault="00100789" w:rsidP="005C5573">
            <w:r>
              <w:t>Mature form at ~14kDa and dimer at ~28kDa</w:t>
            </w:r>
          </w:p>
        </w:tc>
        <w:tc>
          <w:tcPr>
            <w:tcW w:w="1870" w:type="dxa"/>
          </w:tcPr>
          <w:p w14:paraId="088D1153" w14:textId="77777777" w:rsidR="00100789" w:rsidRDefault="00100789" w:rsidP="005C5573">
            <w:proofErr w:type="spellStart"/>
            <w:r>
              <w:t>Abcam</w:t>
            </w:r>
            <w:proofErr w:type="spellEnd"/>
            <w:r>
              <w:t>, UK</w:t>
            </w:r>
          </w:p>
        </w:tc>
      </w:tr>
      <w:tr w:rsidR="00100789" w14:paraId="21E04D49" w14:textId="77777777" w:rsidTr="005C5573">
        <w:tc>
          <w:tcPr>
            <w:tcW w:w="1870" w:type="dxa"/>
          </w:tcPr>
          <w:p w14:paraId="3B54B050" w14:textId="77777777" w:rsidR="00100789" w:rsidRDefault="00100789" w:rsidP="005C5573">
            <w:r>
              <w:t>BDNF Antibody (N-20) sc-546*</w:t>
            </w:r>
          </w:p>
        </w:tc>
        <w:tc>
          <w:tcPr>
            <w:tcW w:w="1870" w:type="dxa"/>
          </w:tcPr>
          <w:p w14:paraId="3AFCCD32" w14:textId="77777777" w:rsidR="00100789" w:rsidRDefault="00100789" w:rsidP="005C5573">
            <w:r>
              <w:t>Rabbit polyclonal</w:t>
            </w:r>
          </w:p>
        </w:tc>
        <w:tc>
          <w:tcPr>
            <w:tcW w:w="1870" w:type="dxa"/>
          </w:tcPr>
          <w:p w14:paraId="0F58D2BB" w14:textId="77777777" w:rsidR="00100789" w:rsidRDefault="00100789" w:rsidP="005C5573">
            <w:r>
              <w:t>1:5000</w:t>
            </w:r>
          </w:p>
        </w:tc>
        <w:tc>
          <w:tcPr>
            <w:tcW w:w="1870" w:type="dxa"/>
          </w:tcPr>
          <w:p w14:paraId="5D99020F" w14:textId="77777777" w:rsidR="00100789" w:rsidRDefault="00100789" w:rsidP="005C5573">
            <w:r>
              <w:t>Precursor and mature BDNF</w:t>
            </w:r>
          </w:p>
        </w:tc>
        <w:tc>
          <w:tcPr>
            <w:tcW w:w="1870" w:type="dxa"/>
          </w:tcPr>
          <w:p w14:paraId="51F0E725" w14:textId="77777777" w:rsidR="00100789" w:rsidRDefault="00100789" w:rsidP="005C5573">
            <w:r>
              <w:t>Santa Cruz Biotechnology, CA, USA</w:t>
            </w:r>
          </w:p>
        </w:tc>
      </w:tr>
      <w:tr w:rsidR="00100789" w14:paraId="161F5940" w14:textId="77777777" w:rsidTr="005C5573">
        <w:tc>
          <w:tcPr>
            <w:tcW w:w="1870" w:type="dxa"/>
          </w:tcPr>
          <w:p w14:paraId="3501B101" w14:textId="77777777" w:rsidR="00100789" w:rsidRDefault="00100789" w:rsidP="005C5573">
            <w:r>
              <w:t>BDNF Antibody NB100-98682</w:t>
            </w:r>
          </w:p>
        </w:tc>
        <w:tc>
          <w:tcPr>
            <w:tcW w:w="1870" w:type="dxa"/>
          </w:tcPr>
          <w:p w14:paraId="1CF031C8" w14:textId="77777777" w:rsidR="00100789" w:rsidRDefault="00100789" w:rsidP="005C5573">
            <w:r>
              <w:t>Rabbit polyclonal</w:t>
            </w:r>
          </w:p>
        </w:tc>
        <w:tc>
          <w:tcPr>
            <w:tcW w:w="1870" w:type="dxa"/>
          </w:tcPr>
          <w:p w14:paraId="45B284E5" w14:textId="77777777" w:rsidR="00100789" w:rsidRDefault="00100789" w:rsidP="005C5573">
            <w:r>
              <w:t>1:2000</w:t>
            </w:r>
          </w:p>
        </w:tc>
        <w:tc>
          <w:tcPr>
            <w:tcW w:w="1870" w:type="dxa"/>
          </w:tcPr>
          <w:p w14:paraId="6CA12AB8" w14:textId="77777777" w:rsidR="00100789" w:rsidRDefault="00100789" w:rsidP="005C5573">
            <w:r>
              <w:t>Specific to mature BDNF ~28kDa</w:t>
            </w:r>
          </w:p>
        </w:tc>
        <w:tc>
          <w:tcPr>
            <w:tcW w:w="1870" w:type="dxa"/>
          </w:tcPr>
          <w:p w14:paraId="7DF0B366" w14:textId="77777777" w:rsidR="00100789" w:rsidRDefault="00100789" w:rsidP="005C5573">
            <w:r>
              <w:t>Novus Biologicals, CO, USA</w:t>
            </w:r>
          </w:p>
        </w:tc>
      </w:tr>
    </w:tbl>
    <w:p w14:paraId="4BAFB634" w14:textId="77777777" w:rsidR="00100789" w:rsidRDefault="00100789" w:rsidP="00100789"/>
    <w:p w14:paraId="2EEDCD72" w14:textId="77777777" w:rsidR="00100789" w:rsidRPr="002B4A57" w:rsidRDefault="00100789" w:rsidP="00100789">
      <w:pPr>
        <w:keepNext/>
        <w:rPr>
          <w:rFonts w:cs="Times New Roman"/>
          <w:b/>
          <w:szCs w:val="24"/>
        </w:rPr>
      </w:pPr>
    </w:p>
    <w:p w14:paraId="6516D756" w14:textId="77777777" w:rsidR="00100789" w:rsidRPr="00100789" w:rsidRDefault="00100789" w:rsidP="00100789">
      <w:pPr>
        <w:pStyle w:val="NoSpacing"/>
      </w:pPr>
      <w:bookmarkStart w:id="0" w:name="_GoBack"/>
      <w:bookmarkEnd w:id="0"/>
    </w:p>
    <w:p w14:paraId="0597E3AE" w14:textId="77777777" w:rsidR="00BA7371" w:rsidRPr="00BA7371" w:rsidRDefault="00BA7371" w:rsidP="00BA7371">
      <w:pPr>
        <w:pStyle w:val="NoSpacing"/>
      </w:pPr>
    </w:p>
    <w:sectPr w:rsidR="00BA7371" w:rsidRPr="00BA7371"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8B418" w14:textId="77777777" w:rsidR="00C31F68" w:rsidRDefault="00C31F68" w:rsidP="00117666">
      <w:pPr>
        <w:spacing w:after="0"/>
      </w:pPr>
      <w:r>
        <w:separator/>
      </w:r>
    </w:p>
  </w:endnote>
  <w:endnote w:type="continuationSeparator" w:id="0">
    <w:p w14:paraId="08F7D115" w14:textId="77777777" w:rsidR="00C31F68" w:rsidRDefault="00C31F6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B617EE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0789">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B617EE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0789">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6A45B9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078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6A45B9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078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310E" w14:textId="77777777" w:rsidR="00C31F68" w:rsidRDefault="00C31F68" w:rsidP="00117666">
      <w:pPr>
        <w:spacing w:after="0"/>
      </w:pPr>
      <w:r>
        <w:separator/>
      </w:r>
    </w:p>
  </w:footnote>
  <w:footnote w:type="continuationSeparator" w:id="0">
    <w:p w14:paraId="699D69DB" w14:textId="77777777" w:rsidR="00C31F68" w:rsidRDefault="00C31F6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64BEF"/>
    <w:rsid w:val="00077D53"/>
    <w:rsid w:val="00100789"/>
    <w:rsid w:val="00105FD9"/>
    <w:rsid w:val="00117666"/>
    <w:rsid w:val="001549D3"/>
    <w:rsid w:val="00160065"/>
    <w:rsid w:val="00177D84"/>
    <w:rsid w:val="00267D18"/>
    <w:rsid w:val="00274347"/>
    <w:rsid w:val="002868E2"/>
    <w:rsid w:val="002869C3"/>
    <w:rsid w:val="002936E4"/>
    <w:rsid w:val="002B4A57"/>
    <w:rsid w:val="002C7385"/>
    <w:rsid w:val="002C74CA"/>
    <w:rsid w:val="002F1545"/>
    <w:rsid w:val="003123F4"/>
    <w:rsid w:val="003544FB"/>
    <w:rsid w:val="003D2F2D"/>
    <w:rsid w:val="003D7157"/>
    <w:rsid w:val="00401590"/>
    <w:rsid w:val="00435FAD"/>
    <w:rsid w:val="00447801"/>
    <w:rsid w:val="00452E9C"/>
    <w:rsid w:val="0045671E"/>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74392"/>
    <w:rsid w:val="00790BB3"/>
    <w:rsid w:val="007C206C"/>
    <w:rsid w:val="00817DD6"/>
    <w:rsid w:val="0083759F"/>
    <w:rsid w:val="00885156"/>
    <w:rsid w:val="008E292A"/>
    <w:rsid w:val="009151AA"/>
    <w:rsid w:val="0093429D"/>
    <w:rsid w:val="00943573"/>
    <w:rsid w:val="00964134"/>
    <w:rsid w:val="00970F7D"/>
    <w:rsid w:val="00994A3D"/>
    <w:rsid w:val="009976FF"/>
    <w:rsid w:val="009B07F2"/>
    <w:rsid w:val="009C2B12"/>
    <w:rsid w:val="00A174D9"/>
    <w:rsid w:val="00AA4D24"/>
    <w:rsid w:val="00AB6715"/>
    <w:rsid w:val="00B1671E"/>
    <w:rsid w:val="00B25EB8"/>
    <w:rsid w:val="00B37F4D"/>
    <w:rsid w:val="00B73B29"/>
    <w:rsid w:val="00BA7371"/>
    <w:rsid w:val="00C31F68"/>
    <w:rsid w:val="00C4202A"/>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96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8AAC5BA-D11B-47D6-8C04-7D077A55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34</TotalTime>
  <Pages>3</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Ferguson, Lindsay M.</cp:lastModifiedBy>
  <cp:revision>6</cp:revision>
  <cp:lastPrinted>2013-10-03T12:51:00Z</cp:lastPrinted>
  <dcterms:created xsi:type="dcterms:W3CDTF">2021-05-21T23:25:00Z</dcterms:created>
  <dcterms:modified xsi:type="dcterms:W3CDTF">2021-06-04T00:03:00Z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1436707</vt:lpwstr>
  </property>
  <property fmtid="{D5CDD505-2E9C-101B-9397-08002B2CF9AE}" pid="3" name="ProjectId">
    <vt:lpwstr>0</vt:lpwstr>
  </property>
  <property fmtid="{D5CDD505-2E9C-101B-9397-08002B2CF9AE}" pid="4" name="InsertAsFootnote">
    <vt:lpwstr>False</vt:lpwstr>
  </property>
  <property fmtid="{D5CDD505-2E9C-101B-9397-08002B2CF9AE}" pid="5" name="StyleId">
    <vt:lpwstr>http://www.zotero.org/styles/vancouver</vt:lpwstr>
  </property>
</Properties>
</file>