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DE21F2" w:rsidRDefault="00654E8F" w:rsidP="0001436A">
      <w:pPr>
        <w:pStyle w:val="SupplementaryMaterial"/>
        <w:rPr>
          <w:b w:val="0"/>
        </w:rPr>
      </w:pPr>
      <w:r w:rsidRPr="00DE21F2">
        <w:t>Supplementary Material</w:t>
      </w:r>
    </w:p>
    <w:p w14:paraId="3BD5A427" w14:textId="75DE21FF" w:rsidR="00EA3D3C" w:rsidRPr="00DE21F2" w:rsidRDefault="003E3B94" w:rsidP="0001436A">
      <w:pPr>
        <w:pStyle w:val="Heading1"/>
      </w:pPr>
      <w:r w:rsidRPr="00DE21F2">
        <w:t>Standardization methods of thyroid function tests (TFT) considering the reference ra</w:t>
      </w:r>
      <w:r w:rsidR="00B6118C" w:rsidRPr="00DE21F2">
        <w:t>n</w:t>
      </w:r>
      <w:r w:rsidRPr="00DE21F2">
        <w:t>ges of two different analysis kit</w:t>
      </w:r>
      <w:r w:rsidR="00B6118C" w:rsidRPr="00DE21F2">
        <w:t>s</w:t>
      </w:r>
      <w:r w:rsidRPr="00DE21F2">
        <w:t xml:space="preserve">. </w:t>
      </w:r>
    </w:p>
    <w:p w14:paraId="2D70819B" w14:textId="725F3CC3" w:rsidR="003E3B94" w:rsidRPr="00DE21F2" w:rsidRDefault="003E3B94" w:rsidP="003E3B94">
      <w:pPr>
        <w:pStyle w:val="Heading1"/>
        <w:numPr>
          <w:ilvl w:val="0"/>
          <w:numId w:val="0"/>
        </w:numPr>
        <w:ind w:left="567"/>
        <w:jc w:val="both"/>
        <w:rPr>
          <w:rFonts w:eastAsiaTheme="minorEastAsia"/>
          <w:b w:val="0"/>
        </w:rPr>
      </w:pPr>
      <w:r w:rsidRPr="00DE21F2">
        <w:rPr>
          <w:rFonts w:eastAsiaTheme="minorEastAsia"/>
          <w:b w:val="0"/>
        </w:rPr>
        <w:t>TFT was measured by two methods</w:t>
      </w:r>
      <w:r w:rsidR="00B6118C" w:rsidRPr="00DE21F2">
        <w:rPr>
          <w:rFonts w:eastAsiaTheme="minorEastAsia"/>
          <w:b w:val="0"/>
        </w:rPr>
        <w:t>:</w:t>
      </w:r>
      <w:r w:rsidRPr="00DE21F2">
        <w:rPr>
          <w:rFonts w:eastAsiaTheme="minorEastAsia"/>
          <w:b w:val="0"/>
        </w:rPr>
        <w:t xml:space="preserve"> radioimmunoassay using </w:t>
      </w:r>
      <w:r w:rsidR="00B6118C" w:rsidRPr="00DE21F2">
        <w:rPr>
          <w:rFonts w:eastAsiaTheme="minorEastAsia"/>
          <w:b w:val="0"/>
        </w:rPr>
        <w:t xml:space="preserve">an </w:t>
      </w:r>
      <w:r w:rsidRPr="00DE21F2">
        <w:rPr>
          <w:rFonts w:eastAsiaTheme="minorEastAsia"/>
          <w:b w:val="0"/>
        </w:rPr>
        <w:t>RIA kit (Immunotech Inc.,</w:t>
      </w:r>
      <w:r w:rsidR="00B6118C" w:rsidRPr="00DE21F2">
        <w:rPr>
          <w:rFonts w:eastAsiaTheme="minorEastAsia"/>
          <w:b w:val="0"/>
        </w:rPr>
        <w:t xml:space="preserve"> </w:t>
      </w:r>
      <w:r w:rsidRPr="00DE21F2">
        <w:rPr>
          <w:rFonts w:eastAsiaTheme="minorEastAsia"/>
          <w:b w:val="0"/>
        </w:rPr>
        <w:t>Praha, Czech Republic) and chemiluminescence immunoassay using ADVIA CENTAUR XP (Seimens Healthcare Diagnostics, Massachusetts, USA). The reference range</w:t>
      </w:r>
      <w:r w:rsidR="00B6118C" w:rsidRPr="00DE21F2">
        <w:rPr>
          <w:rFonts w:eastAsiaTheme="minorEastAsia"/>
          <w:b w:val="0"/>
        </w:rPr>
        <w:t>s</w:t>
      </w:r>
      <w:r w:rsidRPr="00DE21F2">
        <w:rPr>
          <w:rFonts w:eastAsiaTheme="minorEastAsia"/>
          <w:b w:val="0"/>
        </w:rPr>
        <w:t xml:space="preserve"> of TFT using radioimmunoassay are fT4 0.64–1.72 ng/dL</w:t>
      </w:r>
      <w:r w:rsidR="00C403F0" w:rsidRPr="00DE21F2">
        <w:rPr>
          <w:rFonts w:eastAsiaTheme="minorEastAsia" w:hint="eastAsia"/>
          <w:b w:val="0"/>
          <w:lang w:eastAsia="ko-KR"/>
        </w:rPr>
        <w:t xml:space="preserve"> (female), 0.79</w:t>
      </w:r>
      <w:r w:rsidR="00C403F0" w:rsidRPr="00DE21F2">
        <w:rPr>
          <w:rFonts w:eastAsiaTheme="minorEastAsia"/>
          <w:b w:val="0"/>
        </w:rPr>
        <w:t>–1.</w:t>
      </w:r>
      <w:r w:rsidR="00C403F0" w:rsidRPr="00DE21F2">
        <w:rPr>
          <w:rFonts w:eastAsiaTheme="minorEastAsia" w:hint="eastAsia"/>
          <w:b w:val="0"/>
          <w:lang w:eastAsia="ko-KR"/>
        </w:rPr>
        <w:t>86</w:t>
      </w:r>
      <w:r w:rsidR="00C403F0" w:rsidRPr="00DE21F2">
        <w:rPr>
          <w:rFonts w:eastAsiaTheme="minorEastAsia"/>
          <w:b w:val="0"/>
        </w:rPr>
        <w:t xml:space="preserve"> ng/dL</w:t>
      </w:r>
      <w:r w:rsidR="00C403F0" w:rsidRPr="00DE21F2">
        <w:rPr>
          <w:rFonts w:eastAsiaTheme="minorEastAsia" w:hint="eastAsia"/>
          <w:b w:val="0"/>
          <w:lang w:eastAsia="ko-KR"/>
        </w:rPr>
        <w:t xml:space="preserve"> (male)</w:t>
      </w:r>
      <w:r w:rsidRPr="00DE21F2">
        <w:rPr>
          <w:rFonts w:eastAsiaTheme="minorEastAsia"/>
          <w:b w:val="0"/>
        </w:rPr>
        <w:t>, TSH 0.30–6.50 μIU/mL</w:t>
      </w:r>
      <w:r w:rsidR="00C403F0" w:rsidRPr="00DE21F2">
        <w:rPr>
          <w:rFonts w:eastAsiaTheme="minorEastAsia" w:hint="eastAsia"/>
          <w:b w:val="0"/>
          <w:lang w:eastAsia="ko-KR"/>
        </w:rPr>
        <w:t xml:space="preserve"> (female), </w:t>
      </w:r>
      <w:r w:rsidR="00C403F0" w:rsidRPr="00DE21F2">
        <w:rPr>
          <w:rFonts w:eastAsiaTheme="minorEastAsia"/>
          <w:b w:val="0"/>
        </w:rPr>
        <w:t>0.30–6.</w:t>
      </w:r>
      <w:r w:rsidR="00C403F0" w:rsidRPr="00DE21F2">
        <w:rPr>
          <w:rFonts w:eastAsiaTheme="minorEastAsia" w:hint="eastAsia"/>
          <w:b w:val="0"/>
          <w:lang w:eastAsia="ko-KR"/>
        </w:rPr>
        <w:t>00</w:t>
      </w:r>
      <w:r w:rsidR="00C403F0" w:rsidRPr="00DE21F2">
        <w:rPr>
          <w:rFonts w:eastAsiaTheme="minorEastAsia"/>
          <w:b w:val="0"/>
        </w:rPr>
        <w:t xml:space="preserve"> μIU/mL</w:t>
      </w:r>
      <w:r w:rsidR="00C403F0" w:rsidRPr="00DE21F2">
        <w:rPr>
          <w:rFonts w:eastAsiaTheme="minorEastAsia" w:hint="eastAsia"/>
          <w:b w:val="0"/>
          <w:lang w:eastAsia="ko-KR"/>
        </w:rPr>
        <w:t xml:space="preserve"> (male)</w:t>
      </w:r>
      <w:r w:rsidRPr="00DE21F2">
        <w:rPr>
          <w:rFonts w:eastAsiaTheme="minorEastAsia"/>
          <w:b w:val="0"/>
        </w:rPr>
        <w:t>, and Total T3 76–190 ng/dL</w:t>
      </w:r>
      <w:r w:rsidR="00B6118C" w:rsidRPr="00DE21F2">
        <w:rPr>
          <w:rFonts w:eastAsiaTheme="minorEastAsia"/>
          <w:b w:val="0"/>
        </w:rPr>
        <w:t>.</w:t>
      </w:r>
      <w:r w:rsidRPr="00DE21F2">
        <w:rPr>
          <w:rFonts w:eastAsiaTheme="minorEastAsia"/>
          <w:b w:val="0"/>
        </w:rPr>
        <w:t xml:space="preserve"> </w:t>
      </w:r>
      <w:r w:rsidR="00B6118C" w:rsidRPr="00DE21F2">
        <w:rPr>
          <w:rFonts w:eastAsiaTheme="minorEastAsia"/>
          <w:b w:val="0"/>
        </w:rPr>
        <w:t>T</w:t>
      </w:r>
      <w:r w:rsidRPr="00DE21F2">
        <w:rPr>
          <w:rFonts w:eastAsiaTheme="minorEastAsia"/>
          <w:b w:val="0"/>
        </w:rPr>
        <w:t>he reference range</w:t>
      </w:r>
      <w:r w:rsidR="00B6118C" w:rsidRPr="00DE21F2">
        <w:rPr>
          <w:rFonts w:eastAsiaTheme="minorEastAsia"/>
          <w:b w:val="0"/>
        </w:rPr>
        <w:t>s</w:t>
      </w:r>
      <w:r w:rsidRPr="00DE21F2">
        <w:rPr>
          <w:rFonts w:eastAsiaTheme="minorEastAsia"/>
          <w:b w:val="0"/>
        </w:rPr>
        <w:t xml:space="preserve"> using </w:t>
      </w:r>
      <w:r w:rsidR="00B6118C" w:rsidRPr="00DE21F2">
        <w:rPr>
          <w:rFonts w:eastAsiaTheme="minorEastAsia"/>
          <w:b w:val="0"/>
        </w:rPr>
        <w:t xml:space="preserve">the </w:t>
      </w:r>
      <w:r w:rsidRPr="00DE21F2">
        <w:rPr>
          <w:rFonts w:eastAsiaTheme="minorEastAsia"/>
          <w:b w:val="0"/>
        </w:rPr>
        <w:t>chemiluminescence immunoassay are fT4 0.89–1.80 ng/dL, TSH 0.64–6.27 μIU/mL, and Total T3 60–181 ng/dL.</w:t>
      </w:r>
      <w:r w:rsidRPr="00DE21F2">
        <w:rPr>
          <w:rFonts w:eastAsiaTheme="minorEastAsia" w:hint="eastAsia"/>
          <w:b w:val="0"/>
          <w:lang w:eastAsia="ko-KR"/>
        </w:rPr>
        <w:t xml:space="preserve"> </w:t>
      </w:r>
      <w:r w:rsidRPr="00DE21F2">
        <w:rPr>
          <w:rFonts w:eastAsiaTheme="minorEastAsia"/>
          <w:b w:val="0"/>
        </w:rPr>
        <w:t>Although different reference ranges were obtained with each assay kit, the</w:t>
      </w:r>
      <w:r w:rsidR="00B6118C" w:rsidRPr="00DE21F2">
        <w:rPr>
          <w:rFonts w:eastAsiaTheme="minorEastAsia"/>
          <w:b w:val="0"/>
        </w:rPr>
        <w:t>se</w:t>
      </w:r>
      <w:r w:rsidRPr="00DE21F2">
        <w:rPr>
          <w:rFonts w:eastAsiaTheme="minorEastAsia"/>
          <w:b w:val="0"/>
        </w:rPr>
        <w:t xml:space="preserve"> differences were insignificant. </w:t>
      </w:r>
      <w:r w:rsidR="00CC0BA5" w:rsidRPr="00DE21F2">
        <w:rPr>
          <w:rFonts w:eastAsiaTheme="minorEastAsia"/>
          <w:b w:val="0"/>
        </w:rPr>
        <w:t>F</w:t>
      </w:r>
      <w:r w:rsidRPr="00DE21F2">
        <w:rPr>
          <w:rFonts w:eastAsiaTheme="minorEastAsia"/>
          <w:b w:val="0"/>
        </w:rPr>
        <w:t xml:space="preserve">or accurate statistical analysis, the TFT values measured in each analysis kit were standardized by the following formula considering the </w:t>
      </w:r>
      <w:r w:rsidR="00B6118C" w:rsidRPr="00DE21F2">
        <w:rPr>
          <w:rFonts w:eastAsiaTheme="minorEastAsia"/>
          <w:b w:val="0"/>
        </w:rPr>
        <w:t xml:space="preserve">appropriate </w:t>
      </w:r>
      <w:r w:rsidRPr="00DE21F2">
        <w:rPr>
          <w:rFonts w:eastAsiaTheme="minorEastAsia"/>
          <w:b w:val="0"/>
        </w:rPr>
        <w:t xml:space="preserve">reference ranges of each. The values of </w:t>
      </w:r>
      <w:r w:rsidR="00B6118C" w:rsidRPr="00DE21F2">
        <w:rPr>
          <w:rFonts w:eastAsiaTheme="minorEastAsia"/>
          <w:b w:val="0"/>
        </w:rPr>
        <w:t xml:space="preserve">the </w:t>
      </w:r>
      <w:r w:rsidRPr="00DE21F2">
        <w:rPr>
          <w:rFonts w:eastAsiaTheme="minorEastAsia"/>
          <w:b w:val="0"/>
        </w:rPr>
        <w:t xml:space="preserve">radioimmunoassay were converted to the chemiluminescence immunoassay </w:t>
      </w:r>
      <w:r w:rsidR="00B6118C" w:rsidRPr="00DE21F2">
        <w:rPr>
          <w:rFonts w:eastAsiaTheme="minorEastAsia"/>
          <w:b w:val="0"/>
        </w:rPr>
        <w:t>value</w:t>
      </w:r>
      <w:r w:rsidR="00CC0BA5" w:rsidRPr="00DE21F2">
        <w:rPr>
          <w:rFonts w:eastAsiaTheme="minorEastAsia"/>
          <w:b w:val="0"/>
        </w:rPr>
        <w:t>s</w:t>
      </w:r>
      <w:r w:rsidR="00B6118C" w:rsidRPr="00DE21F2">
        <w:rPr>
          <w:rFonts w:eastAsiaTheme="minorEastAsia"/>
          <w:b w:val="0"/>
        </w:rPr>
        <w:t xml:space="preserve"> </w:t>
      </w:r>
      <w:r w:rsidRPr="00DE21F2">
        <w:rPr>
          <w:rFonts w:eastAsiaTheme="minorEastAsia"/>
          <w:b w:val="0"/>
        </w:rPr>
        <w:t>using the following formula</w:t>
      </w:r>
      <w:r w:rsidR="00CC0BA5" w:rsidRPr="00DE21F2">
        <w:rPr>
          <w:rFonts w:eastAsiaTheme="minorEastAsia"/>
          <w:b w:val="0"/>
        </w:rPr>
        <w:t>. T</w:t>
      </w:r>
      <w:r w:rsidRPr="00DE21F2">
        <w:rPr>
          <w:rFonts w:eastAsiaTheme="minorEastAsia"/>
          <w:b w:val="0"/>
        </w:rPr>
        <w:t xml:space="preserve">he reference range of </w:t>
      </w:r>
      <w:r w:rsidR="00B6118C" w:rsidRPr="00DE21F2">
        <w:rPr>
          <w:rFonts w:eastAsiaTheme="minorEastAsia"/>
          <w:b w:val="0"/>
        </w:rPr>
        <w:t xml:space="preserve">the </w:t>
      </w:r>
      <w:r w:rsidRPr="00DE21F2">
        <w:rPr>
          <w:rFonts w:eastAsiaTheme="minorEastAsia"/>
          <w:b w:val="0"/>
        </w:rPr>
        <w:t>chemiluminescence immunoassay was used as the main reference range.</w:t>
      </w:r>
    </w:p>
    <w:p w14:paraId="4C36E1CE" w14:textId="5C530951" w:rsidR="003E3B94" w:rsidRPr="00DE21F2" w:rsidRDefault="00521438" w:rsidP="003E3B94">
      <w:pPr>
        <w:tabs>
          <w:tab w:val="left" w:pos="1035"/>
        </w:tabs>
        <w:spacing w:after="0" w:line="480" w:lineRule="auto"/>
        <w:contextualSpacing/>
        <w:rPr>
          <w:rFonts w:cs="Times New Roman"/>
          <w:bCs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Value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St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Value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CIA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Min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C</m:t>
                      </m:r>
                      <m:r>
                        <w:rPr>
                          <w:rFonts w:ascii="Cambria Math" w:hAnsi="Cambria Math" w:cs="Times New Roman" w:hint="eastAsia"/>
                          <w:szCs w:val="24"/>
                        </w:rPr>
                        <m:t>IA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Max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CIA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Min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CIA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)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Max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RIA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Min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RIA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e>
          </m:d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Cs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Min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RIA</m:t>
              </m:r>
            </m:sub>
          </m:sSub>
        </m:oMath>
      </m:oMathPara>
    </w:p>
    <w:p w14:paraId="1453B8E2" w14:textId="249F6104" w:rsidR="003E3B94" w:rsidRPr="00DE21F2" w:rsidRDefault="003E3B94" w:rsidP="003E3B94">
      <w:pPr>
        <w:tabs>
          <w:tab w:val="left" w:pos="1035"/>
        </w:tabs>
        <w:spacing w:after="0"/>
        <w:ind w:leftChars="200" w:left="480"/>
        <w:contextualSpacing/>
        <w:rPr>
          <w:rFonts w:cs="Times New Roman"/>
          <w:bCs/>
          <w:szCs w:val="24"/>
        </w:rPr>
      </w:pPr>
      <w:r w:rsidRPr="00DE21F2">
        <w:rPr>
          <w:rFonts w:cs="Times New Roman"/>
          <w:bCs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Value</m:t>
            </m:r>
          </m:e>
          <m:sub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St</m:t>
            </m:r>
          </m:sub>
        </m:sSub>
      </m:oMath>
      <w:r w:rsidRPr="00DE21F2">
        <w:rPr>
          <w:rFonts w:cs="Times New Roman"/>
          <w:bCs/>
          <w:szCs w:val="24"/>
        </w:rPr>
        <w:t xml:space="preserve">= standardized value, </w:t>
      </w:r>
      <m:oMath>
        <m:sSub>
          <m:sSubPr>
            <m:ctrlPr>
              <w:rPr>
                <w:rFonts w:ascii="Cambria Math" w:hAnsi="Cambria Math" w:cs="Times New Roman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Value</m:t>
            </m:r>
          </m:e>
          <m:sub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CIA</m:t>
            </m:r>
          </m:sub>
        </m:sSub>
      </m:oMath>
      <w:r w:rsidRPr="00DE21F2">
        <w:rPr>
          <w:rFonts w:cs="Times New Roman"/>
          <w:bCs/>
          <w:szCs w:val="24"/>
        </w:rPr>
        <w:t xml:space="preserve">= value of the chemiluminescence immunoassay (CIA), </w:t>
      </w:r>
      <m:oMath>
        <m:sSub>
          <m:sSubPr>
            <m:ctrlPr>
              <w:rPr>
                <w:rFonts w:ascii="Cambria Math" w:hAnsi="Cambria Math" w:cs="Times New Roman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Min</m:t>
            </m:r>
          </m:e>
          <m:sub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CIA</m:t>
            </m:r>
          </m:sub>
        </m:sSub>
      </m:oMath>
      <w:r w:rsidRPr="00DE21F2">
        <w:rPr>
          <w:rFonts w:cs="Times New Roman"/>
          <w:bCs/>
          <w:szCs w:val="24"/>
        </w:rPr>
        <w:t xml:space="preserve">= minimum of the reference range of the CIA, </w:t>
      </w:r>
      <m:oMath>
        <m:sSub>
          <m:sSubPr>
            <m:ctrlPr>
              <w:rPr>
                <w:rFonts w:ascii="Cambria Math" w:hAnsi="Cambria Math" w:cs="Times New Roman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Max</m:t>
            </m:r>
          </m:e>
          <m:sub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CIA</m:t>
            </m:r>
          </m:sub>
        </m:sSub>
      </m:oMath>
      <w:r w:rsidRPr="00DE21F2">
        <w:rPr>
          <w:rFonts w:cs="Times New Roman"/>
          <w:bCs/>
          <w:szCs w:val="24"/>
        </w:rPr>
        <w:t xml:space="preserve">= maximum of the reference range of the CIA, </w:t>
      </w:r>
      <m:oMath>
        <m:sSub>
          <m:sSubPr>
            <m:ctrlPr>
              <w:rPr>
                <w:rFonts w:ascii="Cambria Math" w:hAnsi="Cambria Math" w:cs="Times New Roman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Max</m:t>
            </m:r>
          </m:e>
          <m:sub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RIA</m:t>
            </m:r>
          </m:sub>
        </m:sSub>
      </m:oMath>
      <w:r w:rsidRPr="00DE21F2">
        <w:rPr>
          <w:rFonts w:cs="Times New Roman"/>
          <w:bCs/>
          <w:szCs w:val="24"/>
        </w:rPr>
        <w:t xml:space="preserve">= maximum of the reference range of the radioimmunoassay (RIA), and </w:t>
      </w:r>
      <m:oMath>
        <m:sSub>
          <m:sSubPr>
            <m:ctrlPr>
              <w:rPr>
                <w:rFonts w:ascii="Cambria Math" w:hAnsi="Cambria Math" w:cs="Times New Roman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Min</m:t>
            </m:r>
          </m:e>
          <m:sub>
            <m:r>
              <m:rPr>
                <m:sty m:val="p"/>
              </m:rPr>
              <w:rPr>
                <w:rFonts w:ascii="Cambria Math" w:hAnsi="Cambria Math" w:cs="Times New Roman" w:hint="eastAsia"/>
                <w:szCs w:val="24"/>
              </w:rPr>
              <m:t>RIA</m:t>
            </m:r>
          </m:sub>
        </m:sSub>
      </m:oMath>
      <w:r w:rsidRPr="00DE21F2">
        <w:rPr>
          <w:rFonts w:cs="Times New Roman"/>
          <w:bCs/>
          <w:szCs w:val="24"/>
        </w:rPr>
        <w:t>= minimum of the reference range of the RIA</w:t>
      </w:r>
      <w:r w:rsidR="00B6118C" w:rsidRPr="00DE21F2">
        <w:rPr>
          <w:rFonts w:cs="Times New Roman"/>
          <w:bCs/>
          <w:szCs w:val="24"/>
        </w:rPr>
        <w:t>.</w:t>
      </w:r>
    </w:p>
    <w:p w14:paraId="72D0914B" w14:textId="77777777" w:rsidR="003E3B94" w:rsidRPr="00DE21F2" w:rsidRDefault="003E3B94" w:rsidP="003E3B94">
      <w:pPr>
        <w:tabs>
          <w:tab w:val="left" w:pos="1035"/>
        </w:tabs>
        <w:spacing w:after="0"/>
        <w:ind w:leftChars="200" w:left="480"/>
        <w:contextualSpacing/>
        <w:rPr>
          <w:rFonts w:cs="Times New Roman"/>
          <w:bCs/>
          <w:sz w:val="22"/>
          <w:szCs w:val="18"/>
        </w:rPr>
      </w:pPr>
    </w:p>
    <w:p w14:paraId="0062FE93" w14:textId="270919C7" w:rsidR="00526631" w:rsidRPr="00DE21F2" w:rsidRDefault="003E3B94" w:rsidP="003E3B94">
      <w:pPr>
        <w:tabs>
          <w:tab w:val="left" w:pos="1035"/>
        </w:tabs>
        <w:spacing w:after="0"/>
        <w:ind w:leftChars="200" w:left="480"/>
        <w:contextualSpacing/>
        <w:jc w:val="both"/>
      </w:pPr>
      <w:r w:rsidRPr="00DE21F2">
        <w:t>ATA and AMA were measured with anti-Tgn (Brahms, Berlin, Germany). The reference ranges of both ATA and AMA are 0</w:t>
      </w:r>
      <w:r w:rsidR="00B6118C" w:rsidRPr="00DE21F2">
        <w:t>-</w:t>
      </w:r>
      <w:r w:rsidRPr="00DE21F2">
        <w:t xml:space="preserve">100 U/mL before February </w:t>
      </w:r>
      <w:r w:rsidR="00B6118C" w:rsidRPr="00DE21F2">
        <w:t xml:space="preserve">of </w:t>
      </w:r>
      <w:r w:rsidRPr="00DE21F2">
        <w:t>2010</w:t>
      </w:r>
      <w:r w:rsidR="00B6118C" w:rsidRPr="00DE21F2">
        <w:t xml:space="preserve"> and</w:t>
      </w:r>
      <w:r w:rsidRPr="00DE21F2">
        <w:t xml:space="preserve"> 0</w:t>
      </w:r>
      <w:r w:rsidR="00B6118C" w:rsidRPr="00DE21F2">
        <w:t>-</w:t>
      </w:r>
      <w:r w:rsidRPr="00DE21F2">
        <w:t xml:space="preserve">60 U/mL after February </w:t>
      </w:r>
      <w:r w:rsidR="00B6118C" w:rsidRPr="00DE21F2">
        <w:t xml:space="preserve">of </w:t>
      </w:r>
      <w:r w:rsidRPr="00DE21F2">
        <w:t xml:space="preserve">2010. Two TRAb-assays were used during the study period. </w:t>
      </w:r>
      <w:r w:rsidR="007F74BB" w:rsidRPr="00DE21F2">
        <w:rPr>
          <w:rFonts w:cs="Times New Roman"/>
          <w:szCs w:val="24"/>
        </w:rPr>
        <w:t xml:space="preserve">During the first part of the study (before March of 2011), we used a TRAK-Assay (Brahms, Berlin, Germany; reference range, &lt; 10% negative, 10-15% borderline, &gt; </w:t>
      </w:r>
      <w:r w:rsidR="003F67C1" w:rsidRPr="00DE21F2">
        <w:rPr>
          <w:rFonts w:cs="Times New Roman"/>
          <w:szCs w:val="24"/>
        </w:rPr>
        <w:t xml:space="preserve">15% positive), which is a first-generation assay and a </w:t>
      </w:r>
      <w:r w:rsidR="007F74BB" w:rsidRPr="00DE21F2">
        <w:rPr>
          <w:rFonts w:cs="Times New Roman"/>
          <w:szCs w:val="24"/>
        </w:rPr>
        <w:t>conventional radioreceptor</w:t>
      </w:r>
      <w:r w:rsidR="00614880" w:rsidRPr="00DE21F2">
        <w:rPr>
          <w:rFonts w:cs="Times New Roman" w:hint="eastAsia"/>
          <w:szCs w:val="24"/>
          <w:lang w:eastAsia="ko-KR"/>
        </w:rPr>
        <w:t xml:space="preserve"> </w:t>
      </w:r>
      <w:r w:rsidR="007F74BB" w:rsidRPr="00DE21F2">
        <w:rPr>
          <w:rFonts w:cs="Times New Roman"/>
          <w:szCs w:val="24"/>
        </w:rPr>
        <w:t>assay using porcine thyrocytes membrane. Thereafter (after March of 2011), we used a TRAK human RIA (Brahms; reference range, &lt; 1.0 IU/L negative, 1.0-1.5 IU/L borderline, &gt; 1.5 IU</w:t>
      </w:r>
      <w:r w:rsidR="003F67C1" w:rsidRPr="00DE21F2">
        <w:rPr>
          <w:rFonts w:cs="Times New Roman"/>
          <w:szCs w:val="24"/>
        </w:rPr>
        <w:t xml:space="preserve">/L positive), which is a second-generation assay and a </w:t>
      </w:r>
      <w:r w:rsidR="007F74BB" w:rsidRPr="00DE21F2">
        <w:rPr>
          <w:rFonts w:cs="Times New Roman"/>
          <w:szCs w:val="24"/>
        </w:rPr>
        <w:t>coated tube radioimmunoassay using recombinant human TSH receptor.</w:t>
      </w:r>
    </w:p>
    <w:p w14:paraId="47811B2E" w14:textId="77777777" w:rsidR="00526631" w:rsidRPr="00DE21F2" w:rsidRDefault="00526631">
      <w:pPr>
        <w:spacing w:before="0" w:after="200" w:line="276" w:lineRule="auto"/>
      </w:pPr>
      <w:r w:rsidRPr="00DE21F2">
        <w:br w:type="page"/>
      </w:r>
    </w:p>
    <w:p w14:paraId="5E5DEEF5" w14:textId="30E90FD4" w:rsidR="006E55B3" w:rsidRPr="00DE21F2" w:rsidRDefault="00654E8F" w:rsidP="006E55B3">
      <w:pPr>
        <w:pStyle w:val="Heading1"/>
      </w:pPr>
      <w:r w:rsidRPr="00DE21F2">
        <w:lastRenderedPageBreak/>
        <w:t>Supplementary Tables</w:t>
      </w:r>
    </w:p>
    <w:p w14:paraId="230C6E01" w14:textId="3FF8667A" w:rsidR="006E55B3" w:rsidRPr="00DE21F2" w:rsidRDefault="006E55B3" w:rsidP="0001436A">
      <w:pPr>
        <w:pStyle w:val="Heading2"/>
        <w:rPr>
          <w:bCs/>
        </w:rPr>
      </w:pPr>
      <w:r w:rsidRPr="00DE21F2">
        <w:rPr>
          <w:rFonts w:eastAsiaTheme="minorEastAsia"/>
          <w:lang w:eastAsia="ko-KR"/>
        </w:rPr>
        <w:t xml:space="preserve">Table </w:t>
      </w:r>
      <w:r w:rsidR="00E622C9" w:rsidRPr="00DE21F2">
        <w:rPr>
          <w:rFonts w:eastAsiaTheme="minorEastAsia"/>
          <w:lang w:eastAsia="ko-KR"/>
        </w:rPr>
        <w:t>1</w:t>
      </w:r>
      <w:r w:rsidRPr="00DE21F2">
        <w:rPr>
          <w:rFonts w:eastAsiaTheme="minorEastAsia"/>
          <w:lang w:eastAsia="ko-KR"/>
        </w:rPr>
        <w:t xml:space="preserve">. </w:t>
      </w:r>
      <w:r w:rsidRPr="00DE21F2">
        <w:rPr>
          <w:bCs/>
        </w:rPr>
        <w:t>Comparison of clinical and biochemical characteristics between the follow-up group and the lost to follow-up group</w:t>
      </w:r>
    </w:p>
    <w:tbl>
      <w:tblPr>
        <w:tblStyle w:val="TableGrid"/>
        <w:tblW w:w="0" w:type="auto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1795"/>
        <w:gridCol w:w="1795"/>
        <w:gridCol w:w="1796"/>
        <w:gridCol w:w="1171"/>
      </w:tblGrid>
      <w:tr w:rsidR="00DE21F2" w:rsidRPr="00DE21F2" w14:paraId="08FEF5CF" w14:textId="77777777" w:rsidTr="00B63AE5">
        <w:trPr>
          <w:trHeight w:val="912"/>
        </w:trPr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4EC98D33" w14:textId="77777777" w:rsidR="006E55B3" w:rsidRPr="00DE21F2" w:rsidRDefault="006E55B3" w:rsidP="00526631">
            <w:pPr>
              <w:spacing w:before="0"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/>
                <w:bCs/>
                <w:kern w:val="24"/>
                <w:sz w:val="22"/>
              </w:rPr>
              <w:t>Parameter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665A1275" w14:textId="77777777" w:rsidR="006E55B3" w:rsidRPr="00DE21F2" w:rsidRDefault="006E55B3" w:rsidP="00526631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DE21F2">
              <w:rPr>
                <w:rFonts w:cs="Times New Roman"/>
                <w:b/>
                <w:bCs/>
                <w:sz w:val="22"/>
              </w:rPr>
              <w:t>Total subjects</w:t>
            </w:r>
          </w:p>
          <w:p w14:paraId="253AC980" w14:textId="01F31ADC" w:rsidR="006E55B3" w:rsidRPr="00DE21F2" w:rsidRDefault="006E55B3" w:rsidP="00526631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DE21F2">
              <w:rPr>
                <w:rFonts w:cs="Times New Roman"/>
                <w:b/>
                <w:bCs/>
                <w:sz w:val="22"/>
              </w:rPr>
              <w:t xml:space="preserve"> (</w:t>
            </w:r>
            <w:r w:rsidRPr="00DE21F2">
              <w:rPr>
                <w:rFonts w:cs="Times New Roman"/>
                <w:b/>
                <w:bCs/>
                <w:i/>
                <w:sz w:val="22"/>
              </w:rPr>
              <w:t>n</w:t>
            </w:r>
            <w:r w:rsidRPr="00DE21F2">
              <w:rPr>
                <w:rFonts w:cs="Times New Roman"/>
                <w:b/>
                <w:bCs/>
                <w:sz w:val="22"/>
              </w:rPr>
              <w:t xml:space="preserve"> = 187)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B510386" w14:textId="4499243D" w:rsidR="006E55B3" w:rsidRPr="00DE21F2" w:rsidRDefault="004D373F" w:rsidP="00526631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DE21F2">
              <w:rPr>
                <w:rFonts w:cs="Times New Roman"/>
                <w:b/>
                <w:bCs/>
                <w:sz w:val="22"/>
              </w:rPr>
              <w:t>Follow-</w:t>
            </w:r>
            <w:r w:rsidR="006E55B3" w:rsidRPr="00DE21F2">
              <w:rPr>
                <w:rFonts w:cs="Times New Roman"/>
                <w:b/>
                <w:bCs/>
                <w:sz w:val="22"/>
              </w:rPr>
              <w:t>up</w:t>
            </w:r>
          </w:p>
          <w:p w14:paraId="4E010538" w14:textId="2882F69D" w:rsidR="006E55B3" w:rsidRPr="00DE21F2" w:rsidRDefault="006E55B3" w:rsidP="00526631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DE21F2">
              <w:rPr>
                <w:rFonts w:cs="Times New Roman"/>
                <w:b/>
                <w:bCs/>
                <w:sz w:val="22"/>
              </w:rPr>
              <w:t>(</w:t>
            </w:r>
            <w:r w:rsidRPr="00DE21F2">
              <w:rPr>
                <w:rFonts w:cs="Times New Roman"/>
                <w:b/>
                <w:bCs/>
                <w:i/>
                <w:sz w:val="22"/>
              </w:rPr>
              <w:t>n</w:t>
            </w:r>
            <w:r w:rsidRPr="00DE21F2">
              <w:rPr>
                <w:rFonts w:cs="Times New Roman"/>
                <w:b/>
                <w:bCs/>
                <w:sz w:val="22"/>
              </w:rPr>
              <w:t xml:space="preserve"> = 134)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7FE9AB8" w14:textId="77777777" w:rsidR="006E55B3" w:rsidRPr="00DE21F2" w:rsidRDefault="006E55B3" w:rsidP="00526631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DE21F2">
              <w:rPr>
                <w:rFonts w:cs="Times New Roman"/>
                <w:b/>
                <w:bCs/>
                <w:sz w:val="22"/>
              </w:rPr>
              <w:t xml:space="preserve">Lost to </w:t>
            </w:r>
          </w:p>
          <w:p w14:paraId="18321182" w14:textId="1C2FFCB6" w:rsidR="006E55B3" w:rsidRPr="00DE21F2" w:rsidRDefault="006E55B3" w:rsidP="00526631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DE21F2">
              <w:rPr>
                <w:rFonts w:cs="Times New Roman"/>
                <w:b/>
                <w:bCs/>
                <w:sz w:val="22"/>
              </w:rPr>
              <w:t>follow-up</w:t>
            </w:r>
          </w:p>
          <w:p w14:paraId="53D66BBC" w14:textId="433BA2ED" w:rsidR="006E55B3" w:rsidRPr="00DE21F2" w:rsidRDefault="006E55B3" w:rsidP="00526631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DE21F2">
              <w:rPr>
                <w:rFonts w:cs="Times New Roman"/>
                <w:b/>
                <w:bCs/>
                <w:sz w:val="22"/>
              </w:rPr>
              <w:t>(</w:t>
            </w:r>
            <w:r w:rsidRPr="00DE21F2">
              <w:rPr>
                <w:rFonts w:cs="Times New Roman"/>
                <w:b/>
                <w:bCs/>
                <w:i/>
                <w:sz w:val="22"/>
              </w:rPr>
              <w:t>n</w:t>
            </w:r>
            <w:r w:rsidRPr="00DE21F2">
              <w:rPr>
                <w:rFonts w:cs="Times New Roman"/>
                <w:b/>
                <w:bCs/>
                <w:sz w:val="22"/>
              </w:rPr>
              <w:t xml:space="preserve"> = 53)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3EFFE63" w14:textId="77FAA0F9" w:rsidR="006E55B3" w:rsidRPr="00DE21F2" w:rsidRDefault="00526631" w:rsidP="00526631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22"/>
              </w:rPr>
            </w:pPr>
            <w:r w:rsidRPr="00DE21F2">
              <w:rPr>
                <w:rFonts w:cs="Times New Roman"/>
                <w:b/>
                <w:bCs/>
                <w:i/>
                <w:iCs/>
                <w:sz w:val="22"/>
              </w:rPr>
              <w:t>P</w:t>
            </w:r>
            <w:r w:rsidR="006E55B3" w:rsidRPr="00DE21F2">
              <w:rPr>
                <w:rFonts w:cs="Times New Roman"/>
                <w:b/>
                <w:bCs/>
                <w:iCs/>
                <w:sz w:val="22"/>
              </w:rPr>
              <w:t>-v</w:t>
            </w:r>
            <w:r w:rsidR="006E55B3" w:rsidRPr="00DE21F2">
              <w:rPr>
                <w:rFonts w:cs="Times New Roman"/>
                <w:b/>
                <w:bCs/>
                <w:sz w:val="22"/>
              </w:rPr>
              <w:t>alue*</w:t>
            </w:r>
          </w:p>
        </w:tc>
      </w:tr>
      <w:tr w:rsidR="00DE21F2" w:rsidRPr="00DE21F2" w14:paraId="09ECC730" w14:textId="77777777" w:rsidTr="00B63AE5">
        <w:trPr>
          <w:trHeight w:val="284"/>
        </w:trPr>
        <w:tc>
          <w:tcPr>
            <w:tcW w:w="3254" w:type="dxa"/>
            <w:tcBorders>
              <w:top w:val="single" w:sz="4" w:space="0" w:color="auto"/>
              <w:bottom w:val="nil"/>
            </w:tcBorders>
            <w:vAlign w:val="center"/>
          </w:tcPr>
          <w:p w14:paraId="3828B182" w14:textId="77777777" w:rsidR="006E55B3" w:rsidRPr="00DE21F2" w:rsidRDefault="006E55B3" w:rsidP="00526631">
            <w:pPr>
              <w:spacing w:after="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Sex</w:t>
            </w:r>
          </w:p>
          <w:p w14:paraId="0C2EA19F" w14:textId="2B5ADB71" w:rsidR="006E55B3" w:rsidRPr="00DE21F2" w:rsidRDefault="006E55B3" w:rsidP="00526631">
            <w:pPr>
              <w:spacing w:after="0"/>
              <w:ind w:firstLineChars="50" w:firstLine="11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Male,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  <w:p w14:paraId="73FAF89F" w14:textId="614B934E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  Female,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14:paraId="7E20DDE0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32 (17.1%)</w:t>
            </w:r>
          </w:p>
          <w:p w14:paraId="4DECCCCA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155 (82.9%)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14:paraId="10794950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22 (16.4%)</w:t>
            </w:r>
          </w:p>
          <w:p w14:paraId="17FE3312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112 (83.6%)</w:t>
            </w:r>
          </w:p>
        </w:tc>
        <w:tc>
          <w:tcPr>
            <w:tcW w:w="1796" w:type="dxa"/>
            <w:tcBorders>
              <w:top w:val="single" w:sz="4" w:space="0" w:color="auto"/>
              <w:bottom w:val="nil"/>
            </w:tcBorders>
            <w:vAlign w:val="center"/>
          </w:tcPr>
          <w:p w14:paraId="0DF9E513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10 (18.9%)</w:t>
            </w:r>
          </w:p>
          <w:p w14:paraId="46D5D1D5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43 (81.1%)</w:t>
            </w: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  <w:vAlign w:val="center"/>
          </w:tcPr>
          <w:p w14:paraId="13DFC09B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.688</w:t>
            </w:r>
            <w:r w:rsidRPr="00DE21F2">
              <w:rPr>
                <w:rFonts w:eastAsia="Arial Unicode MS" w:cs="Times New Roman"/>
                <w:kern w:val="24"/>
                <w:position w:val="12"/>
                <w:sz w:val="22"/>
                <w:vertAlign w:val="superscript"/>
              </w:rPr>
              <w:t>=</w:t>
            </w:r>
          </w:p>
        </w:tc>
      </w:tr>
      <w:tr w:rsidR="00DE21F2" w:rsidRPr="00DE21F2" w14:paraId="600A07E7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5BA23DD9" w14:textId="77777777" w:rsidR="006E55B3" w:rsidRPr="00DE21F2" w:rsidRDefault="006E55B3" w:rsidP="00526631">
            <w:pPr>
              <w:spacing w:after="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Past medical history of AID (%)</w:t>
            </w:r>
          </w:p>
          <w:p w14:paraId="7A2B9D9F" w14:textId="3563234A" w:rsidR="006E55B3" w:rsidRPr="00DE21F2" w:rsidRDefault="006E55B3" w:rsidP="00526631">
            <w:pPr>
              <w:spacing w:after="0"/>
              <w:ind w:firstLineChars="50" w:firstLine="11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Positive,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  <w:p w14:paraId="764ADD43" w14:textId="3905B76E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  Negative,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311740F6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5 (2.7%)</w:t>
            </w:r>
          </w:p>
          <w:p w14:paraId="6423ED5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182 (97.3%)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51540EFF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 (3.0%)</w:t>
            </w:r>
          </w:p>
          <w:p w14:paraId="20D02CEC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130 (97.0%)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6D581CDE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 (1.9%)</w:t>
            </w:r>
          </w:p>
          <w:p w14:paraId="68586742" w14:textId="607DCE88" w:rsidR="006E55B3" w:rsidRPr="00DE21F2" w:rsidRDefault="00B84089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52 (98.1</w:t>
            </w:r>
            <w:r w:rsidR="006E55B3" w:rsidRPr="00DE21F2">
              <w:rPr>
                <w:rFonts w:eastAsia="Arial Unicode MS" w:cs="Times New Roman"/>
                <w:kern w:val="24"/>
                <w:sz w:val="22"/>
              </w:rPr>
              <w:t>%)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227E3D7F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&gt;.999</w:t>
            </w:r>
            <w:r w:rsidRPr="00DE21F2">
              <w:rPr>
                <w:rFonts w:cs="Times New Roman"/>
                <w:sz w:val="22"/>
                <w:vertAlign w:val="superscript"/>
              </w:rPr>
              <w:t>‡</w:t>
            </w:r>
          </w:p>
        </w:tc>
      </w:tr>
      <w:tr w:rsidR="00DE21F2" w:rsidRPr="00DE21F2" w14:paraId="60B9216B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7BDE0FCB" w14:textId="77777777" w:rsidR="006E55B3" w:rsidRPr="00DE21F2" w:rsidRDefault="006E55B3" w:rsidP="00526631">
            <w:pPr>
              <w:spacing w:after="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Family history of AITD (%)</w:t>
            </w:r>
          </w:p>
          <w:p w14:paraId="1110C7A6" w14:textId="2B5EF466" w:rsidR="006E55B3" w:rsidRPr="00DE21F2" w:rsidRDefault="006E55B3" w:rsidP="00526631">
            <w:pPr>
              <w:spacing w:after="0"/>
              <w:ind w:firstLineChars="50" w:firstLine="11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Positive,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  <w:p w14:paraId="4BC7EA2B" w14:textId="52D4EB81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  Negative,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4F6F5CAC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65 (34.8%)</w:t>
            </w:r>
          </w:p>
          <w:p w14:paraId="7E42FF48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122 (65.2%)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6B487453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46 (34.3%)</w:t>
            </w:r>
          </w:p>
          <w:p w14:paraId="55A38811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88 (65.7%)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7DA7CE03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19 (35.8%)</w:t>
            </w:r>
          </w:p>
          <w:p w14:paraId="2997412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34 (64.2%)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2AAA422A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.844</w:t>
            </w:r>
            <w:r w:rsidRPr="00DE21F2">
              <w:rPr>
                <w:rFonts w:eastAsia="Arial Unicode MS" w:cs="Times New Roman"/>
                <w:kern w:val="24"/>
                <w:position w:val="12"/>
                <w:sz w:val="22"/>
                <w:vertAlign w:val="superscript"/>
              </w:rPr>
              <w:t>=</w:t>
            </w:r>
          </w:p>
        </w:tc>
      </w:tr>
      <w:tr w:rsidR="00DE21F2" w:rsidRPr="00DE21F2" w14:paraId="44DFE2B9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3943EFBF" w14:textId="77777777" w:rsidR="006E55B3" w:rsidRPr="00DE21F2" w:rsidRDefault="006E55B3" w:rsidP="00526631">
            <w:pPr>
              <w:spacing w:after="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Graves’ ophthalmopathy (%)</w:t>
            </w:r>
          </w:p>
          <w:p w14:paraId="7E513F1C" w14:textId="50598FD9" w:rsidR="006E55B3" w:rsidRPr="00DE21F2" w:rsidRDefault="006E55B3" w:rsidP="00526631">
            <w:pPr>
              <w:spacing w:after="0"/>
              <w:ind w:firstLineChars="50" w:firstLine="11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 Yes,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  <w:p w14:paraId="0DEF1561" w14:textId="2773CE1E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   No,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2813D5A0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60 (32.1%)</w:t>
            </w:r>
          </w:p>
          <w:p w14:paraId="1BF7151F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127 (67.9%)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70F2105D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43 (32.1%)</w:t>
            </w:r>
          </w:p>
          <w:p w14:paraId="116AB247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91 (67.9%)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45461640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17 (32.1%)</w:t>
            </w:r>
          </w:p>
          <w:p w14:paraId="2CD06187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36 (67.9%)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513A4E6F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.999</w:t>
            </w:r>
            <w:r w:rsidRPr="00DE21F2">
              <w:rPr>
                <w:rFonts w:eastAsia="Arial Unicode MS" w:cs="Times New Roman"/>
                <w:kern w:val="24"/>
                <w:position w:val="12"/>
                <w:sz w:val="22"/>
                <w:vertAlign w:val="superscript"/>
              </w:rPr>
              <w:t>=</w:t>
            </w:r>
          </w:p>
        </w:tc>
      </w:tr>
      <w:tr w:rsidR="00DE21F2" w:rsidRPr="00DE21F2" w14:paraId="5B58FFDC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5C09AA59" w14:textId="77777777" w:rsidR="006E55B3" w:rsidRPr="00DE21F2" w:rsidRDefault="006E55B3" w:rsidP="00526631">
            <w:pPr>
              <w:spacing w:after="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Goiter (%)</w:t>
            </w:r>
          </w:p>
          <w:p w14:paraId="79D8FBAF" w14:textId="2AF3E397" w:rsidR="006E55B3" w:rsidRPr="00DE21F2" w:rsidRDefault="006E55B3" w:rsidP="00526631">
            <w:pPr>
              <w:spacing w:after="0"/>
              <w:ind w:firstLineChars="50" w:firstLine="11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 Yes,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  <w:p w14:paraId="143C633C" w14:textId="5BF3DC9C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   No, 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(%)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6BB7B59C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145 (77.5%)</w:t>
            </w:r>
          </w:p>
          <w:p w14:paraId="01BF0016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42 (22.5%)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1772FA60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101 (75.4%)</w:t>
            </w:r>
          </w:p>
          <w:p w14:paraId="30FBF91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33 (24.6%)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4D8EB088" w14:textId="77777777" w:rsidR="006E55B3" w:rsidRPr="00DE21F2" w:rsidRDefault="006E55B3" w:rsidP="00526631">
            <w:pPr>
              <w:spacing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44 (83.0%)</w:t>
            </w:r>
          </w:p>
          <w:p w14:paraId="76172373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9 (17.0%)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70B7EF01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.259</w:t>
            </w:r>
            <w:r w:rsidRPr="00DE21F2">
              <w:rPr>
                <w:rFonts w:eastAsia="Arial Unicode MS" w:cs="Times New Roman"/>
                <w:bCs/>
                <w:kern w:val="24"/>
                <w:position w:val="12"/>
                <w:sz w:val="22"/>
                <w:vertAlign w:val="superscript"/>
              </w:rPr>
              <w:t>=</w:t>
            </w:r>
          </w:p>
        </w:tc>
      </w:tr>
      <w:tr w:rsidR="00DE21F2" w:rsidRPr="00DE21F2" w14:paraId="64E95C2F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005C7690" w14:textId="77777777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Age at diagnosis (years)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763D2B68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12.9 ± 3.2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23B71E5C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12.9 ± 3.3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43146EBD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12.9 ± 2.9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01E90ECC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.910</w:t>
            </w:r>
            <w:r w:rsidRPr="00DE21F2">
              <w:rPr>
                <w:rFonts w:eastAsia="Arial Unicode MS" w:cs="Times New Roman"/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  <w:tr w:rsidR="00DE21F2" w:rsidRPr="00DE21F2" w14:paraId="097D216A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67825A21" w14:textId="77777777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BMI score at diagnosis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0EC899C7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18.9 ± 3.4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40C02F73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18.6 ± 3.5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27E9258C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19.6 ± 3.1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36522C6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.058</w:t>
            </w:r>
            <w:r w:rsidRPr="00DE21F2">
              <w:rPr>
                <w:rFonts w:eastAsia="Arial Unicode MS" w:cs="Times New Roman"/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  <w:tr w:rsidR="00DE21F2" w:rsidRPr="00DE21F2" w14:paraId="1BFFD215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20779E60" w14:textId="77777777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Duration of ATD treatment (years)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28038B9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4.7 ± 3.4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2B0DE01E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4.8 ± 3.6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4E5B9958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4.3 ± 2.7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2B169285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.539</w:t>
            </w:r>
            <w:r w:rsidRPr="00DE21F2">
              <w:rPr>
                <w:rFonts w:eastAsia="Arial Unicode MS" w:cs="Times New Roman"/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  <w:tr w:rsidR="00DE21F2" w:rsidRPr="00DE21F2" w14:paraId="56424E12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6B64C692" w14:textId="1422B23F" w:rsidR="00526631" w:rsidRPr="00DE21F2" w:rsidRDefault="00526631" w:rsidP="00526631">
            <w:pPr>
              <w:spacing w:after="0"/>
              <w:rPr>
                <w:rFonts w:eastAsia="Arial Unicode MS" w:cs="Times New Roman"/>
                <w:bCs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Total T3 at diagnosis (pg/mL)</w:t>
            </w:r>
          </w:p>
          <w:p w14:paraId="402B3A55" w14:textId="21343869" w:rsidR="006E55B3" w:rsidRPr="00DE21F2" w:rsidRDefault="006E55B3" w:rsidP="00526631">
            <w:pPr>
              <w:spacing w:after="0"/>
              <w:rPr>
                <w:rFonts w:eastAsia="Arial Unicode MS" w:cs="Times New Roman"/>
                <w:bCs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(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= 147)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5569AC63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468.6 ± 214.0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5207462E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466.3 ± 213.9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7C1C21FB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 xml:space="preserve">475.6 ± 216.9 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5E50A121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.780</w:t>
            </w:r>
            <w:r w:rsidRPr="00DE21F2">
              <w:rPr>
                <w:rFonts w:eastAsia="Arial Unicode MS" w:cs="Times New Roman"/>
                <w:bCs/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  <w:tr w:rsidR="00DE21F2" w:rsidRPr="00DE21F2" w14:paraId="6148EFC2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4D047C4D" w14:textId="77777777" w:rsidR="006E55B3" w:rsidRPr="00DE21F2" w:rsidRDefault="006E55B3" w:rsidP="00526631">
            <w:pPr>
              <w:spacing w:after="0"/>
              <w:rPr>
                <w:rFonts w:eastAsia="Arial Unicode MS" w:cs="Times New Roman"/>
                <w:bCs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FT4 at diagnosis (ng/dL)</w:t>
            </w:r>
          </w:p>
          <w:p w14:paraId="48B9F5A2" w14:textId="121CE13F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(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= 137)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211133AD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4.6 ± 1.9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2BF835F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4.6 ± 1.8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6C39F39A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4.7 ± 2.0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06435CBA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.989</w:t>
            </w:r>
            <w:r w:rsidRPr="00DE21F2">
              <w:rPr>
                <w:rFonts w:eastAsia="Arial Unicode MS" w:cs="Times New Roman"/>
                <w:bCs/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  <w:tr w:rsidR="00DE21F2" w:rsidRPr="00DE21F2" w14:paraId="77E090E8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nil"/>
            </w:tcBorders>
            <w:vAlign w:val="center"/>
          </w:tcPr>
          <w:p w14:paraId="60EA6C48" w14:textId="28807958" w:rsidR="006E55B3" w:rsidRPr="00DE21F2" w:rsidRDefault="00526631" w:rsidP="00526631">
            <w:pPr>
              <w:spacing w:after="0"/>
              <w:rPr>
                <w:rFonts w:eastAsia="Arial Unicode MS" w:cs="Times New Roman"/>
                <w:bCs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ATA at diagnosis (U/mL)</w:t>
            </w:r>
          </w:p>
          <w:p w14:paraId="4622DB6A" w14:textId="402184A4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(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= 146)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4248479A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631.4 ± 2131.1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14:paraId="69EFAD78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 xml:space="preserve">559.1 ± 2101.7 </w:t>
            </w:r>
          </w:p>
        </w:tc>
        <w:tc>
          <w:tcPr>
            <w:tcW w:w="1796" w:type="dxa"/>
            <w:tcBorders>
              <w:top w:val="nil"/>
              <w:bottom w:val="nil"/>
            </w:tcBorders>
            <w:vAlign w:val="center"/>
          </w:tcPr>
          <w:p w14:paraId="2ADEBC39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836.7 ± 2228.2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3DE79233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.377</w:t>
            </w:r>
            <w:r w:rsidRPr="00DE21F2">
              <w:rPr>
                <w:rFonts w:eastAsia="Arial Unicode MS" w:cs="Times New Roman"/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  <w:tr w:rsidR="00DE21F2" w:rsidRPr="00DE21F2" w14:paraId="62EC9B3C" w14:textId="77777777" w:rsidTr="00B63AE5">
        <w:trPr>
          <w:trHeight w:val="284"/>
        </w:trPr>
        <w:tc>
          <w:tcPr>
            <w:tcW w:w="3254" w:type="dxa"/>
            <w:tcBorders>
              <w:top w:val="nil"/>
              <w:bottom w:val="single" w:sz="4" w:space="0" w:color="auto"/>
            </w:tcBorders>
            <w:vAlign w:val="center"/>
          </w:tcPr>
          <w:p w14:paraId="337E0308" w14:textId="3957147B" w:rsidR="006E55B3" w:rsidRPr="00DE21F2" w:rsidRDefault="00526631" w:rsidP="00526631">
            <w:pPr>
              <w:spacing w:after="0"/>
              <w:rPr>
                <w:rFonts w:eastAsia="Arial Unicode MS" w:cs="Times New Roman"/>
                <w:bCs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AMA at diagnosis (U/mL)</w:t>
            </w:r>
          </w:p>
          <w:p w14:paraId="7D240113" w14:textId="1C48E4CB" w:rsidR="006E55B3" w:rsidRPr="00DE21F2" w:rsidRDefault="006E55B3" w:rsidP="00526631">
            <w:pPr>
              <w:spacing w:after="0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>(</w:t>
            </w:r>
            <w:r w:rsidRPr="00DE21F2">
              <w:rPr>
                <w:rFonts w:eastAsia="Arial Unicode MS" w:cs="Times New Roman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cs="Times New Roman"/>
                <w:bCs/>
                <w:kern w:val="24"/>
                <w:sz w:val="22"/>
              </w:rPr>
              <w:t xml:space="preserve"> = 149)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14:paraId="694A2C36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2158.7 ± 3958.8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14:paraId="5D8F0CA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 xml:space="preserve">1839.6 ± 2807.2 </w:t>
            </w:r>
          </w:p>
        </w:tc>
        <w:tc>
          <w:tcPr>
            <w:tcW w:w="1796" w:type="dxa"/>
            <w:tcBorders>
              <w:top w:val="nil"/>
              <w:bottom w:val="single" w:sz="4" w:space="0" w:color="auto"/>
            </w:tcBorders>
            <w:vAlign w:val="center"/>
          </w:tcPr>
          <w:p w14:paraId="53E43D6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3058.8 ± 6108.0</w:t>
            </w: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vAlign w:val="center"/>
          </w:tcPr>
          <w:p w14:paraId="76137140" w14:textId="77777777" w:rsidR="006E55B3" w:rsidRPr="00DE21F2" w:rsidRDefault="006E55B3" w:rsidP="00526631">
            <w:pPr>
              <w:spacing w:after="0"/>
              <w:jc w:val="center"/>
              <w:rPr>
                <w:rFonts w:cs="Times New Roman"/>
                <w:bCs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.310</w:t>
            </w:r>
            <w:r w:rsidRPr="00DE21F2">
              <w:rPr>
                <w:rFonts w:eastAsia="Arial Unicode MS" w:cs="Times New Roman"/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</w:tbl>
    <w:p w14:paraId="1BA5D007" w14:textId="0D521675" w:rsidR="006E55B3" w:rsidRPr="00DE21F2" w:rsidRDefault="006E55B3" w:rsidP="006E55B3">
      <w:pPr>
        <w:rPr>
          <w:i/>
        </w:rPr>
      </w:pPr>
      <w:r w:rsidRPr="00DE21F2">
        <w:rPr>
          <w:i/>
        </w:rPr>
        <w:t>Data are expressed as mean</w:t>
      </w:r>
      <w:r w:rsidR="00526631" w:rsidRPr="00DE21F2">
        <w:rPr>
          <w:i/>
        </w:rPr>
        <w:t xml:space="preserve"> </w:t>
      </w:r>
      <w:r w:rsidRPr="00DE21F2">
        <w:rPr>
          <w:i/>
        </w:rPr>
        <w:t>±</w:t>
      </w:r>
      <w:r w:rsidR="00526631" w:rsidRPr="00DE21F2">
        <w:rPr>
          <w:i/>
        </w:rPr>
        <w:t xml:space="preserve"> </w:t>
      </w:r>
      <w:r w:rsidRPr="00DE21F2">
        <w:rPr>
          <w:i/>
        </w:rPr>
        <w:t>SD.</w:t>
      </w:r>
    </w:p>
    <w:p w14:paraId="4A077915" w14:textId="56593674" w:rsidR="006E55B3" w:rsidRPr="00DE21F2" w:rsidRDefault="006E55B3" w:rsidP="006E55B3">
      <w:pPr>
        <w:rPr>
          <w:i/>
        </w:rPr>
      </w:pPr>
      <w:r w:rsidRPr="00DE21F2">
        <w:rPr>
          <w:i/>
          <w:vertAlign w:val="superscript"/>
        </w:rPr>
        <w:lastRenderedPageBreak/>
        <w:t>*</w:t>
      </w:r>
      <w:r w:rsidRPr="00DE21F2">
        <w:rPr>
          <w:i/>
        </w:rPr>
        <w:t xml:space="preserve"> Significant association was classified as </w:t>
      </w:r>
      <w:r w:rsidR="00526631" w:rsidRPr="00DE21F2">
        <w:rPr>
          <w:i/>
        </w:rPr>
        <w:t>P</w:t>
      </w:r>
      <w:r w:rsidRPr="00DE21F2">
        <w:rPr>
          <w:i/>
        </w:rPr>
        <w:t xml:space="preserve"> &lt; 0.05.</w:t>
      </w:r>
    </w:p>
    <w:p w14:paraId="60B0D463" w14:textId="1BBCF4B2" w:rsidR="006E55B3" w:rsidRPr="00DE21F2" w:rsidRDefault="006E55B3" w:rsidP="006E55B3">
      <w:pPr>
        <w:rPr>
          <w:i/>
        </w:rPr>
      </w:pPr>
      <w:r w:rsidRPr="00DE21F2">
        <w:rPr>
          <w:i/>
          <w:vertAlign w:val="superscript"/>
        </w:rPr>
        <w:t>=</w:t>
      </w:r>
      <w:r w:rsidRPr="00DE21F2">
        <w:rPr>
          <w:i/>
        </w:rPr>
        <w:t xml:space="preserve">Chi-square test; </w:t>
      </w:r>
      <w:r w:rsidRPr="00DE21F2">
        <w:rPr>
          <w:i/>
          <w:vertAlign w:val="superscript"/>
        </w:rPr>
        <w:t>‡</w:t>
      </w:r>
      <w:r w:rsidRPr="00DE21F2">
        <w:rPr>
          <w:i/>
        </w:rPr>
        <w:t xml:space="preserve">Fisher’s exact test; </w:t>
      </w:r>
      <w:r w:rsidRPr="00DE21F2">
        <w:rPr>
          <w:i/>
          <w:vertAlign w:val="superscript"/>
        </w:rPr>
        <w:t>+</w:t>
      </w:r>
      <w:r w:rsidRPr="00DE21F2">
        <w:rPr>
          <w:i/>
        </w:rPr>
        <w:t>Mann–Whitney U test</w:t>
      </w:r>
    </w:p>
    <w:p w14:paraId="1E96DA28" w14:textId="2B3523E5" w:rsidR="00D32FBB" w:rsidRPr="00DE21F2" w:rsidRDefault="00D32FBB" w:rsidP="00D32FBB">
      <w:pPr>
        <w:rPr>
          <w:i/>
        </w:rPr>
      </w:pPr>
      <w:r w:rsidRPr="00DE21F2">
        <w:rPr>
          <w:rFonts w:cs="Times New Roman"/>
          <w:i/>
        </w:rPr>
        <w:t xml:space="preserve">Abbreviations: </w:t>
      </w:r>
      <w:r w:rsidRPr="00DE21F2">
        <w:rPr>
          <w:i/>
        </w:rPr>
        <w:t>AID, autoimmune disease; AITD, autoimmune thyroid disease; BMI, body mass index; ATD, Antithyroid drugs; T3, triiodothyronine; FT4, free thyroxine; ATA, antithyroglobulin antibody; AMA, antimicrosomal antibody; SD, standard deviation</w:t>
      </w:r>
    </w:p>
    <w:p w14:paraId="3FFBD52D" w14:textId="77777777" w:rsidR="00E622C9" w:rsidRPr="00DE21F2" w:rsidRDefault="00E622C9" w:rsidP="006E55B3"/>
    <w:p w14:paraId="63D7C2B0" w14:textId="48B689BE" w:rsidR="00994A3D" w:rsidRPr="00DE21F2" w:rsidRDefault="003028C0" w:rsidP="0001436A">
      <w:pPr>
        <w:pStyle w:val="Heading2"/>
        <w:rPr>
          <w:bCs/>
        </w:rPr>
      </w:pPr>
      <w:r w:rsidRPr="00DE21F2">
        <w:t xml:space="preserve">Table </w:t>
      </w:r>
      <w:r w:rsidR="00E622C9" w:rsidRPr="00DE21F2">
        <w:t>2</w:t>
      </w:r>
      <w:r w:rsidRPr="00DE21F2">
        <w:t xml:space="preserve">. </w:t>
      </w:r>
      <w:r w:rsidRPr="00DE21F2">
        <w:rPr>
          <w:bCs/>
        </w:rPr>
        <w:t>Comparison of TRAb between the remission group and the non-remission group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1934"/>
        <w:gridCol w:w="1934"/>
        <w:gridCol w:w="1969"/>
        <w:gridCol w:w="1095"/>
      </w:tblGrid>
      <w:tr w:rsidR="00DE21F2" w:rsidRPr="00DE21F2" w14:paraId="3347EDB8" w14:textId="77777777" w:rsidTr="007523AA">
        <w:trPr>
          <w:trHeight w:val="391"/>
        </w:trPr>
        <w:tc>
          <w:tcPr>
            <w:tcW w:w="1448" w:type="pc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C5196" w14:textId="77777777" w:rsidR="00F05BB9" w:rsidRPr="00DE21F2" w:rsidRDefault="00F05BB9" w:rsidP="00F05BB9">
            <w:pPr>
              <w:spacing w:before="0" w:after="0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/>
                <w:bCs/>
                <w:kern w:val="24"/>
                <w:sz w:val="22"/>
              </w:rPr>
              <w:t>Parameter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5A215B" w14:textId="77777777" w:rsidR="007523AA" w:rsidRPr="00DE21F2" w:rsidRDefault="00F05BB9" w:rsidP="007523AA">
            <w:pPr>
              <w:spacing w:before="0" w:after="0"/>
              <w:jc w:val="center"/>
              <w:rPr>
                <w:rFonts w:eastAsia="Arial Unicode MS"/>
                <w:b/>
                <w:bCs/>
                <w:kern w:val="24"/>
                <w:sz w:val="22"/>
                <w:lang w:eastAsia="ko-KR"/>
              </w:rPr>
            </w:pPr>
            <w:r w:rsidRPr="00DE21F2">
              <w:rPr>
                <w:rFonts w:eastAsia="Arial Unicode MS"/>
                <w:b/>
                <w:bCs/>
                <w:kern w:val="24"/>
                <w:sz w:val="22"/>
              </w:rPr>
              <w:t>Remission</w:t>
            </w:r>
          </w:p>
          <w:p w14:paraId="05EB2509" w14:textId="36BE8404" w:rsidR="00F05BB9" w:rsidRPr="00DE21F2" w:rsidRDefault="00F05BB9" w:rsidP="007523AA">
            <w:pPr>
              <w:spacing w:before="0" w:after="0"/>
              <w:jc w:val="center"/>
              <w:rPr>
                <w:rFonts w:eastAsia="Arial Unicode MS"/>
                <w:b/>
                <w:bCs/>
                <w:kern w:val="24"/>
                <w:sz w:val="22"/>
              </w:rPr>
            </w:pPr>
            <w:r w:rsidRPr="00DE21F2">
              <w:rPr>
                <w:rFonts w:eastAsia="Arial Unicode MS"/>
                <w:b/>
                <w:bCs/>
                <w:kern w:val="24"/>
                <w:sz w:val="22"/>
              </w:rPr>
              <w:t>(</w:t>
            </w:r>
            <w:r w:rsidRPr="00DE21F2">
              <w:rPr>
                <w:rFonts w:eastAsia="Arial Unicode MS"/>
                <w:b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/>
                <w:b/>
                <w:bCs/>
                <w:kern w:val="24"/>
                <w:sz w:val="22"/>
              </w:rPr>
              <w:t xml:space="preserve"> = 53)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13F9B" w14:textId="77777777" w:rsidR="00F05BB9" w:rsidRPr="00DE21F2" w:rsidRDefault="00F05BB9" w:rsidP="00F05BB9">
            <w:pPr>
              <w:spacing w:before="0" w:after="0"/>
              <w:jc w:val="center"/>
              <w:rPr>
                <w:rFonts w:eastAsia="Arial Unicode MS"/>
                <w:b/>
                <w:bCs/>
                <w:kern w:val="24"/>
                <w:sz w:val="22"/>
              </w:rPr>
            </w:pPr>
            <w:r w:rsidRPr="00DE21F2">
              <w:rPr>
                <w:rFonts w:eastAsia="Arial Unicode MS"/>
                <w:b/>
                <w:bCs/>
                <w:kern w:val="24"/>
                <w:sz w:val="22"/>
              </w:rPr>
              <w:t>Non-Remission</w:t>
            </w:r>
          </w:p>
          <w:p w14:paraId="28F886BD" w14:textId="62A1DB59" w:rsidR="00F05BB9" w:rsidRPr="00DE21F2" w:rsidRDefault="00F05BB9" w:rsidP="00F05BB9">
            <w:pPr>
              <w:spacing w:before="0"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/>
                <w:b/>
                <w:bCs/>
                <w:kern w:val="24"/>
                <w:sz w:val="22"/>
              </w:rPr>
              <w:t>(</w:t>
            </w:r>
            <w:r w:rsidRPr="00DE21F2">
              <w:rPr>
                <w:rFonts w:eastAsia="Arial Unicode MS"/>
                <w:b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/>
                <w:b/>
                <w:bCs/>
                <w:kern w:val="24"/>
                <w:sz w:val="22"/>
              </w:rPr>
              <w:t xml:space="preserve"> = 96)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14:paraId="175A3706" w14:textId="796AC988" w:rsidR="00F05BB9" w:rsidRPr="00DE21F2" w:rsidRDefault="00F05BB9" w:rsidP="00F05BB9">
            <w:pPr>
              <w:spacing w:before="0" w:after="0"/>
              <w:jc w:val="center"/>
              <w:rPr>
                <w:rFonts w:eastAsia="Arial Unicode MS" w:cs="Times New Roman"/>
                <w:b/>
                <w:bCs/>
                <w:i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b/>
                <w:bCs/>
                <w:kern w:val="24"/>
                <w:sz w:val="22"/>
              </w:rPr>
              <w:t>HR (95% CI)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5CA8A" w14:textId="0B045626" w:rsidR="00F05BB9" w:rsidRPr="00DE21F2" w:rsidRDefault="00F05BB9" w:rsidP="00F05BB9">
            <w:pPr>
              <w:spacing w:before="0"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b/>
                <w:bCs/>
                <w:i/>
                <w:kern w:val="24"/>
                <w:sz w:val="22"/>
              </w:rPr>
              <w:t>P</w:t>
            </w:r>
            <w:r w:rsidRPr="00DE21F2">
              <w:rPr>
                <w:rFonts w:eastAsia="Arial Unicode MS" w:cs="Times New Roman"/>
                <w:b/>
                <w:bCs/>
                <w:kern w:val="24"/>
                <w:sz w:val="22"/>
              </w:rPr>
              <w:t>-value</w:t>
            </w:r>
          </w:p>
        </w:tc>
      </w:tr>
      <w:tr w:rsidR="00DE21F2" w:rsidRPr="00DE21F2" w14:paraId="4905F134" w14:textId="77777777" w:rsidTr="007523AA">
        <w:trPr>
          <w:trHeight w:val="393"/>
        </w:trPr>
        <w:tc>
          <w:tcPr>
            <w:tcW w:w="144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BA27F" w14:textId="77777777" w:rsidR="00F05BB9" w:rsidRPr="00DE21F2" w:rsidRDefault="00F05BB9" w:rsidP="00F05BB9">
            <w:pPr>
              <w:pStyle w:val="NormalWeb"/>
              <w:wordWrap w:val="0"/>
              <w:spacing w:before="0" w:beforeAutospacing="0" w:after="0" w:afterAutospacing="0"/>
              <w:rPr>
                <w:sz w:val="22"/>
                <w:szCs w:val="22"/>
                <w:vertAlign w:val="superscript"/>
              </w:rPr>
            </w:pPr>
            <w:r w:rsidRPr="00DE21F2">
              <w:rPr>
                <w:rFonts w:eastAsia="Malgun Gothic"/>
                <w:bCs/>
                <w:kern w:val="24"/>
                <w:sz w:val="22"/>
                <w:szCs w:val="22"/>
              </w:rPr>
              <w:t xml:space="preserve">TRAb </w:t>
            </w:r>
            <w:r w:rsidRPr="00DE21F2">
              <w:rPr>
                <w:rFonts w:eastAsiaTheme="minorEastAsia"/>
                <w:bCs/>
                <w:kern w:val="24"/>
                <w:sz w:val="22"/>
                <w:szCs w:val="22"/>
              </w:rPr>
              <w:t>at diagnosis (%)</w:t>
            </w:r>
            <w:r w:rsidRPr="00DE21F2">
              <w:rPr>
                <w:sz w:val="22"/>
                <w:szCs w:val="22"/>
                <w:vertAlign w:val="superscript"/>
              </w:rPr>
              <w:t>‡</w:t>
            </w:r>
          </w:p>
          <w:p w14:paraId="2E81FF9A" w14:textId="0655AB32" w:rsidR="00F05BB9" w:rsidRPr="00DE21F2" w:rsidRDefault="00F05BB9" w:rsidP="00F05BB9">
            <w:pPr>
              <w:spacing w:before="0" w:after="0"/>
              <w:rPr>
                <w:rFonts w:eastAsia="Gulim" w:cs="Times New Roman"/>
                <w:sz w:val="22"/>
              </w:rPr>
            </w:pPr>
            <w:r w:rsidRPr="00DE21F2">
              <w:rPr>
                <w:bCs/>
                <w:kern w:val="24"/>
                <w:sz w:val="22"/>
              </w:rPr>
              <w:t>(</w:t>
            </w:r>
            <w:r w:rsidRPr="00DE21F2">
              <w:rPr>
                <w:rFonts w:eastAsia="Arial Unicode MS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hint="eastAsia"/>
                <w:bCs/>
                <w:i/>
                <w:kern w:val="24"/>
                <w:sz w:val="22"/>
              </w:rPr>
              <w:t xml:space="preserve"> </w:t>
            </w:r>
            <w:r w:rsidRPr="00DE21F2">
              <w:rPr>
                <w:rFonts w:eastAsia="Arial Unicode MS"/>
                <w:bCs/>
                <w:kern w:val="24"/>
                <w:sz w:val="22"/>
              </w:rPr>
              <w:t>=</w:t>
            </w:r>
            <w:r w:rsidRPr="00DE21F2">
              <w:rPr>
                <w:rFonts w:eastAsia="Arial Unicode MS" w:hint="eastAsia"/>
                <w:bCs/>
                <w:kern w:val="24"/>
                <w:sz w:val="22"/>
              </w:rPr>
              <w:t xml:space="preserve"> </w:t>
            </w:r>
            <w:r w:rsidRPr="00DE21F2">
              <w:rPr>
                <w:bCs/>
                <w:kern w:val="24"/>
                <w:sz w:val="22"/>
              </w:rPr>
              <w:t>68)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99FBFD" w14:textId="7668CE74" w:rsidR="00F05BB9" w:rsidRPr="00DE21F2" w:rsidRDefault="00F05BB9" w:rsidP="00F05BB9">
            <w:pPr>
              <w:spacing w:before="0"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/>
                <w:kern w:val="24"/>
                <w:sz w:val="22"/>
              </w:rPr>
              <w:t>66.0 ± 20.6 (32)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85B07" w14:textId="2DC53246" w:rsidR="00F05BB9" w:rsidRPr="00DE21F2" w:rsidRDefault="00F05BB9" w:rsidP="00F05BB9">
            <w:pPr>
              <w:spacing w:before="0" w:after="0"/>
              <w:jc w:val="center"/>
              <w:rPr>
                <w:rFonts w:eastAsia="Arial Unicode MS" w:cs="Times New Roman"/>
                <w:kern w:val="24"/>
                <w:sz w:val="22"/>
              </w:rPr>
            </w:pPr>
            <w:r w:rsidRPr="00DE21F2">
              <w:rPr>
                <w:rFonts w:eastAsia="Arial Unicode MS"/>
                <w:kern w:val="24"/>
                <w:sz w:val="22"/>
              </w:rPr>
              <w:t>67.1 ± 21.7 (36)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07B7D53" w14:textId="49DF1486" w:rsidR="00F05BB9" w:rsidRPr="00DE21F2" w:rsidRDefault="00F05BB9" w:rsidP="00F05BB9">
            <w:pPr>
              <w:spacing w:before="0" w:after="0"/>
              <w:jc w:val="center"/>
              <w:rPr>
                <w:rFonts w:eastAsia="Arial Unicode MS" w:cs="Times New Roman"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 xml:space="preserve">1.018 (0.542 </w:t>
            </w:r>
            <w:r w:rsidR="007523AA" w:rsidRPr="00DE21F2">
              <w:rPr>
                <w:rFonts w:eastAsia="Arial Unicode MS" w:cs="Times New Roman"/>
                <w:kern w:val="24"/>
                <w:sz w:val="22"/>
              </w:rPr>
              <w:t>–</w:t>
            </w:r>
            <w:r w:rsidRPr="00DE21F2">
              <w:rPr>
                <w:rFonts w:eastAsia="Arial Unicode MS" w:cs="Times New Roman"/>
                <w:kern w:val="24"/>
                <w:sz w:val="22"/>
              </w:rPr>
              <w:t xml:space="preserve"> 1.914)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8FF46" w14:textId="28AFEBEE" w:rsidR="00F05BB9" w:rsidRPr="00DE21F2" w:rsidRDefault="00D32FBB" w:rsidP="00F05BB9">
            <w:pPr>
              <w:spacing w:before="0" w:after="0"/>
              <w:jc w:val="center"/>
              <w:rPr>
                <w:rFonts w:eastAsia="Arial Unicode MS" w:cs="Times New Roman"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0.328</w:t>
            </w:r>
            <w:r w:rsidRPr="00DE21F2">
              <w:rPr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  <w:tr w:rsidR="00DE21F2" w:rsidRPr="00DE21F2" w14:paraId="3FD36F23" w14:textId="77777777" w:rsidTr="007523AA">
        <w:trPr>
          <w:trHeight w:val="690"/>
        </w:trPr>
        <w:tc>
          <w:tcPr>
            <w:tcW w:w="144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60EA8" w14:textId="77777777" w:rsidR="00F05BB9" w:rsidRPr="00DE21F2" w:rsidRDefault="00F05BB9" w:rsidP="00F05BB9">
            <w:pPr>
              <w:pStyle w:val="NormalWeb"/>
              <w:wordWrap w:val="0"/>
              <w:spacing w:before="0" w:beforeAutospacing="0" w:after="0" w:afterAutospacing="0"/>
              <w:rPr>
                <w:sz w:val="22"/>
                <w:szCs w:val="22"/>
                <w:vertAlign w:val="superscript"/>
              </w:rPr>
            </w:pPr>
            <w:r w:rsidRPr="00DE21F2">
              <w:rPr>
                <w:rFonts w:eastAsiaTheme="minorEastAsia"/>
                <w:bCs/>
                <w:kern w:val="24"/>
                <w:sz w:val="22"/>
                <w:szCs w:val="22"/>
              </w:rPr>
              <w:t>TRAb at diagnosis (U/L)</w:t>
            </w:r>
            <w:r w:rsidRPr="00DE21F2">
              <w:rPr>
                <w:sz w:val="22"/>
                <w:szCs w:val="22"/>
                <w:vertAlign w:val="superscript"/>
              </w:rPr>
              <w:t>‡</w:t>
            </w:r>
          </w:p>
          <w:p w14:paraId="629E1E69" w14:textId="34FD0A10" w:rsidR="00F05BB9" w:rsidRPr="00DE21F2" w:rsidRDefault="00F05BB9" w:rsidP="00F05BB9">
            <w:pPr>
              <w:spacing w:before="0" w:after="0"/>
              <w:rPr>
                <w:rFonts w:eastAsia="Gulim" w:cs="Times New Roman"/>
                <w:sz w:val="22"/>
              </w:rPr>
            </w:pPr>
            <w:r w:rsidRPr="00DE21F2">
              <w:rPr>
                <w:bCs/>
                <w:kern w:val="24"/>
                <w:sz w:val="22"/>
              </w:rPr>
              <w:t>(</w:t>
            </w:r>
            <w:r w:rsidRPr="00DE21F2">
              <w:rPr>
                <w:rFonts w:eastAsia="Arial Unicode MS"/>
                <w:bCs/>
                <w:i/>
                <w:kern w:val="24"/>
                <w:sz w:val="22"/>
              </w:rPr>
              <w:t>n</w:t>
            </w:r>
            <w:r w:rsidRPr="00DE21F2">
              <w:rPr>
                <w:rFonts w:eastAsia="Arial Unicode MS" w:hint="eastAsia"/>
                <w:bCs/>
                <w:i/>
                <w:kern w:val="24"/>
                <w:sz w:val="22"/>
              </w:rPr>
              <w:t xml:space="preserve"> </w:t>
            </w:r>
            <w:r w:rsidRPr="00DE21F2">
              <w:rPr>
                <w:rFonts w:eastAsia="Arial Unicode MS"/>
                <w:bCs/>
                <w:kern w:val="24"/>
                <w:sz w:val="22"/>
              </w:rPr>
              <w:t>=</w:t>
            </w:r>
            <w:r w:rsidRPr="00DE21F2">
              <w:rPr>
                <w:rFonts w:eastAsia="Arial Unicode MS" w:hint="eastAsia"/>
                <w:bCs/>
                <w:kern w:val="24"/>
                <w:sz w:val="22"/>
              </w:rPr>
              <w:t xml:space="preserve"> </w:t>
            </w:r>
            <w:r w:rsidRPr="00DE21F2">
              <w:rPr>
                <w:bCs/>
                <w:kern w:val="24"/>
                <w:sz w:val="22"/>
              </w:rPr>
              <w:t>81)</w:t>
            </w:r>
          </w:p>
        </w:tc>
        <w:tc>
          <w:tcPr>
            <w:tcW w:w="991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0445E" w14:textId="01268445" w:rsidR="00F05BB9" w:rsidRPr="00DE21F2" w:rsidRDefault="00F05BB9" w:rsidP="00F05BB9">
            <w:pPr>
              <w:spacing w:before="0"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/>
                <w:kern w:val="24"/>
                <w:sz w:val="22"/>
              </w:rPr>
              <w:t xml:space="preserve">20.8 ± 27.8 (21) </w:t>
            </w:r>
          </w:p>
        </w:tc>
        <w:tc>
          <w:tcPr>
            <w:tcW w:w="991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8BAB7" w14:textId="3DAD0091" w:rsidR="00F05BB9" w:rsidRPr="00DE21F2" w:rsidRDefault="00F05BB9" w:rsidP="00F05BB9">
            <w:pPr>
              <w:spacing w:before="0" w:after="0"/>
              <w:jc w:val="center"/>
              <w:rPr>
                <w:rFonts w:eastAsia="Arial Unicode MS" w:cs="Times New Roman"/>
                <w:kern w:val="24"/>
                <w:sz w:val="22"/>
              </w:rPr>
            </w:pPr>
            <w:r w:rsidRPr="00DE21F2">
              <w:rPr>
                <w:rFonts w:eastAsia="Arial Unicode MS"/>
                <w:kern w:val="24"/>
                <w:sz w:val="22"/>
              </w:rPr>
              <w:t>36.6 ± 46.5 (60)</w:t>
            </w:r>
          </w:p>
        </w:tc>
        <w:tc>
          <w:tcPr>
            <w:tcW w:w="100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78E5CD6C" w14:textId="7191D244" w:rsidR="00F05BB9" w:rsidRPr="00DE21F2" w:rsidRDefault="00F05BB9" w:rsidP="00F05BB9">
            <w:pPr>
              <w:spacing w:before="0" w:after="0"/>
              <w:jc w:val="center"/>
              <w:rPr>
                <w:rFonts w:eastAsia="Arial Unicode MS" w:cs="Times New Roman"/>
                <w:kern w:val="24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1.054 (0.629 – 1.765)</w:t>
            </w:r>
          </w:p>
        </w:tc>
        <w:tc>
          <w:tcPr>
            <w:tcW w:w="562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FC849" w14:textId="05820480" w:rsidR="00F05BB9" w:rsidRPr="00DE21F2" w:rsidRDefault="00D32FBB" w:rsidP="00F05BB9">
            <w:pPr>
              <w:spacing w:before="0" w:after="0"/>
              <w:jc w:val="center"/>
              <w:rPr>
                <w:rFonts w:eastAsia="Gulim" w:cs="Times New Roman"/>
                <w:sz w:val="22"/>
              </w:rPr>
            </w:pPr>
            <w:r w:rsidRPr="00DE21F2">
              <w:rPr>
                <w:rFonts w:eastAsia="Arial Unicode MS" w:cs="Times New Roman"/>
                <w:kern w:val="24"/>
                <w:sz w:val="22"/>
              </w:rPr>
              <w:t>0.101</w:t>
            </w:r>
            <w:r w:rsidRPr="00DE21F2">
              <w:rPr>
                <w:kern w:val="24"/>
                <w:position w:val="12"/>
                <w:sz w:val="22"/>
                <w:vertAlign w:val="superscript"/>
              </w:rPr>
              <w:t>+</w:t>
            </w:r>
          </w:p>
        </w:tc>
      </w:tr>
    </w:tbl>
    <w:p w14:paraId="1223FE7F" w14:textId="46BDEA9E" w:rsidR="003028C0" w:rsidRPr="00DE21F2" w:rsidRDefault="003028C0" w:rsidP="00604132">
      <w:pPr>
        <w:jc w:val="both"/>
        <w:rPr>
          <w:i/>
          <w:lang w:eastAsia="ko-KR"/>
        </w:rPr>
      </w:pPr>
      <w:r w:rsidRPr="00DE21F2">
        <w:rPr>
          <w:i/>
        </w:rPr>
        <w:t>Data are expressed as mean</w:t>
      </w:r>
      <w:r w:rsidR="00E53382" w:rsidRPr="00DE21F2">
        <w:rPr>
          <w:i/>
        </w:rPr>
        <w:t xml:space="preserve"> </w:t>
      </w:r>
      <w:r w:rsidRPr="00DE21F2">
        <w:rPr>
          <w:i/>
        </w:rPr>
        <w:t>±</w:t>
      </w:r>
      <w:r w:rsidR="00E53382" w:rsidRPr="00DE21F2">
        <w:rPr>
          <w:i/>
        </w:rPr>
        <w:t xml:space="preserve"> </w:t>
      </w:r>
      <w:r w:rsidRPr="00DE21F2">
        <w:rPr>
          <w:i/>
        </w:rPr>
        <w:t>SD.</w:t>
      </w:r>
      <w:r w:rsidRPr="00DE21F2">
        <w:rPr>
          <w:rFonts w:hint="eastAsia"/>
          <w:i/>
          <w:lang w:eastAsia="ko-KR"/>
        </w:rPr>
        <w:t xml:space="preserve"> </w:t>
      </w:r>
    </w:p>
    <w:p w14:paraId="04CF9E09" w14:textId="1398BDE8" w:rsidR="003028C0" w:rsidRPr="00DE21F2" w:rsidRDefault="003028C0" w:rsidP="00604132">
      <w:pPr>
        <w:jc w:val="both"/>
        <w:rPr>
          <w:i/>
        </w:rPr>
      </w:pPr>
      <w:r w:rsidRPr="00DE21F2">
        <w:rPr>
          <w:rFonts w:hint="eastAsia"/>
          <w:i/>
          <w:vertAlign w:val="superscript"/>
        </w:rPr>
        <w:t>‡</w:t>
      </w:r>
      <w:r w:rsidRPr="00DE21F2">
        <w:rPr>
          <w:i/>
        </w:rPr>
        <w:t xml:space="preserve">Two TRAb-assays were used during the study period. During the first part </w:t>
      </w:r>
      <w:r w:rsidR="00B6118C" w:rsidRPr="00DE21F2">
        <w:rPr>
          <w:i/>
        </w:rPr>
        <w:t xml:space="preserve">of the study </w:t>
      </w:r>
      <w:r w:rsidRPr="00DE21F2">
        <w:rPr>
          <w:i/>
        </w:rPr>
        <w:t xml:space="preserve">(before March </w:t>
      </w:r>
      <w:r w:rsidR="00B6118C" w:rsidRPr="00DE21F2">
        <w:rPr>
          <w:i/>
        </w:rPr>
        <w:t xml:space="preserve">of </w:t>
      </w:r>
      <w:r w:rsidRPr="00DE21F2">
        <w:rPr>
          <w:i/>
        </w:rPr>
        <w:t>2011)</w:t>
      </w:r>
      <w:r w:rsidR="00B6118C" w:rsidRPr="00DE21F2">
        <w:rPr>
          <w:i/>
        </w:rPr>
        <w:t>,</w:t>
      </w:r>
      <w:r w:rsidRPr="00DE21F2">
        <w:rPr>
          <w:i/>
        </w:rPr>
        <w:t xml:space="preserve"> </w:t>
      </w:r>
      <w:r w:rsidR="00B6118C" w:rsidRPr="00DE21F2">
        <w:rPr>
          <w:i/>
        </w:rPr>
        <w:t xml:space="preserve">the </w:t>
      </w:r>
      <w:r w:rsidRPr="00DE21F2">
        <w:rPr>
          <w:i/>
        </w:rPr>
        <w:t>T</w:t>
      </w:r>
      <w:r w:rsidR="00E464FE" w:rsidRPr="00DE21F2">
        <w:rPr>
          <w:i/>
        </w:rPr>
        <w:t>RAK-Assay (reference range, &lt;</w:t>
      </w:r>
      <w:r w:rsidR="00B6118C" w:rsidRPr="00DE21F2">
        <w:rPr>
          <w:i/>
        </w:rPr>
        <w:t xml:space="preserve"> </w:t>
      </w:r>
      <w:r w:rsidR="00E464FE" w:rsidRPr="00DE21F2">
        <w:rPr>
          <w:i/>
        </w:rPr>
        <w:t>10% negative, 10-15% borderline, &gt;</w:t>
      </w:r>
      <w:r w:rsidR="00B6118C" w:rsidRPr="00DE21F2">
        <w:rPr>
          <w:i/>
        </w:rPr>
        <w:t xml:space="preserve"> </w:t>
      </w:r>
      <w:r w:rsidR="00E464FE" w:rsidRPr="00DE21F2">
        <w:rPr>
          <w:i/>
        </w:rPr>
        <w:t>15</w:t>
      </w:r>
      <w:r w:rsidRPr="00DE21F2">
        <w:rPr>
          <w:i/>
        </w:rPr>
        <w:t xml:space="preserve">% positive) was used. Thereafter (after March </w:t>
      </w:r>
      <w:r w:rsidR="00B6118C" w:rsidRPr="00DE21F2">
        <w:rPr>
          <w:i/>
        </w:rPr>
        <w:t xml:space="preserve">of </w:t>
      </w:r>
      <w:r w:rsidRPr="00DE21F2">
        <w:rPr>
          <w:i/>
        </w:rPr>
        <w:t>2011), TRAK human RIA (reference range, &lt;</w:t>
      </w:r>
      <w:r w:rsidR="00B6118C" w:rsidRPr="00DE21F2">
        <w:rPr>
          <w:i/>
        </w:rPr>
        <w:t xml:space="preserve"> </w:t>
      </w:r>
      <w:r w:rsidRPr="00DE21F2">
        <w:rPr>
          <w:i/>
        </w:rPr>
        <w:t>1.0 IU/L negative, 1.0-1.5 IU/L borderline positive, &gt;</w:t>
      </w:r>
      <w:r w:rsidR="00B6118C" w:rsidRPr="00DE21F2">
        <w:rPr>
          <w:i/>
        </w:rPr>
        <w:t xml:space="preserve"> </w:t>
      </w:r>
      <w:r w:rsidRPr="00DE21F2">
        <w:rPr>
          <w:i/>
        </w:rPr>
        <w:t>1.5 IU/L positive) was used.</w:t>
      </w:r>
    </w:p>
    <w:p w14:paraId="2A369FBD" w14:textId="10697683" w:rsidR="00D54681" w:rsidRPr="00DE21F2" w:rsidRDefault="003028C0" w:rsidP="00E17629">
      <w:pPr>
        <w:jc w:val="both"/>
        <w:rPr>
          <w:i/>
        </w:rPr>
      </w:pPr>
      <w:r w:rsidRPr="00DE21F2">
        <w:rPr>
          <w:i/>
          <w:vertAlign w:val="superscript"/>
        </w:rPr>
        <w:t>+</w:t>
      </w:r>
      <w:r w:rsidR="00D32FBB" w:rsidRPr="00DE21F2">
        <w:t xml:space="preserve"> </w:t>
      </w:r>
      <w:r w:rsidR="00D32FBB" w:rsidRPr="00DE21F2">
        <w:rPr>
          <w:i/>
        </w:rPr>
        <w:t>Cox regression model was used.</w:t>
      </w:r>
    </w:p>
    <w:p w14:paraId="0D744C8A" w14:textId="1F7B1BB8" w:rsidR="00D32FBB" w:rsidRPr="00DE21F2" w:rsidRDefault="00D32FBB" w:rsidP="00E17629">
      <w:pPr>
        <w:jc w:val="both"/>
        <w:rPr>
          <w:i/>
        </w:rPr>
      </w:pPr>
      <w:r w:rsidRPr="00DE21F2">
        <w:rPr>
          <w:rFonts w:cs="Times New Roman"/>
          <w:i/>
        </w:rPr>
        <w:t xml:space="preserve">Abbreviations: </w:t>
      </w:r>
      <w:r w:rsidRPr="00DE21F2">
        <w:rPr>
          <w:rFonts w:cs="Times New Roman"/>
          <w:i/>
          <w:szCs w:val="24"/>
        </w:rPr>
        <w:t xml:space="preserve">HR, hazard ratio; CI, confidence interval; </w:t>
      </w:r>
      <w:r w:rsidRPr="00DE21F2">
        <w:rPr>
          <w:i/>
        </w:rPr>
        <w:t>TRAb, thyrotropin receptor antibody; SD, standard deviation</w:t>
      </w:r>
    </w:p>
    <w:sectPr w:rsidR="00D32FBB" w:rsidRPr="00DE21F2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2FA7" w14:textId="77777777" w:rsidR="00521438" w:rsidRDefault="00521438" w:rsidP="00117666">
      <w:pPr>
        <w:spacing w:after="0"/>
      </w:pPr>
      <w:r>
        <w:separator/>
      </w:r>
    </w:p>
  </w:endnote>
  <w:endnote w:type="continuationSeparator" w:id="0">
    <w:p w14:paraId="745E326B" w14:textId="77777777" w:rsidR="00521438" w:rsidRDefault="0052143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BatangChe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523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523A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1474871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523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523A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FFFF" w14:textId="77777777" w:rsidR="00521438" w:rsidRDefault="00521438" w:rsidP="00117666">
      <w:pPr>
        <w:spacing w:after="0"/>
      </w:pPr>
      <w:r>
        <w:separator/>
      </w:r>
    </w:p>
  </w:footnote>
  <w:footnote w:type="continuationSeparator" w:id="0">
    <w:p w14:paraId="02ECFCDC" w14:textId="77777777" w:rsidR="00521438" w:rsidRDefault="0052143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16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DM3sTQzMjQxNzZS0lEKTi0uzszPAykwrAUA7T+i8ywAAAA="/>
  </w:docVars>
  <w:rsids>
    <w:rsidRoot w:val="00ED20B5"/>
    <w:rsid w:val="00003ADF"/>
    <w:rsid w:val="0001436A"/>
    <w:rsid w:val="00034304"/>
    <w:rsid w:val="00035434"/>
    <w:rsid w:val="00052A14"/>
    <w:rsid w:val="00073040"/>
    <w:rsid w:val="000767E5"/>
    <w:rsid w:val="00077D53"/>
    <w:rsid w:val="0008524A"/>
    <w:rsid w:val="000C726C"/>
    <w:rsid w:val="00101CC6"/>
    <w:rsid w:val="00105FD9"/>
    <w:rsid w:val="00117666"/>
    <w:rsid w:val="001549D3"/>
    <w:rsid w:val="00160065"/>
    <w:rsid w:val="00177D84"/>
    <w:rsid w:val="001E09F0"/>
    <w:rsid w:val="00207CAA"/>
    <w:rsid w:val="00267D18"/>
    <w:rsid w:val="00274347"/>
    <w:rsid w:val="0028598C"/>
    <w:rsid w:val="002868E2"/>
    <w:rsid w:val="002869C3"/>
    <w:rsid w:val="002936E4"/>
    <w:rsid w:val="0029444D"/>
    <w:rsid w:val="002B4A57"/>
    <w:rsid w:val="002C532E"/>
    <w:rsid w:val="002C74CA"/>
    <w:rsid w:val="003028C0"/>
    <w:rsid w:val="003123F4"/>
    <w:rsid w:val="003544FB"/>
    <w:rsid w:val="00390E25"/>
    <w:rsid w:val="003C1839"/>
    <w:rsid w:val="003D2F2D"/>
    <w:rsid w:val="003E26C9"/>
    <w:rsid w:val="003E3B94"/>
    <w:rsid w:val="003F67C1"/>
    <w:rsid w:val="00401590"/>
    <w:rsid w:val="00447801"/>
    <w:rsid w:val="00452E9C"/>
    <w:rsid w:val="00455BDE"/>
    <w:rsid w:val="004735C8"/>
    <w:rsid w:val="004947A6"/>
    <w:rsid w:val="004961FF"/>
    <w:rsid w:val="004D373F"/>
    <w:rsid w:val="004E02C7"/>
    <w:rsid w:val="00517A89"/>
    <w:rsid w:val="00521438"/>
    <w:rsid w:val="005250F2"/>
    <w:rsid w:val="00526631"/>
    <w:rsid w:val="00593EEA"/>
    <w:rsid w:val="005A5EEE"/>
    <w:rsid w:val="00601251"/>
    <w:rsid w:val="00604132"/>
    <w:rsid w:val="00614880"/>
    <w:rsid w:val="006375C7"/>
    <w:rsid w:val="00654E8F"/>
    <w:rsid w:val="00660D05"/>
    <w:rsid w:val="006820B1"/>
    <w:rsid w:val="006970C9"/>
    <w:rsid w:val="006A619E"/>
    <w:rsid w:val="006B7D14"/>
    <w:rsid w:val="006E55B3"/>
    <w:rsid w:val="00701727"/>
    <w:rsid w:val="0070566C"/>
    <w:rsid w:val="00714C50"/>
    <w:rsid w:val="007225C6"/>
    <w:rsid w:val="00725A7D"/>
    <w:rsid w:val="00726847"/>
    <w:rsid w:val="007501BE"/>
    <w:rsid w:val="007523AA"/>
    <w:rsid w:val="00767EAE"/>
    <w:rsid w:val="00790BB3"/>
    <w:rsid w:val="007C206C"/>
    <w:rsid w:val="007E3C0A"/>
    <w:rsid w:val="007F5B9E"/>
    <w:rsid w:val="007F74BB"/>
    <w:rsid w:val="00817DD6"/>
    <w:rsid w:val="0083759F"/>
    <w:rsid w:val="008571BF"/>
    <w:rsid w:val="0086135B"/>
    <w:rsid w:val="00885156"/>
    <w:rsid w:val="009151AA"/>
    <w:rsid w:val="0093429D"/>
    <w:rsid w:val="00943573"/>
    <w:rsid w:val="00952F25"/>
    <w:rsid w:val="00964134"/>
    <w:rsid w:val="00970F7D"/>
    <w:rsid w:val="00977547"/>
    <w:rsid w:val="00994A3D"/>
    <w:rsid w:val="009C2B12"/>
    <w:rsid w:val="009D23B8"/>
    <w:rsid w:val="00A00536"/>
    <w:rsid w:val="00A174D9"/>
    <w:rsid w:val="00AA4D24"/>
    <w:rsid w:val="00AB6715"/>
    <w:rsid w:val="00AD2B9A"/>
    <w:rsid w:val="00AF1ACD"/>
    <w:rsid w:val="00B1671E"/>
    <w:rsid w:val="00B25EB8"/>
    <w:rsid w:val="00B37F4D"/>
    <w:rsid w:val="00B5218F"/>
    <w:rsid w:val="00B6118C"/>
    <w:rsid w:val="00B63AE5"/>
    <w:rsid w:val="00B84089"/>
    <w:rsid w:val="00C403F0"/>
    <w:rsid w:val="00C52A7B"/>
    <w:rsid w:val="00C56BAF"/>
    <w:rsid w:val="00C679AA"/>
    <w:rsid w:val="00C75972"/>
    <w:rsid w:val="00C84E67"/>
    <w:rsid w:val="00CC0BA5"/>
    <w:rsid w:val="00CD066B"/>
    <w:rsid w:val="00CE4FEE"/>
    <w:rsid w:val="00D060CF"/>
    <w:rsid w:val="00D10DC9"/>
    <w:rsid w:val="00D32FBB"/>
    <w:rsid w:val="00D54681"/>
    <w:rsid w:val="00DB59C3"/>
    <w:rsid w:val="00DC259A"/>
    <w:rsid w:val="00DE21F2"/>
    <w:rsid w:val="00DE23E8"/>
    <w:rsid w:val="00E17629"/>
    <w:rsid w:val="00E464FE"/>
    <w:rsid w:val="00E52377"/>
    <w:rsid w:val="00E53382"/>
    <w:rsid w:val="00E537AD"/>
    <w:rsid w:val="00E60E90"/>
    <w:rsid w:val="00E622C9"/>
    <w:rsid w:val="00E64E17"/>
    <w:rsid w:val="00E866C9"/>
    <w:rsid w:val="00EA3D3C"/>
    <w:rsid w:val="00EC090A"/>
    <w:rsid w:val="00ED20B5"/>
    <w:rsid w:val="00F05BB9"/>
    <w:rsid w:val="00F129FA"/>
    <w:rsid w:val="00F40CE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CB433B79-B89D-4E71-B52E-0E326220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aliases w:val="Char11"/>
    <w:basedOn w:val="Normal"/>
    <w:link w:val="CommentTextChar"/>
    <w:uiPriority w:val="99"/>
    <w:unhideWhenUsed/>
    <w:qFormat/>
    <w:rsid w:val="00AB6715"/>
    <w:rPr>
      <w:sz w:val="20"/>
      <w:szCs w:val="20"/>
    </w:rPr>
  </w:style>
  <w:style w:type="character" w:customStyle="1" w:styleId="CommentTextChar">
    <w:name w:val="Comment Text Char"/>
    <w:aliases w:val="Char11 Char"/>
    <w:basedOn w:val="DefaultParagraphFont"/>
    <w:link w:val="CommentText"/>
    <w:uiPriority w:val="99"/>
    <w:qFormat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28598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5271B7-4628-49D5-AE1B-08272487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Alessandro Sbordoni</cp:lastModifiedBy>
  <cp:revision>6</cp:revision>
  <cp:lastPrinted>2013-10-03T12:51:00Z</cp:lastPrinted>
  <dcterms:created xsi:type="dcterms:W3CDTF">2021-05-15T01:35:00Z</dcterms:created>
  <dcterms:modified xsi:type="dcterms:W3CDTF">2021-06-01T10:25:00Z</dcterms:modified>
</cp:coreProperties>
</file>