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ADE76" w14:textId="60816B92" w:rsidR="00BE3F3A" w:rsidRDefault="00A250F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6008A651" wp14:editId="409108DA">
            <wp:extent cx="5262113" cy="2269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187" cy="227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0294" w14:textId="441D094E" w:rsidR="00AA680F" w:rsidRDefault="009060E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S1. Effects of PEG Surface modification on NPs</w:t>
      </w:r>
      <w:r>
        <w:rPr>
          <w:rFonts w:ascii="Times New Roman" w:hAnsi="Times New Roman" w:cs="Times New Roman"/>
          <w:sz w:val="24"/>
        </w:rPr>
        <w:t xml:space="preserve">. (A) The adsorption of BSA by NPs modified with different molecular weights of PEG. Flow </w:t>
      </w:r>
      <w:proofErr w:type="spellStart"/>
      <w:r>
        <w:rPr>
          <w:rFonts w:ascii="Times New Roman" w:hAnsi="Times New Roman" w:cs="Times New Roman"/>
          <w:sz w:val="24"/>
        </w:rPr>
        <w:t>cytometry</w:t>
      </w:r>
      <w:proofErr w:type="spellEnd"/>
      <w:r>
        <w:rPr>
          <w:rFonts w:ascii="Times New Roman" w:hAnsi="Times New Roman" w:cs="Times New Roman"/>
          <w:sz w:val="24"/>
        </w:rPr>
        <w:t xml:space="preserve"> profile (B) and laser scanning confocal microscope image (C) of the uptake of different molecular weights PEG-modified NPs by macrophages.</w:t>
      </w:r>
    </w:p>
    <w:p w14:paraId="452D86BD" w14:textId="77777777" w:rsidR="00AD50EB" w:rsidRDefault="00AD50EB">
      <w:pPr>
        <w:spacing w:line="360" w:lineRule="auto"/>
        <w:rPr>
          <w:rFonts w:ascii="Times New Roman" w:hAnsi="Times New Roman" w:cs="Times New Roman"/>
          <w:sz w:val="24"/>
        </w:rPr>
      </w:pPr>
    </w:p>
    <w:p w14:paraId="7E96C8D0" w14:textId="77777777" w:rsidR="00AD50EB" w:rsidRDefault="00AD50EB">
      <w:pPr>
        <w:spacing w:line="360" w:lineRule="auto"/>
        <w:rPr>
          <w:rFonts w:ascii="Times New Roman" w:hAnsi="Times New Roman" w:cs="Times New Roman"/>
          <w:sz w:val="24"/>
        </w:rPr>
      </w:pPr>
    </w:p>
    <w:p w14:paraId="513D6059" w14:textId="77777777" w:rsidR="00BE3F3A" w:rsidRPr="00BE3F3A" w:rsidRDefault="00BE3F3A" w:rsidP="00BE3F3A">
      <w:pPr>
        <w:rPr>
          <w:rFonts w:ascii="Times New Roman" w:hAnsi="Times New Roman" w:cs="Times New Roman"/>
          <w:sz w:val="24"/>
        </w:rPr>
      </w:pPr>
    </w:p>
    <w:p w14:paraId="25CBDBC4" w14:textId="230BB593" w:rsidR="00BE3F3A" w:rsidRDefault="00A250F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13417DD4" wp14:editId="51B9AEB1">
            <wp:extent cx="3600000" cy="514440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1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1142" w14:textId="27A9526D" w:rsidR="00AA680F" w:rsidRDefault="009060E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 xml:space="preserve">Figure S2. </w:t>
      </w:r>
      <w:proofErr w:type="gramStart"/>
      <w:r>
        <w:rPr>
          <w:rFonts w:ascii="Times New Roman" w:hAnsi="Times New Roman" w:cs="Times New Roman" w:hint="eastAsia"/>
          <w:b/>
          <w:bCs/>
          <w:sz w:val="24"/>
        </w:rPr>
        <w:t>Identification of the DOX-resistant TE10 cells.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(A) </w:t>
      </w:r>
      <w:r>
        <w:rPr>
          <w:rFonts w:ascii="Times New Roman" w:hAnsi="Times New Roman" w:cs="Times New Roman" w:hint="eastAsia"/>
          <w:i/>
          <w:iCs/>
          <w:sz w:val="24"/>
        </w:rPr>
        <w:t>IC</w:t>
      </w:r>
      <w:r>
        <w:rPr>
          <w:rFonts w:ascii="Times New Roman" w:hAnsi="Times New Roman" w:cs="Times New Roman" w:hint="eastAsia"/>
          <w:i/>
          <w:iCs/>
          <w:sz w:val="24"/>
          <w:vertAlign w:val="subscript"/>
        </w:rPr>
        <w:t xml:space="preserve">50 </w:t>
      </w:r>
      <w:r>
        <w:rPr>
          <w:rFonts w:ascii="Times New Roman" w:hAnsi="Times New Roman" w:cs="Times New Roman" w:hint="eastAsia"/>
          <w:sz w:val="24"/>
        </w:rPr>
        <w:t xml:space="preserve">value of TE10 cells and TE10/DOX cells were assessed by CCK-8 assay. (B) Western blot was performed to evaluate the expression level of resistance proteins ABCB1 and ABCC1. </w:t>
      </w:r>
    </w:p>
    <w:p w14:paraId="58B8C8F7" w14:textId="77777777" w:rsidR="00AD50EB" w:rsidRDefault="00AD50EB">
      <w:pPr>
        <w:spacing w:line="360" w:lineRule="auto"/>
        <w:rPr>
          <w:rFonts w:ascii="Times New Roman" w:hAnsi="Times New Roman" w:cs="Times New Roman"/>
          <w:sz w:val="24"/>
        </w:rPr>
      </w:pPr>
    </w:p>
    <w:p w14:paraId="440283B2" w14:textId="77777777" w:rsidR="00AD50EB" w:rsidRDefault="00AD50EB">
      <w:pPr>
        <w:spacing w:line="360" w:lineRule="auto"/>
        <w:rPr>
          <w:rFonts w:ascii="Times New Roman" w:hAnsi="Times New Roman" w:cs="Times New Roman"/>
          <w:sz w:val="24"/>
        </w:rPr>
      </w:pPr>
    </w:p>
    <w:p w14:paraId="2F8326F2" w14:textId="77777777" w:rsidR="00AD50EB" w:rsidRDefault="00AD50EB">
      <w:pPr>
        <w:spacing w:line="360" w:lineRule="auto"/>
        <w:rPr>
          <w:rFonts w:ascii="Times New Roman" w:hAnsi="Times New Roman" w:cs="Times New Roman"/>
          <w:sz w:val="24"/>
        </w:rPr>
      </w:pPr>
    </w:p>
    <w:p w14:paraId="5579DF3D" w14:textId="77777777" w:rsidR="00AD50EB" w:rsidRDefault="00AD50EB">
      <w:pPr>
        <w:spacing w:line="360" w:lineRule="auto"/>
        <w:rPr>
          <w:rFonts w:ascii="Times New Roman" w:hAnsi="Times New Roman" w:cs="Times New Roman"/>
          <w:sz w:val="24"/>
        </w:rPr>
      </w:pPr>
    </w:p>
    <w:p w14:paraId="04A0FA54" w14:textId="77777777" w:rsidR="00AA680F" w:rsidRDefault="00AA680F">
      <w:pPr>
        <w:spacing w:line="360" w:lineRule="auto"/>
        <w:rPr>
          <w:rFonts w:ascii="Times New Roman" w:hAnsi="Times New Roman" w:cs="Times New Roman"/>
          <w:sz w:val="24"/>
        </w:rPr>
      </w:pPr>
    </w:p>
    <w:p w14:paraId="02A1542E" w14:textId="7645ABDF" w:rsidR="00BE3F3A" w:rsidRDefault="00A250F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69DF753B" wp14:editId="49F8F77D">
            <wp:extent cx="5541002" cy="2251494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763" cy="22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2AD4" w14:textId="6605ABEB" w:rsidR="00AA680F" w:rsidRDefault="009060E0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</w:rPr>
        <w:t>3</w:t>
      </w:r>
      <w:r>
        <w:rPr>
          <w:rFonts w:ascii="Times New Roman" w:hAnsi="Times New Roman" w:cs="Times New Roman"/>
          <w:b/>
          <w:bCs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bCs/>
          <w:sz w:val="24"/>
        </w:rPr>
        <w:t>Synergistic effect of DOX and Cur</w:t>
      </w:r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CCK-8 analysis (A), flow </w:t>
      </w:r>
      <w:proofErr w:type="spellStart"/>
      <w:r>
        <w:rPr>
          <w:rFonts w:ascii="Times New Roman" w:hAnsi="Times New Roman" w:cs="Times New Roman"/>
          <w:sz w:val="24"/>
        </w:rPr>
        <w:t>cytometry</w:t>
      </w:r>
      <w:proofErr w:type="spellEnd"/>
      <w:r>
        <w:rPr>
          <w:rFonts w:ascii="Times New Roman" w:hAnsi="Times New Roman" w:cs="Times New Roman"/>
          <w:sz w:val="24"/>
        </w:rPr>
        <w:t xml:space="preserve"> (B) and </w:t>
      </w:r>
      <w:proofErr w:type="spellStart"/>
      <w:r>
        <w:rPr>
          <w:rFonts w:ascii="Times New Roman" w:hAnsi="Times New Roman" w:cs="Times New Roman"/>
          <w:sz w:val="24"/>
        </w:rPr>
        <w:t>Transwell</w:t>
      </w:r>
      <w:proofErr w:type="spellEnd"/>
      <w:r>
        <w:rPr>
          <w:rFonts w:ascii="Times New Roman" w:hAnsi="Times New Roman" w:cs="Times New Roman"/>
          <w:sz w:val="24"/>
        </w:rPr>
        <w:t xml:space="preserve"> analysis (C) were conducted to evaluate the synergistic effect of DOX and Cur in the treatment of tumor. (D) The expression of apoptosis-related proteins in TE10</w:t>
      </w:r>
      <w:r>
        <w:rPr>
          <w:rFonts w:ascii="Times New Roman" w:hAnsi="Times New Roman" w:cs="Times New Roman" w:hint="eastAsia"/>
          <w:sz w:val="24"/>
        </w:rPr>
        <w:t>/DOX</w:t>
      </w:r>
      <w:r>
        <w:rPr>
          <w:rFonts w:ascii="Times New Roman" w:hAnsi="Times New Roman" w:cs="Times New Roman"/>
          <w:sz w:val="24"/>
        </w:rPr>
        <w:t xml:space="preserve"> cells was analyzed by Western blot</w:t>
      </w:r>
      <w:proofErr w:type="gramStart"/>
      <w:r>
        <w:rPr>
          <w:rFonts w:ascii="Times New Roman" w:hAnsi="Times New Roman" w:cs="Times New Roman"/>
          <w:sz w:val="24"/>
        </w:rPr>
        <w:t>.*</w:t>
      </w:r>
      <w:proofErr w:type="gramEnd"/>
      <w:r>
        <w:rPr>
          <w:rFonts w:ascii="Times New Roman" w:hAnsi="Times New Roman" w:cs="Times New Roman"/>
          <w:sz w:val="24"/>
        </w:rPr>
        <w:t xml:space="preserve">** </w:t>
      </w:r>
      <w:r>
        <w:rPr>
          <w:rFonts w:ascii="Times New Roman" w:hAnsi="Times New Roman" w:cs="Times New Roman"/>
          <w:i/>
          <w:iCs/>
          <w:sz w:val="24"/>
        </w:rPr>
        <w:t xml:space="preserve">P </w:t>
      </w:r>
      <w:r>
        <w:rPr>
          <w:rFonts w:ascii="Times New Roman" w:hAnsi="Times New Roman" w:cs="Times New Roman"/>
          <w:sz w:val="24"/>
        </w:rPr>
        <w:t>&lt; 0.01.</w:t>
      </w:r>
    </w:p>
    <w:p w14:paraId="19A58A10" w14:textId="77777777" w:rsidR="00AD50EB" w:rsidRDefault="00AD50EB">
      <w:pPr>
        <w:spacing w:line="360" w:lineRule="auto"/>
        <w:rPr>
          <w:rFonts w:ascii="Times New Roman" w:hAnsi="Times New Roman" w:cs="Times New Roman"/>
          <w:sz w:val="24"/>
        </w:rPr>
      </w:pPr>
    </w:p>
    <w:p w14:paraId="7EAE57AF" w14:textId="77777777" w:rsidR="00AD50EB" w:rsidRDefault="00AD50EB">
      <w:pPr>
        <w:spacing w:line="360" w:lineRule="auto"/>
        <w:rPr>
          <w:rFonts w:ascii="Times New Roman" w:hAnsi="Times New Roman" w:cs="Times New Roman"/>
          <w:sz w:val="24"/>
        </w:rPr>
      </w:pPr>
    </w:p>
    <w:p w14:paraId="3767D757" w14:textId="77777777" w:rsidR="00AA680F" w:rsidRDefault="00AA680F">
      <w:pPr>
        <w:spacing w:line="36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14:paraId="1D024A1B" w14:textId="7BD26E9E" w:rsidR="00BE3F3A" w:rsidRDefault="00A250F9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52EA9A16" wp14:editId="52AB5175">
            <wp:extent cx="4270076" cy="335201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82" cy="33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3FB5" w14:textId="62E85A78" w:rsidR="00AA680F" w:rsidRPr="00AD50EB" w:rsidRDefault="009060E0" w:rsidP="00AD50E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</w:rPr>
        <w:t>4</w:t>
      </w:r>
      <w:r>
        <w:rPr>
          <w:rFonts w:ascii="Times New Roman" w:hAnsi="Times New Roman" w:cs="Times New Roman"/>
          <w:b/>
          <w:bCs/>
          <w:sz w:val="24"/>
        </w:rPr>
        <w:t>. Drug release curve of the NPs</w:t>
      </w:r>
      <w:r>
        <w:rPr>
          <w:rFonts w:ascii="Times New Roman" w:hAnsi="Times New Roman" w:cs="Times New Roman"/>
          <w:sz w:val="24"/>
        </w:rPr>
        <w:t xml:space="preserve">. Fluorescence of DOX at 2, 4, 6, 8, 12, 20, 24, 30, 36, 48, 60, 72, and 84 h after treatment was measured to determine drug release capacity of NPs. </w:t>
      </w:r>
    </w:p>
    <w:sectPr w:rsidR="00AA680F" w:rsidRPr="00AD50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F7D09" w14:textId="77777777" w:rsidR="0021467A" w:rsidRDefault="0021467A" w:rsidP="00BE3F3A">
      <w:r>
        <w:separator/>
      </w:r>
    </w:p>
  </w:endnote>
  <w:endnote w:type="continuationSeparator" w:id="0">
    <w:p w14:paraId="5E7A7073" w14:textId="77777777" w:rsidR="0021467A" w:rsidRDefault="0021467A" w:rsidP="00BE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27056" w14:textId="77777777" w:rsidR="0021467A" w:rsidRDefault="0021467A" w:rsidP="00BE3F3A">
      <w:r>
        <w:separator/>
      </w:r>
    </w:p>
  </w:footnote>
  <w:footnote w:type="continuationSeparator" w:id="0">
    <w:p w14:paraId="73D42DF4" w14:textId="77777777" w:rsidR="0021467A" w:rsidRDefault="0021467A" w:rsidP="00BE3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0F"/>
    <w:rsid w:val="000B21A6"/>
    <w:rsid w:val="0021467A"/>
    <w:rsid w:val="005149C8"/>
    <w:rsid w:val="0083563C"/>
    <w:rsid w:val="009060E0"/>
    <w:rsid w:val="00A250F9"/>
    <w:rsid w:val="00AA680F"/>
    <w:rsid w:val="00AC2153"/>
    <w:rsid w:val="00AD50EB"/>
    <w:rsid w:val="00B75924"/>
    <w:rsid w:val="00BE3F3A"/>
    <w:rsid w:val="00CA600E"/>
    <w:rsid w:val="46486A2E"/>
    <w:rsid w:val="6F4B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262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header"/>
    <w:basedOn w:val="a"/>
    <w:link w:val="Char"/>
    <w:rsid w:val="00BE3F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BE3F3A"/>
    <w:rPr>
      <w:kern w:val="2"/>
      <w:sz w:val="18"/>
      <w:szCs w:val="18"/>
    </w:rPr>
  </w:style>
  <w:style w:type="paragraph" w:styleId="a5">
    <w:name w:val="footer"/>
    <w:basedOn w:val="a"/>
    <w:link w:val="Char0"/>
    <w:rsid w:val="00BE3F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BE3F3A"/>
    <w:rPr>
      <w:kern w:val="2"/>
      <w:sz w:val="18"/>
      <w:szCs w:val="18"/>
    </w:rPr>
  </w:style>
  <w:style w:type="paragraph" w:styleId="a6">
    <w:name w:val="Balloon Text"/>
    <w:basedOn w:val="a"/>
    <w:link w:val="Char1"/>
    <w:rsid w:val="00AD50EB"/>
    <w:rPr>
      <w:sz w:val="18"/>
      <w:szCs w:val="18"/>
    </w:rPr>
  </w:style>
  <w:style w:type="character" w:customStyle="1" w:styleId="Char1">
    <w:name w:val="批注框文本 Char"/>
    <w:basedOn w:val="a0"/>
    <w:link w:val="a6"/>
    <w:rsid w:val="00AD50E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header"/>
    <w:basedOn w:val="a"/>
    <w:link w:val="Char"/>
    <w:rsid w:val="00BE3F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BE3F3A"/>
    <w:rPr>
      <w:kern w:val="2"/>
      <w:sz w:val="18"/>
      <w:szCs w:val="18"/>
    </w:rPr>
  </w:style>
  <w:style w:type="paragraph" w:styleId="a5">
    <w:name w:val="footer"/>
    <w:basedOn w:val="a"/>
    <w:link w:val="Char0"/>
    <w:rsid w:val="00BE3F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BE3F3A"/>
    <w:rPr>
      <w:kern w:val="2"/>
      <w:sz w:val="18"/>
      <w:szCs w:val="18"/>
    </w:rPr>
  </w:style>
  <w:style w:type="paragraph" w:styleId="a6">
    <w:name w:val="Balloon Text"/>
    <w:basedOn w:val="a"/>
    <w:link w:val="Char1"/>
    <w:rsid w:val="00AD50EB"/>
    <w:rPr>
      <w:sz w:val="18"/>
      <w:szCs w:val="18"/>
    </w:rPr>
  </w:style>
  <w:style w:type="character" w:customStyle="1" w:styleId="Char1">
    <w:name w:val="批注框文本 Char"/>
    <w:basedOn w:val="a0"/>
    <w:link w:val="a6"/>
    <w:rsid w:val="00AD50E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gaoyi</cp:lastModifiedBy>
  <cp:revision>3</cp:revision>
  <dcterms:created xsi:type="dcterms:W3CDTF">2021-05-14T14:55:00Z</dcterms:created>
  <dcterms:modified xsi:type="dcterms:W3CDTF">2021-05-28T13:37:00Z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F4F7959A6AA440E28736FCEE83C4468B</vt:lpwstr>
  </property>
</Properties>
</file>