
<file path=[Content_Types].xml><?xml version="1.0" encoding="utf-8"?>
<Types xmlns="http://schemas.openxmlformats.org/package/2006/content-types">
  <Default Extension="xml" ContentType="application/xml"/>
  <Default Extension="tiff" ContentType="image/tif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spacing w:after="200" w:line="360" w:lineRule="auto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Supplementary material</w:t>
      </w:r>
    </w:p>
    <w:p>
      <w:pPr>
        <w:autoSpaceDE w:val="0"/>
        <w:autoSpaceDN w:val="0"/>
        <w:spacing w:after="200" w:line="360" w:lineRule="auto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Appendix S1: Inclusion and exclusion criteria</w:t>
      </w:r>
    </w:p>
    <w:p>
      <w:pPr>
        <w:autoSpaceDE w:val="0"/>
        <w:autoSpaceDN w:val="0"/>
        <w:spacing w:after="200"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Inclusion criteria:</w:t>
      </w:r>
    </w:p>
    <w:p>
      <w:pPr>
        <w:widowControl/>
        <w:numPr>
          <w:ilvl w:val="0"/>
          <w:numId w:val="1"/>
        </w:numPr>
        <w:autoSpaceDE w:val="0"/>
        <w:autoSpaceDN w:val="0"/>
        <w:adjustRightInd w:val="0"/>
        <w:snapToGrid w:val="0"/>
        <w:spacing w:after="200" w:line="360" w:lineRule="auto"/>
        <w:jc w:val="lef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histologically confirmed NSCLC; (2) immunotherapy with PD-1 ICIs at first or later line;</w:t>
      </w:r>
      <w:r>
        <w:rPr>
          <w:rFonts w:hint="eastAsia"/>
          <w:color w:val="000000"/>
          <w:sz w:val="24"/>
          <w:szCs w:val="24"/>
        </w:rPr>
        <w:t xml:space="preserve"> (3) </w:t>
      </w:r>
      <w:r>
        <w:rPr>
          <w:color w:val="000000"/>
          <w:sz w:val="24"/>
          <w:szCs w:val="24"/>
        </w:rPr>
        <w:t>available pre-treatment demographics</w:t>
      </w:r>
      <w:r>
        <w:rPr>
          <w:rFonts w:hint="eastAsia"/>
          <w:color w:val="000000"/>
          <w:sz w:val="24"/>
          <w:szCs w:val="24"/>
        </w:rPr>
        <w:t>.</w:t>
      </w:r>
    </w:p>
    <w:p>
      <w:pPr>
        <w:autoSpaceDE w:val="0"/>
        <w:autoSpaceDN w:val="0"/>
        <w:spacing w:after="200"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Exclusion criteria:</w:t>
      </w:r>
    </w:p>
    <w:p>
      <w:pPr>
        <w:autoSpaceDE w:val="0"/>
        <w:autoSpaceDN w:val="0"/>
        <w:spacing w:after="200"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(1) CT images were of poor quality; (2) tumors were not clear after surgery; (3) time between baseline imaging and immunotherapy treatment exceeded four weeks; (</w:t>
      </w:r>
      <w:r>
        <w:rPr>
          <w:rFonts w:hint="eastAsia"/>
          <w:color w:val="000000"/>
          <w:sz w:val="24"/>
          <w:szCs w:val="24"/>
        </w:rPr>
        <w:t>4</w:t>
      </w:r>
      <w:r>
        <w:rPr>
          <w:color w:val="000000"/>
          <w:sz w:val="24"/>
          <w:szCs w:val="24"/>
        </w:rPr>
        <w:t>)</w:t>
      </w:r>
      <w:r>
        <w:rPr>
          <w:rFonts w:hint="eastAsia"/>
          <w:color w:val="000000"/>
          <w:sz w:val="24"/>
          <w:szCs w:val="24"/>
        </w:rPr>
        <w:t xml:space="preserve"> un</w:t>
      </w:r>
      <w:bookmarkStart w:id="0" w:name="OLE_LINK21"/>
      <w:r>
        <w:rPr>
          <w:color w:val="000000"/>
          <w:sz w:val="24"/>
          <w:szCs w:val="24"/>
        </w:rPr>
        <w:t>available</w:t>
      </w:r>
      <w:bookmarkEnd w:id="0"/>
      <w:r>
        <w:rPr>
          <w:color w:val="000000"/>
          <w:sz w:val="24"/>
          <w:szCs w:val="24"/>
        </w:rPr>
        <w:t xml:space="preserve"> NCE-CT </w:t>
      </w:r>
      <w:r>
        <w:rPr>
          <w:rFonts w:hint="eastAsia"/>
          <w:color w:val="000000"/>
          <w:sz w:val="24"/>
          <w:szCs w:val="24"/>
        </w:rPr>
        <w:t>or</w:t>
      </w:r>
      <w:r>
        <w:rPr>
          <w:color w:val="000000"/>
          <w:sz w:val="24"/>
          <w:szCs w:val="24"/>
        </w:rPr>
        <w:t xml:space="preserve"> CE-CT images; (</w:t>
      </w:r>
      <w:r>
        <w:rPr>
          <w:rFonts w:hint="eastAsia"/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) follow-up time from initiation of immunotherapy was </w:t>
      </w:r>
      <w:r>
        <w:rPr>
          <w:rFonts w:hint="eastAsia"/>
          <w:color w:val="000000"/>
          <w:sz w:val="24"/>
          <w:szCs w:val="24"/>
        </w:rPr>
        <w:t>less</w:t>
      </w:r>
      <w:r>
        <w:rPr>
          <w:color w:val="000000"/>
          <w:sz w:val="24"/>
          <w:szCs w:val="24"/>
        </w:rPr>
        <w:t xml:space="preserve"> 6 months </w:t>
      </w:r>
      <w:r>
        <w:rPr>
          <w:color w:val="131413"/>
          <w:sz w:val="24"/>
          <w:szCs w:val="24"/>
        </w:rPr>
        <w:t>with regular clinical evaluations and CT scans after each 2 or 3 cycles of ICIs</w:t>
      </w:r>
      <w:r>
        <w:rPr>
          <w:rFonts w:hint="eastAsia"/>
          <w:color w:val="131413"/>
          <w:sz w:val="24"/>
          <w:szCs w:val="24"/>
        </w:rPr>
        <w:t>.</w:t>
      </w:r>
    </w:p>
    <w:p>
      <w:pPr>
        <w:autoSpaceDE w:val="0"/>
        <w:autoSpaceDN w:val="0"/>
        <w:spacing w:after="200" w:line="360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Appendix S2: Inclusion criteria</w:t>
      </w:r>
    </w:p>
    <w:p>
      <w:pPr>
        <w:widowControl/>
        <w:numPr>
          <w:ilvl w:val="0"/>
          <w:numId w:val="2"/>
        </w:numPr>
        <w:autoSpaceDE w:val="0"/>
        <w:autoSpaceDN w:val="0"/>
        <w:adjustRightInd w:val="0"/>
        <w:snapToGrid w:val="0"/>
        <w:spacing w:after="200"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histologically confirmed stage</w:t>
      </w:r>
      <w:r>
        <w:rPr>
          <w:rFonts w:hint="eastAsia"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NSCLC</w:t>
      </w:r>
      <w:r>
        <w:rPr>
          <w:rFonts w:hint="eastAsia"/>
          <w:color w:val="000000"/>
          <w:sz w:val="24"/>
          <w:szCs w:val="24"/>
        </w:rPr>
        <w:t xml:space="preserve"> treated with platinum-based chemotherapy</w:t>
      </w:r>
      <w:r>
        <w:rPr>
          <w:color w:val="000000"/>
          <w:sz w:val="24"/>
          <w:szCs w:val="24"/>
        </w:rPr>
        <w:t>;</w:t>
      </w:r>
      <w:r>
        <w:rPr>
          <w:rFonts w:hint="eastAsia"/>
          <w:color w:val="000000"/>
          <w:sz w:val="24"/>
          <w:szCs w:val="24"/>
        </w:rPr>
        <w:t xml:space="preserve"> (2) </w:t>
      </w:r>
      <w:r>
        <w:rPr>
          <w:color w:val="000000"/>
          <w:sz w:val="24"/>
          <w:szCs w:val="24"/>
        </w:rPr>
        <w:t>available pre-treatment demographics</w:t>
      </w:r>
      <w:r>
        <w:rPr>
          <w:rFonts w:hint="eastAsia"/>
          <w:color w:val="000000"/>
          <w:sz w:val="24"/>
          <w:szCs w:val="24"/>
          <w:lang w:val="en-US" w:eastAsia="zh-CN"/>
        </w:rPr>
        <w:t xml:space="preserve">; (3) both NCE-CT and CE-CT examinations were done within a </w:t>
      </w:r>
      <w:r>
        <w:rPr>
          <w:color w:val="000000"/>
          <w:sz w:val="24"/>
          <w:szCs w:val="24"/>
        </w:rPr>
        <w:t>four</w:t>
      </w:r>
      <w:r>
        <w:rPr>
          <w:rFonts w:hint="eastAsia"/>
          <w:color w:val="000000"/>
          <w:sz w:val="24"/>
          <w:szCs w:val="24"/>
          <w:lang w:val="en-US" w:eastAsia="zh-CN"/>
        </w:rPr>
        <w:t>-</w:t>
      </w:r>
      <w:r>
        <w:rPr>
          <w:color w:val="000000"/>
          <w:sz w:val="24"/>
          <w:szCs w:val="24"/>
        </w:rPr>
        <w:t>week</w:t>
      </w:r>
      <w:r>
        <w:rPr>
          <w:rFonts w:hint="eastAsia"/>
          <w:color w:val="000000"/>
          <w:sz w:val="24"/>
          <w:szCs w:val="24"/>
          <w:lang w:val="en-US" w:eastAsia="zh-CN"/>
        </w:rPr>
        <w:t xml:space="preserve"> period before treatment</w:t>
      </w:r>
      <w:r>
        <w:rPr>
          <w:rFonts w:hint="eastAsia"/>
          <w:color w:val="000000"/>
          <w:sz w:val="24"/>
          <w:szCs w:val="24"/>
        </w:rPr>
        <w:t>; (</w:t>
      </w:r>
      <w:r>
        <w:rPr>
          <w:rFonts w:hint="eastAsia"/>
          <w:color w:val="000000"/>
          <w:sz w:val="24"/>
          <w:szCs w:val="24"/>
          <w:lang w:val="en-US" w:eastAsia="zh-CN"/>
        </w:rPr>
        <w:t>4</w:t>
      </w:r>
      <w:r>
        <w:rPr>
          <w:rFonts w:hint="eastAsia"/>
          <w:color w:val="000000"/>
          <w:sz w:val="24"/>
          <w:szCs w:val="24"/>
        </w:rPr>
        <w:t>)</w:t>
      </w:r>
      <w:r>
        <w:rPr>
          <w:color w:val="000000"/>
          <w:sz w:val="24"/>
          <w:szCs w:val="24"/>
        </w:rPr>
        <w:t xml:space="preserve"> </w:t>
      </w:r>
      <w:r>
        <w:rPr>
          <w:rFonts w:hint="eastAsia"/>
          <w:color w:val="000000"/>
          <w:sz w:val="24"/>
          <w:szCs w:val="24"/>
        </w:rPr>
        <w:t>clear tumor boundaries</w:t>
      </w:r>
      <w:r>
        <w:rPr>
          <w:rFonts w:hint="eastAsia"/>
          <w:color w:val="000000"/>
          <w:sz w:val="24"/>
          <w:szCs w:val="24"/>
          <w:lang w:val="en-US" w:eastAsia="zh-CN"/>
        </w:rPr>
        <w:t xml:space="preserve">; </w:t>
      </w:r>
      <w:r>
        <w:rPr>
          <w:color w:val="000000"/>
          <w:sz w:val="24"/>
          <w:szCs w:val="24"/>
        </w:rPr>
        <w:t>(</w:t>
      </w:r>
      <w:r>
        <w:rPr>
          <w:rFonts w:hint="eastAsia"/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) follow-up time from initiation of </w:t>
      </w:r>
      <w:r>
        <w:rPr>
          <w:rFonts w:hint="eastAsia"/>
          <w:color w:val="000000"/>
          <w:sz w:val="24"/>
          <w:szCs w:val="24"/>
        </w:rPr>
        <w:t>chemo</w:t>
      </w:r>
      <w:r>
        <w:rPr>
          <w:color w:val="000000"/>
          <w:sz w:val="24"/>
          <w:szCs w:val="24"/>
        </w:rPr>
        <w:t xml:space="preserve">therapy was </w:t>
      </w:r>
      <w:r>
        <w:rPr>
          <w:rFonts w:hint="eastAsia"/>
          <w:color w:val="000000"/>
          <w:sz w:val="24"/>
          <w:szCs w:val="24"/>
        </w:rPr>
        <w:t>greater than</w:t>
      </w:r>
      <w:r>
        <w:rPr>
          <w:color w:val="000000"/>
          <w:sz w:val="24"/>
          <w:szCs w:val="24"/>
        </w:rPr>
        <w:t xml:space="preserve"> 6 months</w:t>
      </w:r>
      <w:r>
        <w:rPr>
          <w:rFonts w:hint="eastAsia"/>
          <w:color w:val="000000"/>
          <w:sz w:val="24"/>
          <w:szCs w:val="24"/>
        </w:rPr>
        <w:t>.</w:t>
      </w:r>
    </w:p>
    <w:p>
      <w:pPr>
        <w:autoSpaceDE w:val="0"/>
        <w:autoSpaceDN w:val="0"/>
        <w:spacing w:after="200" w:line="360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Appendix S</w:t>
      </w:r>
      <w:r>
        <w:rPr>
          <w:rFonts w:hint="eastAsia"/>
          <w:b/>
          <w:color w:val="000000"/>
          <w:sz w:val="24"/>
          <w:szCs w:val="24"/>
        </w:rPr>
        <w:t>3</w:t>
      </w:r>
      <w:r>
        <w:rPr>
          <w:b/>
          <w:color w:val="000000"/>
          <w:sz w:val="24"/>
          <w:szCs w:val="24"/>
        </w:rPr>
        <w:t>: CT scanning protocol</w:t>
      </w:r>
    </w:p>
    <w:p>
      <w:pPr>
        <w:autoSpaceDE w:val="0"/>
        <w:autoSpaceDN w:val="0"/>
        <w:spacing w:after="200"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Scanning parameters were as follows:</w:t>
      </w:r>
    </w:p>
    <w:p>
      <w:pPr>
        <w:autoSpaceDE w:val="0"/>
        <w:autoSpaceDN w:val="0"/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 120 kVp with tube current adjusted automatically</w:t>
      </w:r>
    </w:p>
    <w:p>
      <w:pPr>
        <w:autoSpaceDE w:val="0"/>
        <w:autoSpaceDN w:val="0"/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 Reconstruction thickness:</w:t>
      </w:r>
    </w:p>
    <w:p>
      <w:pPr>
        <w:autoSpaceDE w:val="0"/>
        <w:autoSpaceDN w:val="0"/>
        <w:spacing w:line="360" w:lineRule="auto"/>
        <w:ind w:firstLine="240" w:firstLineChars="10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1.25 mm for Discovery CT750 HD and Discovery CT750 scanner</w:t>
      </w:r>
    </w:p>
    <w:p>
      <w:pPr>
        <w:autoSpaceDE w:val="0"/>
        <w:autoSpaceDN w:val="0"/>
        <w:spacing w:line="360" w:lineRule="auto"/>
        <w:ind w:firstLine="240" w:firstLineChars="10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 mm for Siemens SOMATOM Definition AS+ scanner</w:t>
      </w:r>
    </w:p>
    <w:p>
      <w:pPr>
        <w:autoSpaceDE w:val="0"/>
        <w:autoSpaceDN w:val="0"/>
        <w:spacing w:line="360" w:lineRule="auto"/>
        <w:ind w:firstLine="240" w:firstLineChars="10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 mm for Canon Aquilion ONE scanner</w:t>
      </w:r>
    </w:p>
    <w:p>
      <w:pPr>
        <w:autoSpaceDE w:val="0"/>
        <w:autoSpaceDN w:val="0"/>
        <w:spacing w:line="360" w:lineRule="auto"/>
        <w:ind w:firstLine="240" w:firstLineChars="10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 mm for the other five scanners</w:t>
      </w:r>
    </w:p>
    <w:p>
      <w:pPr>
        <w:autoSpaceDE w:val="0"/>
        <w:autoSpaceDN w:val="0"/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3. Field of view (FOV): 36.5 cm to 44 cm</w:t>
      </w:r>
    </w:p>
    <w:p>
      <w:pPr>
        <w:autoSpaceDE w:val="0"/>
        <w:autoSpaceDN w:val="0"/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4. Matrix: 512×512</w:t>
      </w:r>
    </w:p>
    <w:p>
      <w:pPr>
        <w:autoSpaceDE w:val="0"/>
        <w:autoSpaceDN w:val="0"/>
        <w:spacing w:after="200"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5. Reconstruction Kernel: Standard Algorithm (Std for GE, B30f for Siemens, or other equivalent)</w:t>
      </w:r>
    </w:p>
    <w:p>
      <w:pPr>
        <w:autoSpaceDE w:val="0"/>
        <w:autoSpaceDN w:val="0"/>
        <w:spacing w:after="200" w:line="360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Appendix S</w:t>
      </w:r>
      <w:r>
        <w:rPr>
          <w:rFonts w:hint="eastAsia"/>
          <w:b/>
          <w:color w:val="000000"/>
          <w:sz w:val="24"/>
          <w:szCs w:val="24"/>
        </w:rPr>
        <w:t>5</w:t>
      </w:r>
      <w:r>
        <w:rPr>
          <w:b/>
          <w:color w:val="000000"/>
          <w:sz w:val="24"/>
          <w:szCs w:val="24"/>
        </w:rPr>
        <w:t>: Equations</w:t>
      </w:r>
    </w:p>
    <w:p>
      <w:pPr>
        <w:autoSpaceDE w:val="0"/>
        <w:autoSpaceDN w:val="0"/>
        <w:spacing w:after="200"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Equation 1:</w:t>
      </w:r>
    </w:p>
    <w:p>
      <w:pPr>
        <w:autoSpaceDE w:val="0"/>
        <w:autoSpaceDN w:val="0"/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Radscore = -0.159 × original_glszm_GrayLevelVariance - </w:t>
      </w:r>
    </w:p>
    <w:p>
      <w:pPr>
        <w:autoSpaceDE w:val="0"/>
        <w:autoSpaceDN w:val="0"/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0.186 × wavelet_LLH_glcm_ClusterShade - 0.085 × original_shape_Elongation + 0.036 × log_sigma_3_0_mm_3D_glszm_LargeAreaLowGrayLevelEmphasis - </w:t>
      </w:r>
    </w:p>
    <w:p>
      <w:pPr>
        <w:autoSpaceDE w:val="0"/>
        <w:autoSpaceDN w:val="0"/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0.094 × wavelet_LHL_glcm_MCC + 0.049 × wavelet_LHH_glcm_ClusterShade + 0.285 × wavelet_LHL_glrlm_LongRunHighGrayLevelEmphasis + </w:t>
      </w:r>
    </w:p>
    <w:p>
      <w:pPr>
        <w:autoSpaceDE w:val="0"/>
        <w:autoSpaceDN w:val="0"/>
        <w:spacing w:after="200"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0.215 × wavelet_HLH_firstorder_Median - 0.206</w:t>
      </w:r>
    </w:p>
    <w:p>
      <w:pPr>
        <w:autoSpaceDE w:val="0"/>
        <w:autoSpaceDN w:val="0"/>
        <w:spacing w:after="200"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Equation 2:</w:t>
      </w:r>
    </w:p>
    <w:p>
      <w:pPr>
        <w:autoSpaceDE w:val="0"/>
        <w:autoSpaceDN w:val="0"/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Radscore = -0.056 × wavelet_HLL_glcm_ClusterTendency - </w:t>
      </w:r>
    </w:p>
    <w:p>
      <w:pPr>
        <w:autoSpaceDE w:val="0"/>
        <w:autoSpaceDN w:val="0"/>
        <w:spacing w:after="200"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0.079 × wavelet_HLH_glcm_Correlation + 0.092 × lbp_3D_k_ngtdm_Busyness + 0.062 × wavelet_LLL_glcm_MaximumProbability - 0.335</w:t>
      </w:r>
    </w:p>
    <w:p>
      <w:pPr>
        <w:autoSpaceDE w:val="0"/>
        <w:autoSpaceDN w:val="0"/>
        <w:spacing w:after="200"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Equation 3:</w:t>
      </w:r>
    </w:p>
    <w:p>
      <w:pPr>
        <w:autoSpaceDE w:val="0"/>
        <w:autoSpaceDN w:val="0"/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Radscore = -0.107 × wavelet_LHH_firstorder_Skewness + </w:t>
      </w:r>
    </w:p>
    <w:p>
      <w:pPr>
        <w:autoSpaceDE w:val="0"/>
        <w:autoSpaceDN w:val="0"/>
        <w:spacing w:after="200"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0.053 × wavelet_LHH_glszm_SizeZoneNonUniformityNormalized - 0.2</w:t>
      </w:r>
    </w:p>
    <w:p>
      <w:pPr>
        <w:autoSpaceDE w:val="0"/>
        <w:autoSpaceDN w:val="0"/>
        <w:spacing w:after="200"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Equation 4:</w:t>
      </w:r>
    </w:p>
    <w:p>
      <w:pPr>
        <w:autoSpaceDE w:val="0"/>
        <w:autoSpaceDN w:val="0"/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Radscore = -0.222 × wavelet_HLL_gldm_DependenceEntropy + </w:t>
      </w:r>
    </w:p>
    <w:p>
      <w:pPr>
        <w:autoSpaceDE w:val="0"/>
        <w:autoSpaceDN w:val="0"/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0.185 × wavelet_HLH_firstorder_Skewness - </w:t>
      </w:r>
    </w:p>
    <w:p>
      <w:pPr>
        <w:autoSpaceDE w:val="0"/>
        <w:autoSpaceDN w:val="0"/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0.164 × wavelet_HHH_glszm_SmallAreaLowGrayLevelEmphasis + </w:t>
      </w:r>
    </w:p>
    <w:p>
      <w:pPr>
        <w:autoSpaceDE w:val="0"/>
        <w:autoSpaceDN w:val="0"/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0.109 × wavelet_HHL_glcm_ClusterShade - </w:t>
      </w:r>
    </w:p>
    <w:p>
      <w:pPr>
        <w:autoSpaceDE w:val="0"/>
        <w:autoSpaceDN w:val="0"/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0.041 × wavelet_HHH_glszm_SizeZoneNonUniformityNormalized + </w:t>
      </w:r>
    </w:p>
    <w:p>
      <w:pPr>
        <w:autoSpaceDE w:val="0"/>
        <w:autoSpaceDN w:val="0"/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0.08 × lbp_3D_k_firstorder_10Percentile + </w:t>
      </w:r>
    </w:p>
    <w:p>
      <w:pPr>
        <w:autoSpaceDE w:val="0"/>
        <w:autoSpaceDN w:val="0"/>
        <w:spacing w:after="200"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0.121 × wavelet_HLL_glszm_LargeAreaLowGrayLevelEmphasis - 0.297</w:t>
      </w:r>
    </w:p>
    <w:p>
      <w:pPr>
        <w:autoSpaceDE w:val="0"/>
        <w:autoSpaceDN w:val="0"/>
        <w:spacing w:after="200"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Equation 5：</w:t>
      </w:r>
    </w:p>
    <w:p>
      <w:pPr>
        <w:autoSpaceDE w:val="0"/>
        <w:autoSpaceDN w:val="0"/>
        <w:spacing w:line="36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Radscore = 0.435 × Equation 1 + 1.154 ×Equation 2 - 0.648</w:t>
      </w:r>
    </w:p>
    <w:p>
      <w:pPr>
        <w:autoSpaceDE w:val="0"/>
        <w:autoSpaceDN w:val="0"/>
        <w:spacing w:line="360" w:lineRule="auto"/>
        <w:rPr>
          <w:color w:val="000000"/>
          <w:sz w:val="24"/>
          <w:szCs w:val="24"/>
        </w:rPr>
      </w:pPr>
    </w:p>
    <w:p>
      <w:pPr>
        <w:rPr>
          <w:color w:val="000000"/>
          <w:sz w:val="24"/>
          <w:szCs w:val="24"/>
        </w:rPr>
        <w:sectPr>
          <w:pgSz w:w="11906" w:h="16838"/>
          <w:pgMar w:top="1440" w:right="1800" w:bottom="1440" w:left="1800" w:header="708" w:footer="708" w:gutter="0"/>
          <w:cols w:space="708" w:num="1"/>
          <w:docGrid w:linePitch="360" w:charSpace="0"/>
        </w:sectPr>
      </w:pPr>
    </w:p>
    <w:p>
      <w:pPr>
        <w:autoSpaceDE w:val="0"/>
        <w:autoSpaceDN w:val="0"/>
        <w:spacing w:line="360" w:lineRule="auto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Table S1.</w:t>
      </w:r>
      <w:r>
        <w:rPr>
          <w:color w:val="000000"/>
          <w:sz w:val="24"/>
          <w:szCs w:val="24"/>
        </w:rPr>
        <w:t xml:space="preserve"> 1316 radiomics features extracted from baseline NCE-CT and CE-CT images using Artificial Intelligence Kit software version 3.3.0 (GE Healthcare, China)</w:t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52"/>
        <w:gridCol w:w="3403"/>
        <w:gridCol w:w="60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Feature Category</w:t>
            </w:r>
          </w:p>
        </w:tc>
        <w:tc>
          <w:tcPr>
            <w:tcW w:w="340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Number of features</w:t>
            </w:r>
          </w:p>
        </w:tc>
        <w:tc>
          <w:tcPr>
            <w:tcW w:w="6095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Feature Name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First Order Histogram Features</w:t>
            </w:r>
          </w:p>
        </w:tc>
        <w:tc>
          <w:tcPr>
            <w:tcW w:w="3403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6095" w:type="dxa"/>
            <w:tcBorders>
              <w:top w:val="single" w:color="auto" w:sz="4" w:space="0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1.Energy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>
              <w:rPr>
                <w:rFonts w:eastAsiaTheme="minorEastAsia"/>
                <w:sz w:val="24"/>
                <w:szCs w:val="24"/>
              </w:rPr>
              <w:t>Total Energy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  <w:r>
              <w:rPr>
                <w:rFonts w:eastAsiaTheme="minorEastAsia"/>
                <w:sz w:val="24"/>
                <w:szCs w:val="24"/>
              </w:rPr>
              <w:t>Entropy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autoSpaceDE w:val="0"/>
              <w:autoSpaceDN w:val="0"/>
              <w:snapToGrid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4.M</w:t>
            </w:r>
            <w:r>
              <w:rPr>
                <w:rFonts w:eastAsiaTheme="minorEastAsia"/>
                <w:sz w:val="24"/>
                <w:szCs w:val="24"/>
              </w:rPr>
              <w:t>inimum</w:t>
            </w:r>
            <w:r>
              <w:rPr>
                <w:sz w:val="24"/>
                <w:szCs w:val="24"/>
              </w:rPr>
              <w:t xml:space="preserve"> Intensity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5.The 10th percentile of X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6.The 90th percentile of X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7.M</w:t>
            </w:r>
            <w:r>
              <w:rPr>
                <w:rFonts w:eastAsiaTheme="minorEastAsia"/>
                <w:sz w:val="24"/>
                <w:szCs w:val="24"/>
              </w:rPr>
              <w:t>aximum</w:t>
            </w:r>
            <w:r>
              <w:rPr>
                <w:sz w:val="24"/>
                <w:szCs w:val="24"/>
              </w:rPr>
              <w:t xml:space="preserve"> Intensity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8.M</w:t>
            </w:r>
            <w:r>
              <w:rPr>
                <w:rFonts w:eastAsiaTheme="minorEastAsia"/>
                <w:sz w:val="24"/>
                <w:szCs w:val="24"/>
              </w:rPr>
              <w:t>ean</w:t>
            </w:r>
            <w:r>
              <w:rPr>
                <w:sz w:val="24"/>
                <w:szCs w:val="24"/>
              </w:rPr>
              <w:t xml:space="preserve"> Intensity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9.Median Intensity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10.R</w:t>
            </w:r>
            <w:r>
              <w:rPr>
                <w:rFonts w:eastAsiaTheme="minorEastAsia"/>
                <w:sz w:val="24"/>
                <w:szCs w:val="24"/>
              </w:rPr>
              <w:t>ange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  <w:r>
              <w:rPr>
                <w:rFonts w:eastAsiaTheme="minorEastAsia"/>
                <w:sz w:val="24"/>
                <w:szCs w:val="24"/>
              </w:rPr>
              <w:t>Mean Absolute Deviation (MAD)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  <w:r>
              <w:rPr>
                <w:rFonts w:eastAsiaTheme="minorEastAsia"/>
                <w:sz w:val="24"/>
                <w:szCs w:val="24"/>
              </w:rPr>
              <w:t>Robust Mean Absolute Deviation (rMAD)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</w:t>
            </w:r>
            <w:r>
              <w:rPr>
                <w:rFonts w:eastAsiaTheme="minorEastAsia"/>
                <w:sz w:val="24"/>
                <w:szCs w:val="24"/>
              </w:rPr>
              <w:t>Root Mean Squared (RMS)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</w:t>
            </w:r>
            <w:r>
              <w:rPr>
                <w:rFonts w:eastAsiaTheme="minorEastAsia"/>
                <w:sz w:val="24"/>
                <w:szCs w:val="24"/>
              </w:rPr>
              <w:t>Skewness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</w:t>
            </w:r>
            <w:r>
              <w:rPr>
                <w:rFonts w:eastAsiaTheme="minorEastAsia"/>
                <w:sz w:val="24"/>
                <w:szCs w:val="24"/>
              </w:rPr>
              <w:t>Kurtosis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</w:t>
            </w:r>
            <w:r>
              <w:rPr>
                <w:rFonts w:eastAsiaTheme="minorEastAsia"/>
                <w:sz w:val="24"/>
                <w:szCs w:val="24"/>
              </w:rPr>
              <w:t>Variance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</w:t>
            </w:r>
            <w:r>
              <w:rPr>
                <w:rFonts w:eastAsiaTheme="minorEastAsia"/>
                <w:sz w:val="24"/>
                <w:szCs w:val="24"/>
              </w:rPr>
              <w:t>Uniformity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18.Interquartile range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Shape-related Statistics</w:t>
            </w:r>
          </w:p>
        </w:tc>
        <w:tc>
          <w:tcPr>
            <w:tcW w:w="3403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6095" w:type="dxa"/>
            <w:tcBorders>
              <w:top w:val="single" w:color="auto" w:sz="4" w:space="0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1.V</w:t>
            </w:r>
            <w:r>
              <w:rPr>
                <w:rFonts w:eastAsiaTheme="minorEastAsia"/>
                <w:sz w:val="24"/>
                <w:szCs w:val="24"/>
              </w:rPr>
              <w:t>olume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>
              <w:rPr>
                <w:rFonts w:eastAsiaTheme="minorEastAsia"/>
                <w:sz w:val="24"/>
                <w:szCs w:val="24"/>
              </w:rPr>
              <w:t>Surface Area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3.Surface Volume Ratio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  <w:r>
              <w:rPr>
                <w:rFonts w:eastAsiaTheme="minorEastAsia"/>
                <w:sz w:val="24"/>
                <w:szCs w:val="24"/>
              </w:rPr>
              <w:t>Sphericity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5.Voxel Number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6.Maximum 3D diameter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  <w:r>
              <w:rPr>
                <w:rFonts w:eastAsiaTheme="minorEastAsia"/>
                <w:sz w:val="24"/>
                <w:szCs w:val="24"/>
              </w:rPr>
              <w:t>Maximum 2D diameter (Slice)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  <w:r>
              <w:rPr>
                <w:rFonts w:eastAsiaTheme="minorEastAsia"/>
                <w:sz w:val="24"/>
                <w:szCs w:val="24"/>
              </w:rPr>
              <w:t>Maximum 2D diameter (Column)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  <w:r>
              <w:rPr>
                <w:rFonts w:eastAsiaTheme="minorEastAsia"/>
                <w:sz w:val="24"/>
                <w:szCs w:val="24"/>
              </w:rPr>
              <w:t>Maximum 2D diameter (Row)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10.Major Axis Length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11.Minor Axis Length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12.Least Axis Length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13.Elongation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14.Flatness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Gray Level Co-occurrence Matrix (GLCM)</w:t>
            </w:r>
          </w:p>
        </w:tc>
        <w:tc>
          <w:tcPr>
            <w:tcW w:w="3403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6095" w:type="dxa"/>
            <w:tcBorders>
              <w:top w:val="single" w:color="auto" w:sz="4" w:space="0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>
              <w:rPr>
                <w:rFonts w:eastAsiaTheme="minorEastAsia"/>
                <w:sz w:val="24"/>
                <w:szCs w:val="24"/>
              </w:rPr>
              <w:t>Autocorrelation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2.Joint average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  <w:r>
              <w:rPr>
                <w:rFonts w:eastAsiaTheme="minorEastAsia"/>
                <w:sz w:val="24"/>
                <w:szCs w:val="24"/>
              </w:rPr>
              <w:t>Cluster Prominence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  <w:r>
              <w:rPr>
                <w:rFonts w:eastAsiaTheme="minorEastAsia"/>
                <w:sz w:val="24"/>
                <w:szCs w:val="24"/>
              </w:rPr>
              <w:t>Cluster Tendency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  <w:r>
              <w:rPr>
                <w:rFonts w:eastAsiaTheme="minorEastAsia"/>
                <w:sz w:val="24"/>
                <w:szCs w:val="24"/>
              </w:rPr>
              <w:t>Cluster Shade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6.Contrast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  <w:r>
              <w:rPr>
                <w:rFonts w:eastAsiaTheme="minorEastAsia"/>
                <w:sz w:val="24"/>
                <w:szCs w:val="24"/>
              </w:rPr>
              <w:t>Correlation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  <w:r>
              <w:rPr>
                <w:rFonts w:eastAsiaTheme="minorEastAsia"/>
                <w:sz w:val="24"/>
                <w:szCs w:val="24"/>
              </w:rPr>
              <w:t>Difference Average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  <w:r>
              <w:rPr>
                <w:rFonts w:eastAsiaTheme="minorEastAsia"/>
                <w:sz w:val="24"/>
                <w:szCs w:val="24"/>
              </w:rPr>
              <w:t>Difference Entropy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  <w:r>
              <w:rPr>
                <w:rFonts w:eastAsiaTheme="minorEastAsia"/>
                <w:sz w:val="24"/>
                <w:szCs w:val="24"/>
              </w:rPr>
              <w:t>Difference Variance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  <w:r>
              <w:rPr>
                <w:rFonts w:eastAsiaTheme="minorEastAsia"/>
                <w:sz w:val="24"/>
                <w:szCs w:val="24"/>
              </w:rPr>
              <w:t>Joint energy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  <w:r>
              <w:rPr>
                <w:rFonts w:eastAsiaTheme="minorEastAsia"/>
                <w:sz w:val="24"/>
                <w:szCs w:val="24"/>
              </w:rPr>
              <w:t>Joint entropy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</w:t>
            </w:r>
            <w:r>
              <w:rPr>
                <w:rFonts w:eastAsiaTheme="minorEastAsia"/>
                <w:sz w:val="24"/>
                <w:szCs w:val="24"/>
              </w:rPr>
              <w:t>Informational measure of correlation 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</w:t>
            </w:r>
            <w:r>
              <w:rPr>
                <w:rFonts w:eastAsiaTheme="minorEastAsia"/>
                <w:sz w:val="24"/>
                <w:szCs w:val="24"/>
              </w:rPr>
              <w:t>Informational measure of correlation 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</w:t>
            </w:r>
            <w:r>
              <w:rPr>
                <w:rFonts w:eastAsiaTheme="minorEastAsia"/>
                <w:sz w:val="24"/>
                <w:szCs w:val="24"/>
              </w:rPr>
              <w:t>IDM (inverse difference moment)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</w:t>
            </w:r>
            <w:r>
              <w:rPr>
                <w:rFonts w:eastAsiaTheme="minorEastAsia"/>
                <w:sz w:val="24"/>
                <w:szCs w:val="24"/>
              </w:rPr>
              <w:t>IDMN (inverse difference moment normalized)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</w:t>
            </w:r>
            <w:r>
              <w:rPr>
                <w:rFonts w:eastAsiaTheme="minorEastAsia"/>
                <w:sz w:val="24"/>
                <w:szCs w:val="24"/>
              </w:rPr>
              <w:t>ID (inverse difference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18.I</w:t>
            </w:r>
            <w:r>
              <w:rPr>
                <w:rFonts w:eastAsiaTheme="minorEastAsia"/>
                <w:sz w:val="24"/>
                <w:szCs w:val="24"/>
              </w:rPr>
              <w:t>nverse difference normalized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19.Inverse variance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</w:t>
            </w:r>
            <w:r>
              <w:rPr>
                <w:rFonts w:eastAsiaTheme="minorEastAsia"/>
                <w:sz w:val="24"/>
                <w:szCs w:val="24"/>
              </w:rPr>
              <w:t>MCC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</w:t>
            </w:r>
            <w:r>
              <w:rPr>
                <w:rFonts w:eastAsiaTheme="minorEastAsia"/>
                <w:sz w:val="24"/>
                <w:szCs w:val="24"/>
              </w:rPr>
              <w:t>Maximum Probability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</w:t>
            </w:r>
            <w:r>
              <w:rPr>
                <w:rFonts w:eastAsiaTheme="minorEastAsia"/>
                <w:sz w:val="24"/>
                <w:szCs w:val="24"/>
              </w:rPr>
              <w:t>Sum Average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23.</w:t>
            </w:r>
            <w:r>
              <w:rPr>
                <w:rFonts w:eastAsiaTheme="minorEastAsia"/>
                <w:sz w:val="24"/>
                <w:szCs w:val="24"/>
              </w:rPr>
              <w:t>Sum Entropy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</w:t>
            </w:r>
            <w:r>
              <w:rPr>
                <w:rFonts w:eastAsiaTheme="minorEastAsia"/>
                <w:sz w:val="24"/>
                <w:szCs w:val="24"/>
              </w:rPr>
              <w:t>Sum of Squares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Gray Level Size Zone Matrix (GLSZM)</w:t>
            </w:r>
          </w:p>
        </w:tc>
        <w:tc>
          <w:tcPr>
            <w:tcW w:w="3403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6095" w:type="dxa"/>
            <w:tcBorders>
              <w:top w:val="single" w:color="auto" w:sz="4" w:space="0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>
              <w:rPr>
                <w:rFonts w:eastAsiaTheme="minorEastAsia"/>
                <w:sz w:val="24"/>
                <w:szCs w:val="24"/>
              </w:rPr>
              <w:t>SAE (small area emphasis)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>
              <w:rPr>
                <w:rFonts w:eastAsiaTheme="minorEastAsia"/>
                <w:sz w:val="24"/>
                <w:szCs w:val="24"/>
              </w:rPr>
              <w:t>LAE (large area emphasis)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  <w:r>
              <w:rPr>
                <w:rFonts w:eastAsiaTheme="minorEastAsia"/>
                <w:sz w:val="24"/>
                <w:szCs w:val="24"/>
              </w:rPr>
              <w:t>GLN (gray level non-uniformity)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  <w:r>
              <w:rPr>
                <w:rFonts w:eastAsiaTheme="minorEastAsia"/>
                <w:sz w:val="24"/>
                <w:szCs w:val="24"/>
              </w:rPr>
              <w:t>GLNN (gray level non-uniformity normalized)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5.SZN (size zone non-uniformity)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  <w:r>
              <w:rPr>
                <w:rFonts w:eastAsiaTheme="minorEastAsia"/>
                <w:sz w:val="24"/>
                <w:szCs w:val="24"/>
              </w:rPr>
              <w:t>SZNN (size zone non-uniformity normalized)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" w:hRule="atLeast"/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  <w:r>
              <w:rPr>
                <w:rFonts w:eastAsiaTheme="minorEastAsia"/>
                <w:sz w:val="24"/>
                <w:szCs w:val="24"/>
              </w:rPr>
              <w:t>ZP (Zone Percentage)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  <w:r>
              <w:rPr>
                <w:rFonts w:eastAsiaTheme="minorEastAsia"/>
                <w:sz w:val="24"/>
                <w:szCs w:val="24"/>
              </w:rPr>
              <w:t>Gray level variance (GLV)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  <w:r>
              <w:rPr>
                <w:rFonts w:eastAsiaTheme="minorEastAsia"/>
                <w:sz w:val="24"/>
                <w:szCs w:val="24"/>
              </w:rPr>
              <w:t>Zone Variance (ZV)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" w:hRule="atLeast"/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  <w:r>
              <w:rPr>
                <w:rFonts w:eastAsiaTheme="minorEastAsia"/>
                <w:sz w:val="24"/>
                <w:szCs w:val="24"/>
              </w:rPr>
              <w:t>Zone Entropy (ZE)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  <w:r>
              <w:rPr>
                <w:rFonts w:eastAsiaTheme="minorEastAsia"/>
                <w:sz w:val="24"/>
                <w:szCs w:val="24"/>
              </w:rPr>
              <w:t>LGLZE (low gray level zone emphasis)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  <w:r>
              <w:rPr>
                <w:rFonts w:eastAsiaTheme="minorEastAsia"/>
                <w:sz w:val="24"/>
                <w:szCs w:val="24"/>
              </w:rPr>
              <w:t>HGLZE (high gray level zone emphasis)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</w:t>
            </w:r>
            <w:r>
              <w:rPr>
                <w:rFonts w:eastAsiaTheme="minorEastAsia"/>
                <w:sz w:val="24"/>
                <w:szCs w:val="24"/>
              </w:rPr>
              <w:t>SALGLE (small area low gray level emphasis)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</w:t>
            </w:r>
            <w:r>
              <w:rPr>
                <w:rFonts w:eastAsiaTheme="minorEastAsia"/>
                <w:sz w:val="24"/>
                <w:szCs w:val="24"/>
              </w:rPr>
              <w:t>SAHGLE (small area high gray level emphasis)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</w:t>
            </w:r>
            <w:r>
              <w:rPr>
                <w:rFonts w:eastAsiaTheme="minorEastAsia"/>
                <w:sz w:val="24"/>
                <w:szCs w:val="24"/>
              </w:rPr>
              <w:t>LALGLE (low area low gray level emphasis)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rFonts w:eastAsiaTheme="minorEastAsia"/>
                <w:sz w:val="24"/>
                <w:szCs w:val="24"/>
              </w:rPr>
            </w:pPr>
            <w:r>
              <w:rPr>
                <w:sz w:val="24"/>
                <w:szCs w:val="24"/>
              </w:rPr>
              <w:t>16.</w:t>
            </w:r>
            <w:r>
              <w:rPr>
                <w:rFonts w:eastAsiaTheme="minorEastAsia"/>
                <w:sz w:val="24"/>
                <w:szCs w:val="24"/>
              </w:rPr>
              <w:t>LAHGLE (low area high gray level emphasis)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Gray Level Run Length Matrix (GLRLM)</w:t>
            </w:r>
          </w:p>
        </w:tc>
        <w:tc>
          <w:tcPr>
            <w:tcW w:w="3403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6095" w:type="dxa"/>
            <w:tcBorders>
              <w:top w:val="single" w:color="auto" w:sz="4" w:space="0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>
              <w:rPr>
                <w:rFonts w:eastAsiaTheme="minorEastAsia"/>
                <w:sz w:val="24"/>
                <w:szCs w:val="24"/>
              </w:rPr>
              <w:t>SRE (Short Run Emphasis)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>
              <w:rPr>
                <w:rFonts w:eastAsiaTheme="minorEastAsia"/>
                <w:sz w:val="24"/>
                <w:szCs w:val="24"/>
              </w:rPr>
              <w:t>LRE (Long Run Emphasis)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  <w:r>
              <w:rPr>
                <w:rFonts w:eastAsiaTheme="minorEastAsia"/>
                <w:sz w:val="24"/>
                <w:szCs w:val="24"/>
              </w:rPr>
              <w:t>GLN (Gray Level Non-uniformity)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  <w:r>
              <w:rPr>
                <w:rFonts w:eastAsiaTheme="minorEastAsia"/>
                <w:sz w:val="24"/>
                <w:szCs w:val="24"/>
              </w:rPr>
              <w:t>GLNN (Gray Level Non-uniformity Normalized)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5.RLN (Run Length Non-uniformity)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6.RLNN (Run Length Non-uniformity)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  <w:r>
              <w:rPr>
                <w:rFonts w:eastAsiaTheme="minorEastAsia"/>
                <w:sz w:val="24"/>
                <w:szCs w:val="24"/>
              </w:rPr>
              <w:t>RP (Run Percentage)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  <w:r>
              <w:rPr>
                <w:rFonts w:eastAsiaTheme="minorEastAsia"/>
                <w:sz w:val="24"/>
                <w:szCs w:val="24"/>
              </w:rPr>
              <w:t>GLV (Gray Level Variance)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  <w:r>
              <w:rPr>
                <w:rFonts w:eastAsiaTheme="minorEastAsia"/>
                <w:sz w:val="24"/>
                <w:szCs w:val="24"/>
              </w:rPr>
              <w:t>RV (Run Variance)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  <w:r>
              <w:rPr>
                <w:rFonts w:eastAsiaTheme="minorEastAsia"/>
                <w:sz w:val="24"/>
                <w:szCs w:val="24"/>
              </w:rPr>
              <w:t>RE (Run Entropy)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  <w:r>
              <w:rPr>
                <w:rFonts w:eastAsiaTheme="minorEastAsia"/>
                <w:sz w:val="24"/>
                <w:szCs w:val="24"/>
              </w:rPr>
              <w:t>LGLRE (low gray level run emphasis)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" w:hRule="atLeast"/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  <w:r>
              <w:rPr>
                <w:rFonts w:eastAsiaTheme="minorEastAsia"/>
                <w:sz w:val="24"/>
                <w:szCs w:val="24"/>
              </w:rPr>
              <w:t>HGLRE (high gray level run emphasis)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</w:t>
            </w:r>
            <w:r>
              <w:rPr>
                <w:rFonts w:eastAsiaTheme="minorEastAsia"/>
                <w:sz w:val="24"/>
                <w:szCs w:val="24"/>
              </w:rPr>
              <w:t>SRLGLE (short run low gray level emphasis)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</w:t>
            </w:r>
            <w:r>
              <w:rPr>
                <w:rFonts w:eastAsiaTheme="minorEastAsia"/>
                <w:sz w:val="24"/>
                <w:szCs w:val="24"/>
              </w:rPr>
              <w:t>SRHGLE (short run high gray level emphasis)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</w:t>
            </w:r>
            <w:r>
              <w:rPr>
                <w:rFonts w:eastAsiaTheme="minorEastAsia"/>
                <w:sz w:val="24"/>
                <w:szCs w:val="24"/>
              </w:rPr>
              <w:t>LRLGLRE (long run low gray level emphasis)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</w:t>
            </w:r>
            <w:r>
              <w:rPr>
                <w:rFonts w:eastAsiaTheme="minorEastAsia"/>
                <w:sz w:val="24"/>
                <w:szCs w:val="24"/>
              </w:rPr>
              <w:t>LRHGLRE (long run high gray level run emphasis)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" w:hRule="atLeast"/>
          <w:jc w:val="center"/>
        </w:trPr>
        <w:tc>
          <w:tcPr>
            <w:tcW w:w="2552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Neigbouring Gray Tone Difference Matrix (NGTDM)</w:t>
            </w:r>
          </w:p>
        </w:tc>
        <w:tc>
          <w:tcPr>
            <w:tcW w:w="3403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6095" w:type="dxa"/>
            <w:tcBorders>
              <w:top w:val="single" w:color="auto" w:sz="4" w:space="0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>
              <w:rPr>
                <w:rFonts w:eastAsiaTheme="minorEastAsia"/>
                <w:sz w:val="24"/>
                <w:szCs w:val="24"/>
              </w:rPr>
              <w:t>Coarseness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" w:hRule="atLeast"/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>
              <w:rPr>
                <w:rFonts w:eastAsiaTheme="minorEastAsia"/>
                <w:sz w:val="24"/>
                <w:szCs w:val="24"/>
              </w:rPr>
              <w:t>Contrast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" w:hRule="atLeast"/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3.B</w:t>
            </w:r>
            <w:r>
              <w:rPr>
                <w:rFonts w:eastAsiaTheme="minorEastAsia"/>
                <w:sz w:val="24"/>
                <w:szCs w:val="24"/>
              </w:rPr>
              <w:t>usyness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" w:hRule="atLeast"/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4.C</w:t>
            </w:r>
            <w:r>
              <w:rPr>
                <w:rFonts w:eastAsiaTheme="minorEastAsia"/>
                <w:sz w:val="24"/>
                <w:szCs w:val="24"/>
              </w:rPr>
              <w:t>omplex</w:t>
            </w:r>
            <w:r>
              <w:rPr>
                <w:sz w:val="24"/>
                <w:szCs w:val="24"/>
              </w:rPr>
              <w:t>ity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5.Strength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Gray Level Dependence Matrix (GLDM)</w:t>
            </w:r>
          </w:p>
        </w:tc>
        <w:tc>
          <w:tcPr>
            <w:tcW w:w="3403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6095" w:type="dxa"/>
            <w:tcBorders>
              <w:top w:val="single" w:color="auto" w:sz="4" w:space="0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>
              <w:rPr>
                <w:rFonts w:eastAsiaTheme="minorEastAsia"/>
                <w:sz w:val="24"/>
                <w:szCs w:val="24"/>
              </w:rPr>
              <w:t>SDE (Small Dependence Emphasis)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>
              <w:rPr>
                <w:rFonts w:eastAsiaTheme="minorEastAsia"/>
                <w:sz w:val="24"/>
                <w:szCs w:val="24"/>
              </w:rPr>
              <w:t>LDE (Large Dependence Emphasis)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  <w:r>
              <w:rPr>
                <w:rFonts w:eastAsiaTheme="minorEastAsia"/>
                <w:sz w:val="24"/>
                <w:szCs w:val="24"/>
              </w:rPr>
              <w:t>GLN (Gray Level Non-Uniformity)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4.DN (Dependence Non-Uniformity)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  <w:r>
              <w:rPr>
                <w:rFonts w:eastAsiaTheme="minorEastAsia"/>
                <w:sz w:val="24"/>
                <w:szCs w:val="24"/>
              </w:rPr>
              <w:t>DNN (Dependence Non-Uniformity Normalized)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" w:hRule="atLeast"/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  <w:r>
              <w:rPr>
                <w:rFonts w:eastAsiaTheme="minorEastAsia"/>
                <w:sz w:val="24"/>
                <w:szCs w:val="24"/>
              </w:rPr>
              <w:t>GLV (Gray Level Variance)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  <w:r>
              <w:rPr>
                <w:rFonts w:eastAsiaTheme="minorEastAsia"/>
                <w:sz w:val="24"/>
                <w:szCs w:val="24"/>
              </w:rPr>
              <w:t>DV (Dependence Variance)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  <w:r>
              <w:rPr>
                <w:rFonts w:eastAsiaTheme="minorEastAsia"/>
                <w:sz w:val="24"/>
                <w:szCs w:val="24"/>
              </w:rPr>
              <w:t>DE (Dependence Entropy)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  <w:r>
              <w:rPr>
                <w:rFonts w:eastAsiaTheme="minorEastAsia"/>
                <w:sz w:val="24"/>
                <w:szCs w:val="24"/>
              </w:rPr>
              <w:t>LGLE (Low Gray Level Emphasis)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  <w:r>
              <w:rPr>
                <w:rFonts w:eastAsiaTheme="minorEastAsia"/>
                <w:sz w:val="24"/>
                <w:szCs w:val="24"/>
              </w:rPr>
              <w:t>HGLE (High Gray Level Emphasis)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  <w:r>
              <w:rPr>
                <w:rFonts w:eastAsiaTheme="minorEastAsia"/>
                <w:sz w:val="24"/>
                <w:szCs w:val="24"/>
              </w:rPr>
              <w:t>SDLGLE (Small Dependence Low Gray Level Emphasis)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  <w:r>
              <w:rPr>
                <w:rFonts w:eastAsiaTheme="minorEastAsia"/>
                <w:sz w:val="24"/>
                <w:szCs w:val="24"/>
              </w:rPr>
              <w:t>SDHGLE (Small Dependence High Gray Level Emphasis)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</w:t>
            </w:r>
            <w:r>
              <w:rPr>
                <w:rFonts w:eastAsiaTheme="minorEastAsia"/>
                <w:sz w:val="24"/>
                <w:szCs w:val="24"/>
              </w:rPr>
              <w:t>LDLGLE (Large Dependence Low Gray Level Emphasis)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3403" w:type="dxa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</w:t>
            </w:r>
            <w:r>
              <w:rPr>
                <w:rFonts w:eastAsiaTheme="minorEastAsia"/>
                <w:sz w:val="24"/>
                <w:szCs w:val="24"/>
              </w:rPr>
              <w:t>LDHGLE (Large Dependence High Gray Level Emphasis)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Wavelet transform</w:t>
            </w:r>
          </w:p>
        </w:tc>
        <w:tc>
          <w:tcPr>
            <w:tcW w:w="340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744</w:t>
            </w:r>
          </w:p>
        </w:tc>
        <w:tc>
          <w:tcPr>
            <w:tcW w:w="6095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Wavelet features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LoG transform</w:t>
            </w:r>
          </w:p>
        </w:tc>
        <w:tc>
          <w:tcPr>
            <w:tcW w:w="340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186</w:t>
            </w:r>
          </w:p>
        </w:tc>
        <w:tc>
          <w:tcPr>
            <w:tcW w:w="6095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Laplacian (LoGsigma=2.0/3.0) features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52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LBP transform</w:t>
            </w:r>
          </w:p>
        </w:tc>
        <w:tc>
          <w:tcPr>
            <w:tcW w:w="340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279</w:t>
            </w:r>
          </w:p>
        </w:tc>
        <w:tc>
          <w:tcPr>
            <w:tcW w:w="6095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L</w:t>
            </w:r>
            <w:r>
              <w:rPr>
                <w:sz w:val="24"/>
                <w:szCs w:val="24"/>
              </w:rPr>
              <w:t xml:space="preserve">ocal 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B</w:t>
            </w:r>
            <w:r>
              <w:rPr>
                <w:sz w:val="24"/>
                <w:szCs w:val="24"/>
              </w:rPr>
              <w:t xml:space="preserve">inary 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P</w:t>
            </w:r>
            <w:r>
              <w:rPr>
                <w:sz w:val="24"/>
                <w:szCs w:val="24"/>
              </w:rPr>
              <w:t>attern features</w:t>
            </w:r>
          </w:p>
        </w:tc>
      </w:tr>
    </w:tbl>
    <w:p>
      <w:pPr>
        <w:autoSpaceDE w:val="0"/>
        <w:autoSpaceDN w:val="0"/>
        <w:spacing w:line="360" w:lineRule="auto"/>
        <w:rPr>
          <w:color w:val="000000"/>
          <w:sz w:val="24"/>
          <w:szCs w:val="24"/>
        </w:rPr>
      </w:pPr>
    </w:p>
    <w:p>
      <w:pPr>
        <w:autoSpaceDE w:val="0"/>
        <w:autoSpaceDN w:val="0"/>
        <w:spacing w:line="360" w:lineRule="auto"/>
        <w:rPr>
          <w:color w:val="000000"/>
          <w:sz w:val="24"/>
          <w:szCs w:val="24"/>
        </w:rPr>
        <w:sectPr>
          <w:pgSz w:w="16838" w:h="11906" w:orient="landscape"/>
          <w:pgMar w:top="1800" w:right="1440" w:bottom="1800" w:left="1440" w:header="708" w:footer="708" w:gutter="0"/>
          <w:cols w:space="708" w:num="1"/>
          <w:docGrid w:linePitch="360" w:charSpace="0"/>
        </w:sectPr>
      </w:pPr>
    </w:p>
    <w:p>
      <w:pPr>
        <w:autoSpaceDE w:val="0"/>
        <w:autoSpaceDN w:val="0"/>
        <w:spacing w:line="360" w:lineRule="auto"/>
        <w:rPr>
          <w:rFonts w:ascii="TimesNewRomanPSMT" w:hAnsi="TimesNewRomanPSMT" w:eastAsia="TimesNewRomanPSMT" w:cs="TimesNewRomanPSMT"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Table S</w:t>
      </w:r>
      <w:r>
        <w:rPr>
          <w:rFonts w:hint="eastAsia"/>
          <w:b/>
          <w:bCs/>
          <w:color w:val="000000"/>
          <w:sz w:val="24"/>
          <w:szCs w:val="24"/>
        </w:rPr>
        <w:t>2.</w:t>
      </w:r>
      <w:r>
        <w:rPr>
          <w:rFonts w:hint="eastAsia"/>
          <w:color w:val="000000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Demographics and clinical characteristics of the chemotherapy cohorts, categorized by responders and nonresponders</w:t>
      </w:r>
    </w:p>
    <w:tbl>
      <w:tblPr>
        <w:tblStyle w:val="5"/>
        <w:tblW w:w="9340" w:type="dxa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895"/>
        <w:gridCol w:w="1133"/>
        <w:gridCol w:w="1720"/>
        <w:gridCol w:w="1924"/>
        <w:gridCol w:w="1668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9" w:hRule="atLeast"/>
        </w:trPr>
        <w:tc>
          <w:tcPr>
            <w:tcW w:w="298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ascii="Arial" w:hAnsi="Arial" w:cs="Arial"/>
                <w:b/>
                <w:bCs/>
                <w:sz w:val="36"/>
                <w:szCs w:val="36"/>
              </w:rPr>
            </w:pPr>
            <w:r>
              <w:rPr>
                <w:rFonts w:eastAsiaTheme="minorEastAsia"/>
                <w:b/>
                <w:bCs/>
                <w:color w:val="000000" w:themeColor="text1"/>
                <w:kern w:val="24"/>
                <w:sz w:val="24"/>
                <w:szCs w:val="24"/>
              </w:rPr>
              <w:t>Variables</w:t>
            </w:r>
          </w:p>
        </w:tc>
        <w:tc>
          <w:tcPr>
            <w:tcW w:w="114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b/>
                <w:bCs/>
                <w:sz w:val="36"/>
                <w:szCs w:val="36"/>
              </w:rPr>
            </w:pPr>
            <w:r>
              <w:rPr>
                <w:b/>
                <w:bCs/>
                <w:color w:val="000000" w:themeColor="text1"/>
                <w:kern w:val="24"/>
                <w:sz w:val="24"/>
                <w:szCs w:val="24"/>
              </w:rPr>
              <w:t>Sample</w:t>
            </w:r>
          </w:p>
        </w:tc>
        <w:tc>
          <w:tcPr>
            <w:tcW w:w="174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b/>
                <w:bCs/>
                <w:sz w:val="36"/>
                <w:szCs w:val="36"/>
              </w:rPr>
            </w:pPr>
            <w:r>
              <w:rPr>
                <w:b/>
                <w:bCs/>
                <w:color w:val="000000" w:themeColor="text1"/>
                <w:kern w:val="24"/>
                <w:sz w:val="24"/>
                <w:szCs w:val="24"/>
              </w:rPr>
              <w:t>Responders</w:t>
            </w:r>
          </w:p>
        </w:tc>
        <w:tc>
          <w:tcPr>
            <w:tcW w:w="174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b/>
                <w:bCs/>
                <w:sz w:val="36"/>
                <w:szCs w:val="36"/>
              </w:rPr>
            </w:pPr>
            <w:r>
              <w:rPr>
                <w:b/>
                <w:bCs/>
                <w:color w:val="000000" w:themeColor="text1"/>
                <w:kern w:val="24"/>
                <w:sz w:val="24"/>
                <w:szCs w:val="24"/>
              </w:rPr>
              <w:t>Non-responders</w:t>
            </w:r>
          </w:p>
        </w:tc>
        <w:tc>
          <w:tcPr>
            <w:tcW w:w="174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b/>
                <w:bCs/>
                <w:sz w:val="36"/>
                <w:szCs w:val="36"/>
              </w:rPr>
            </w:pPr>
            <w:r>
              <w:rPr>
                <w:b/>
                <w:bCs/>
                <w:i/>
                <w:iCs/>
                <w:color w:val="000000" w:themeColor="text1"/>
                <w:kern w:val="24"/>
                <w:sz w:val="24"/>
                <w:szCs w:val="24"/>
              </w:rPr>
              <w:t>P Value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9" w:hRule="atLeast"/>
        </w:trPr>
        <w:tc>
          <w:tcPr>
            <w:tcW w:w="2980" w:type="dxa"/>
            <w:tcBorders>
              <w:top w:val="single" w:color="auto" w:sz="4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eastAsiaTheme="minorEastAsia"/>
                <w:color w:val="000000" w:themeColor="text1"/>
                <w:kern w:val="24"/>
                <w:sz w:val="24"/>
                <w:szCs w:val="24"/>
              </w:rPr>
              <w:t>Age, madian</w:t>
            </w:r>
          </w:p>
        </w:tc>
        <w:tc>
          <w:tcPr>
            <w:tcW w:w="1140" w:type="dxa"/>
            <w:tcBorders>
              <w:top w:val="single" w:color="auto" w:sz="4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bookmarkStart w:id="1" w:name="_GoBack"/>
            <w:bookmarkEnd w:id="1"/>
          </w:p>
        </w:tc>
        <w:tc>
          <w:tcPr>
            <w:tcW w:w="1740" w:type="dxa"/>
            <w:tcBorders>
              <w:top w:val="single" w:color="auto" w:sz="4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text1"/>
                <w:kern w:val="24"/>
                <w:sz w:val="24"/>
                <w:szCs w:val="24"/>
              </w:rPr>
              <w:t>60 (56, 66)</w:t>
            </w:r>
          </w:p>
        </w:tc>
        <w:tc>
          <w:tcPr>
            <w:tcW w:w="1740" w:type="dxa"/>
            <w:tcBorders>
              <w:top w:val="single" w:color="auto" w:sz="4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text1"/>
                <w:kern w:val="24"/>
                <w:sz w:val="24"/>
                <w:szCs w:val="24"/>
              </w:rPr>
              <w:t>58 (51, 63)</w:t>
            </w:r>
          </w:p>
        </w:tc>
        <w:tc>
          <w:tcPr>
            <w:tcW w:w="1740" w:type="dxa"/>
            <w:tcBorders>
              <w:top w:val="single" w:color="auto" w:sz="4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text1"/>
                <w:kern w:val="24"/>
                <w:sz w:val="24"/>
                <w:szCs w:val="24"/>
              </w:rPr>
              <w:t>0.17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9" w:hRule="atLeast"/>
        </w:trPr>
        <w:tc>
          <w:tcPr>
            <w:tcW w:w="298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eastAsiaTheme="minorEastAsia"/>
                <w:color w:val="000000" w:themeColor="text1"/>
                <w:kern w:val="24"/>
                <w:sz w:val="24"/>
                <w:szCs w:val="24"/>
              </w:rPr>
              <w:t>Sex, No. (%)</w:t>
            </w:r>
          </w:p>
        </w:tc>
        <w:tc>
          <w:tcPr>
            <w:tcW w:w="11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ascii="Arial" w:hAnsi="Arial" w:cs="Arial"/>
                <w:sz w:val="36"/>
                <w:szCs w:val="36"/>
              </w:rPr>
            </w:pP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text1"/>
                <w:kern w:val="24"/>
                <w:sz w:val="24"/>
                <w:szCs w:val="24"/>
              </w:rPr>
              <w:t>0.30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9" w:hRule="atLeast"/>
        </w:trPr>
        <w:tc>
          <w:tcPr>
            <w:tcW w:w="298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eastAsiaTheme="minorEastAsia"/>
                <w:color w:val="000000" w:themeColor="text1"/>
                <w:kern w:val="24"/>
                <w:sz w:val="24"/>
                <w:szCs w:val="24"/>
              </w:rPr>
              <w:t xml:space="preserve">           Male</w:t>
            </w:r>
          </w:p>
        </w:tc>
        <w:tc>
          <w:tcPr>
            <w:tcW w:w="11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text1"/>
                <w:kern w:val="24"/>
                <w:sz w:val="24"/>
                <w:szCs w:val="24"/>
              </w:rPr>
              <w:t>26</w:t>
            </w: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text1"/>
                <w:kern w:val="24"/>
                <w:sz w:val="24"/>
                <w:szCs w:val="24"/>
              </w:rPr>
              <w:t>18 (75.00%)</w:t>
            </w: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text1"/>
                <w:kern w:val="24"/>
                <w:sz w:val="24"/>
                <w:szCs w:val="24"/>
              </w:rPr>
              <w:t>8 (100.00%)</w:t>
            </w: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ascii="Arial" w:hAnsi="Arial" w:cs="Arial"/>
                <w:sz w:val="36"/>
                <w:szCs w:val="36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9" w:hRule="atLeast"/>
        </w:trPr>
        <w:tc>
          <w:tcPr>
            <w:tcW w:w="298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eastAsiaTheme="minorEastAsia"/>
                <w:color w:val="000000" w:themeColor="text1"/>
                <w:kern w:val="24"/>
                <w:sz w:val="24"/>
                <w:szCs w:val="24"/>
              </w:rPr>
              <w:t xml:space="preserve">           Female</w:t>
            </w:r>
          </w:p>
        </w:tc>
        <w:tc>
          <w:tcPr>
            <w:tcW w:w="11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text1"/>
                <w:kern w:val="24"/>
                <w:sz w:val="24"/>
                <w:szCs w:val="24"/>
              </w:rPr>
              <w:t>6</w:t>
            </w: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text1"/>
                <w:kern w:val="24"/>
                <w:sz w:val="24"/>
                <w:szCs w:val="24"/>
              </w:rPr>
              <w:t>6 (25.00%)</w:t>
            </w: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text1"/>
                <w:kern w:val="24"/>
                <w:sz w:val="24"/>
                <w:szCs w:val="24"/>
              </w:rPr>
              <w:t>0 (0.00%)</w:t>
            </w: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ascii="Arial" w:hAnsi="Arial" w:cs="Arial"/>
                <w:sz w:val="36"/>
                <w:szCs w:val="36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9" w:hRule="atLeast"/>
        </w:trPr>
        <w:tc>
          <w:tcPr>
            <w:tcW w:w="298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text1"/>
                <w:kern w:val="24"/>
                <w:sz w:val="24"/>
                <w:szCs w:val="24"/>
              </w:rPr>
              <w:t>Smoking history, No. (%)</w:t>
            </w:r>
          </w:p>
        </w:tc>
        <w:tc>
          <w:tcPr>
            <w:tcW w:w="11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ascii="Arial" w:hAnsi="Arial" w:cs="Arial"/>
                <w:sz w:val="36"/>
                <w:szCs w:val="36"/>
              </w:rPr>
            </w:pP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text1"/>
                <w:kern w:val="24"/>
                <w:sz w:val="24"/>
                <w:szCs w:val="24"/>
              </w:rPr>
              <w:t>1.0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9" w:hRule="atLeast"/>
        </w:trPr>
        <w:tc>
          <w:tcPr>
            <w:tcW w:w="298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text1"/>
                <w:kern w:val="24"/>
                <w:sz w:val="24"/>
                <w:szCs w:val="24"/>
              </w:rPr>
              <w:t xml:space="preserve">          Non-smokers</w:t>
            </w:r>
          </w:p>
        </w:tc>
        <w:tc>
          <w:tcPr>
            <w:tcW w:w="11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dark1"/>
                <w:kern w:val="24"/>
                <w:sz w:val="24"/>
                <w:szCs w:val="24"/>
              </w:rPr>
              <w:t>6</w:t>
            </w: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dark1"/>
                <w:kern w:val="24"/>
                <w:sz w:val="24"/>
                <w:szCs w:val="24"/>
              </w:rPr>
              <w:t>5 (20.83%)</w:t>
            </w: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dark1"/>
                <w:kern w:val="24"/>
                <w:sz w:val="24"/>
                <w:szCs w:val="24"/>
              </w:rPr>
              <w:t>1 (12.50%)</w:t>
            </w: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ascii="Arial" w:hAnsi="Arial" w:cs="Arial"/>
                <w:sz w:val="36"/>
                <w:szCs w:val="36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9" w:hRule="atLeast"/>
        </w:trPr>
        <w:tc>
          <w:tcPr>
            <w:tcW w:w="298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text1"/>
                <w:kern w:val="24"/>
                <w:sz w:val="24"/>
                <w:szCs w:val="24"/>
              </w:rPr>
              <w:t xml:space="preserve">          Smokers</w:t>
            </w:r>
          </w:p>
        </w:tc>
        <w:tc>
          <w:tcPr>
            <w:tcW w:w="11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dark1"/>
                <w:kern w:val="24"/>
                <w:sz w:val="24"/>
                <w:szCs w:val="24"/>
              </w:rPr>
              <w:t>26</w:t>
            </w: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dark1"/>
                <w:kern w:val="24"/>
                <w:sz w:val="24"/>
                <w:szCs w:val="24"/>
              </w:rPr>
              <w:t>19 (79.17%)</w:t>
            </w: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dark1"/>
                <w:kern w:val="24"/>
                <w:sz w:val="24"/>
                <w:szCs w:val="24"/>
              </w:rPr>
              <w:t>7 (87.50%)</w:t>
            </w: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ascii="Arial" w:hAnsi="Arial" w:cs="Arial"/>
                <w:sz w:val="36"/>
                <w:szCs w:val="36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9" w:hRule="atLeast"/>
        </w:trPr>
        <w:tc>
          <w:tcPr>
            <w:tcW w:w="298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text1"/>
                <w:kern w:val="24"/>
                <w:sz w:val="24"/>
                <w:szCs w:val="24"/>
              </w:rPr>
              <w:t>Pathological type, No. (%)</w:t>
            </w:r>
          </w:p>
        </w:tc>
        <w:tc>
          <w:tcPr>
            <w:tcW w:w="11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ascii="Arial" w:hAnsi="Arial" w:cs="Arial"/>
                <w:sz w:val="36"/>
                <w:szCs w:val="36"/>
              </w:rPr>
            </w:pP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text1"/>
                <w:kern w:val="24"/>
                <w:sz w:val="24"/>
                <w:szCs w:val="24"/>
              </w:rPr>
              <w:t>1.0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9" w:hRule="atLeast"/>
        </w:trPr>
        <w:tc>
          <w:tcPr>
            <w:tcW w:w="298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text1"/>
                <w:kern w:val="24"/>
                <w:sz w:val="24"/>
                <w:szCs w:val="24"/>
              </w:rPr>
              <w:t xml:space="preserve">           Adenocarcinoma</w:t>
            </w:r>
          </w:p>
        </w:tc>
        <w:tc>
          <w:tcPr>
            <w:tcW w:w="11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dark1"/>
                <w:kern w:val="24"/>
                <w:sz w:val="24"/>
                <w:szCs w:val="24"/>
              </w:rPr>
              <w:t>24</w:t>
            </w: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dark1"/>
                <w:kern w:val="24"/>
                <w:sz w:val="24"/>
                <w:szCs w:val="24"/>
              </w:rPr>
              <w:t>18(75.00%)</w:t>
            </w: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dark1"/>
                <w:kern w:val="24"/>
                <w:sz w:val="24"/>
                <w:szCs w:val="24"/>
              </w:rPr>
              <w:t>6(75.00%)</w:t>
            </w: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ascii="Arial" w:hAnsi="Arial" w:cs="Arial"/>
                <w:sz w:val="36"/>
                <w:szCs w:val="36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9" w:hRule="atLeast"/>
        </w:trPr>
        <w:tc>
          <w:tcPr>
            <w:tcW w:w="298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text1"/>
                <w:kern w:val="24"/>
                <w:sz w:val="24"/>
                <w:szCs w:val="24"/>
              </w:rPr>
              <w:t xml:space="preserve">          Others</w:t>
            </w:r>
          </w:p>
        </w:tc>
        <w:tc>
          <w:tcPr>
            <w:tcW w:w="11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dark1"/>
                <w:kern w:val="24"/>
                <w:sz w:val="24"/>
                <w:szCs w:val="24"/>
              </w:rPr>
              <w:t>8</w:t>
            </w: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dark1"/>
                <w:kern w:val="24"/>
                <w:sz w:val="24"/>
                <w:szCs w:val="24"/>
              </w:rPr>
              <w:t>6(25.00%)</w:t>
            </w: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dark1"/>
                <w:kern w:val="24"/>
                <w:sz w:val="24"/>
                <w:szCs w:val="24"/>
              </w:rPr>
              <w:t>2(25.00%)</w:t>
            </w: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ascii="Arial" w:hAnsi="Arial" w:cs="Arial"/>
                <w:sz w:val="36"/>
                <w:szCs w:val="36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9" w:hRule="atLeast"/>
        </w:trPr>
        <w:tc>
          <w:tcPr>
            <w:tcW w:w="298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text1"/>
                <w:kern w:val="24"/>
                <w:sz w:val="24"/>
                <w:szCs w:val="24"/>
              </w:rPr>
              <w:t>Distant metastasis, No. (%)</w:t>
            </w:r>
          </w:p>
        </w:tc>
        <w:tc>
          <w:tcPr>
            <w:tcW w:w="11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ascii="Arial" w:hAnsi="Arial" w:cs="Arial"/>
                <w:sz w:val="36"/>
                <w:szCs w:val="36"/>
              </w:rPr>
            </w:pP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text1"/>
                <w:kern w:val="24"/>
                <w:sz w:val="24"/>
                <w:szCs w:val="24"/>
              </w:rPr>
              <w:t>0.15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9" w:hRule="atLeast"/>
        </w:trPr>
        <w:tc>
          <w:tcPr>
            <w:tcW w:w="298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dark1"/>
                <w:kern w:val="24"/>
                <w:sz w:val="24"/>
                <w:szCs w:val="24"/>
              </w:rPr>
              <w:t xml:space="preserve">          Absence</w:t>
            </w:r>
          </w:p>
        </w:tc>
        <w:tc>
          <w:tcPr>
            <w:tcW w:w="11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dark1"/>
                <w:kern w:val="24"/>
                <w:sz w:val="24"/>
                <w:szCs w:val="24"/>
              </w:rPr>
              <w:t>7</w:t>
            </w: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dark1"/>
                <w:kern w:val="24"/>
                <w:sz w:val="24"/>
                <w:szCs w:val="24"/>
              </w:rPr>
              <w:t>7(29.17%)</w:t>
            </w: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dark1"/>
                <w:kern w:val="24"/>
                <w:sz w:val="24"/>
                <w:szCs w:val="24"/>
              </w:rPr>
              <w:t>0(0.00%)</w:t>
            </w: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ascii="Arial" w:hAnsi="Arial" w:cs="Arial"/>
                <w:sz w:val="36"/>
                <w:szCs w:val="36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9" w:hRule="atLeast"/>
        </w:trPr>
        <w:tc>
          <w:tcPr>
            <w:tcW w:w="2980" w:type="dxa"/>
            <w:tcBorders>
              <w:top w:val="single" w:color="FFFFFF" w:sz="8" w:space="0"/>
              <w:left w:val="single" w:color="FFFFFF" w:sz="8" w:space="0"/>
              <w:bottom w:val="single" w:color="000000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text1"/>
                <w:kern w:val="24"/>
                <w:sz w:val="24"/>
                <w:szCs w:val="24"/>
              </w:rPr>
              <w:t xml:space="preserve">          Presence</w:t>
            </w:r>
          </w:p>
        </w:tc>
        <w:tc>
          <w:tcPr>
            <w:tcW w:w="1140" w:type="dxa"/>
            <w:tcBorders>
              <w:top w:val="single" w:color="FFFFFF" w:sz="8" w:space="0"/>
              <w:left w:val="single" w:color="FFFFFF" w:sz="8" w:space="0"/>
              <w:bottom w:val="single" w:color="000000" w:sz="8" w:space="0"/>
              <w:right w:val="single" w:color="FFFFFF" w:sz="8" w:space="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dark1"/>
                <w:kern w:val="24"/>
                <w:sz w:val="24"/>
                <w:szCs w:val="24"/>
              </w:rPr>
              <w:t>25</w:t>
            </w: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000000" w:sz="8" w:space="0"/>
              <w:right w:val="single" w:color="FFFFFF" w:sz="8" w:space="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dark1"/>
                <w:kern w:val="24"/>
                <w:sz w:val="24"/>
                <w:szCs w:val="24"/>
              </w:rPr>
              <w:t>17(70.83%)</w:t>
            </w: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000000" w:sz="8" w:space="0"/>
              <w:right w:val="single" w:color="FFFFFF" w:sz="8" w:space="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 w:themeColor="dark1"/>
                <w:kern w:val="24"/>
                <w:sz w:val="24"/>
                <w:szCs w:val="24"/>
              </w:rPr>
              <w:t>8(100.00%)</w:t>
            </w: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000000" w:sz="8" w:space="0"/>
              <w:right w:val="single" w:color="FFFFFF" w:sz="8" w:space="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ascii="Arial" w:hAnsi="Arial" w:cs="Arial"/>
                <w:sz w:val="36"/>
                <w:szCs w:val="36"/>
              </w:rPr>
            </w:pPr>
          </w:p>
        </w:tc>
      </w:tr>
    </w:tbl>
    <w:p>
      <w:pPr>
        <w:autoSpaceDE w:val="0"/>
        <w:autoSpaceDN w:val="0"/>
        <w:spacing w:line="360" w:lineRule="auto"/>
        <w:rPr>
          <w:rFonts w:ascii="TimesNewRomanPSMT" w:hAnsi="TimesNewRomanPSMT" w:eastAsia="TimesNewRomanPSMT" w:cs="TimesNewRomanPSMT"/>
          <w:color w:val="000000"/>
          <w:sz w:val="24"/>
          <w:szCs w:val="24"/>
        </w:rPr>
        <w:sectPr>
          <w:pgSz w:w="11906" w:h="16838"/>
          <w:pgMar w:top="1440" w:right="1800" w:bottom="1440" w:left="1800" w:header="708" w:footer="708" w:gutter="0"/>
          <w:cols w:space="708" w:num="1"/>
          <w:docGrid w:linePitch="360" w:charSpace="0"/>
        </w:sectPr>
      </w:pPr>
    </w:p>
    <w:p>
      <w:pPr>
        <w:spacing w:line="360" w:lineRule="auto"/>
        <w:jc w:val="center"/>
        <w:rPr>
          <w:rFonts w:hint="eastAsia" w:eastAsia="宋体"/>
          <w:color w:val="000000" w:themeColor="text1"/>
          <w:sz w:val="24"/>
          <w:szCs w:val="24"/>
          <w:lang w:eastAsia="zh-CN"/>
        </w:rPr>
      </w:pPr>
      <w:r>
        <w:rPr>
          <w:rFonts w:hint="eastAsia" w:eastAsia="宋体"/>
          <w:color w:val="000000" w:themeColor="text1"/>
          <w:sz w:val="24"/>
          <w:szCs w:val="24"/>
          <w:lang w:eastAsia="zh-CN"/>
        </w:rPr>
        <w:drawing>
          <wp:inline distT="0" distB="0" distL="114300" distR="114300">
            <wp:extent cx="4679950" cy="2940685"/>
            <wp:effectExtent l="0" t="0" r="6350" b="12065"/>
            <wp:docPr id="2" name="图片 2" descr="图片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图片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679950" cy="2940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Figure </w:t>
      </w:r>
      <w:r>
        <w:rPr>
          <w:rFonts w:hint="eastAsia"/>
          <w:b/>
          <w:bCs/>
          <w:sz w:val="24"/>
          <w:szCs w:val="24"/>
        </w:rPr>
        <w:t>S1</w:t>
      </w:r>
      <w:r>
        <w:rPr>
          <w:b/>
          <w:bCs/>
          <w:sz w:val="24"/>
          <w:szCs w:val="24"/>
        </w:rPr>
        <w:t>.</w:t>
      </w:r>
      <w:r>
        <w:rPr>
          <w:sz w:val="24"/>
          <w:szCs w:val="24"/>
        </w:rPr>
        <w:t xml:space="preserve"> Performance of the NCE-radiomic signature (A) and CE-radiomic signature (B) from target lesions approach in training and testing sets. (Aa, Ba) Tuning penalty factor (λ) in the LASSO model used 10-fold cross-validation via minimum criteria. The binomial deviance metrics (the y-axis) were plotted against log(λ) (the upper</w:t>
      </w:r>
      <w:r>
        <w:rPr>
          <w:rFonts w:hint="eastAsia"/>
          <w:sz w:val="24"/>
          <w:szCs w:val="24"/>
          <w:lang w:val="en-US" w:eastAsia="zh-CN"/>
        </w:rPr>
        <w:t xml:space="preserve"> </w:t>
      </w:r>
      <w:r>
        <w:rPr>
          <w:sz w:val="24"/>
          <w:szCs w:val="24"/>
        </w:rPr>
        <w:t>x-axis) and the number of selected features (the bottom x-axis). (Ab, Bb) Box and whisker plots depict radscore comparison between responders and non-responders. (Ac, Bc) ROC curves of radiomics signatures in training and testing sets.</w:t>
      </w:r>
    </w:p>
    <w:p>
      <w:pPr>
        <w:spacing w:line="360" w:lineRule="auto"/>
        <w:rPr>
          <w:rFonts w:hint="eastAsia"/>
          <w:b/>
          <w:bCs/>
          <w:sz w:val="24"/>
          <w:szCs w:val="24"/>
        </w:rPr>
      </w:pPr>
    </w:p>
    <w:p>
      <w:pPr>
        <w:spacing w:line="360" w:lineRule="auto"/>
        <w:rPr>
          <w:rFonts w:hint="eastAsia"/>
          <w:b/>
          <w:bCs/>
          <w:sz w:val="24"/>
          <w:szCs w:val="24"/>
        </w:rPr>
      </w:pPr>
    </w:p>
    <w:p>
      <w:pPr>
        <w:spacing w:line="360" w:lineRule="auto"/>
        <w:rPr>
          <w:rFonts w:hint="eastAsia"/>
          <w:b/>
          <w:bCs/>
          <w:sz w:val="24"/>
          <w:szCs w:val="24"/>
        </w:rPr>
      </w:pPr>
    </w:p>
    <w:p>
      <w:pPr>
        <w:spacing w:line="360" w:lineRule="auto"/>
        <w:rPr>
          <w:rFonts w:hint="eastAsia"/>
          <w:b/>
          <w:bCs/>
          <w:sz w:val="24"/>
          <w:szCs w:val="24"/>
        </w:rPr>
      </w:pPr>
    </w:p>
    <w:p>
      <w:pPr>
        <w:spacing w:line="360" w:lineRule="auto"/>
        <w:rPr>
          <w:rFonts w:hint="eastAsia"/>
          <w:b/>
          <w:bCs/>
          <w:sz w:val="24"/>
          <w:szCs w:val="24"/>
        </w:rPr>
      </w:pPr>
    </w:p>
    <w:p>
      <w:pPr>
        <w:spacing w:line="360" w:lineRule="auto"/>
        <w:rPr>
          <w:rFonts w:hint="eastAsia"/>
          <w:b/>
          <w:bCs/>
          <w:sz w:val="24"/>
          <w:szCs w:val="24"/>
        </w:rPr>
      </w:pPr>
    </w:p>
    <w:p>
      <w:pPr>
        <w:spacing w:line="360" w:lineRule="auto"/>
        <w:rPr>
          <w:rFonts w:hint="eastAsia"/>
          <w:b/>
          <w:bCs/>
          <w:sz w:val="24"/>
          <w:szCs w:val="24"/>
        </w:rPr>
      </w:pPr>
    </w:p>
    <w:p>
      <w:pPr>
        <w:spacing w:line="360" w:lineRule="auto"/>
        <w:rPr>
          <w:rFonts w:hint="eastAsia"/>
          <w:b/>
          <w:bCs/>
          <w:sz w:val="24"/>
          <w:szCs w:val="24"/>
        </w:rPr>
      </w:pPr>
    </w:p>
    <w:p>
      <w:pPr>
        <w:spacing w:line="360" w:lineRule="auto"/>
        <w:rPr>
          <w:rFonts w:hint="eastAsia"/>
          <w:b/>
          <w:bCs/>
          <w:sz w:val="24"/>
          <w:szCs w:val="24"/>
        </w:rPr>
      </w:pPr>
    </w:p>
    <w:p>
      <w:pPr>
        <w:spacing w:line="360" w:lineRule="auto"/>
        <w:rPr>
          <w:rFonts w:hint="eastAsia"/>
          <w:b/>
          <w:bCs/>
          <w:sz w:val="24"/>
          <w:szCs w:val="24"/>
        </w:rPr>
      </w:pPr>
    </w:p>
    <w:p>
      <w:pPr>
        <w:spacing w:line="360" w:lineRule="auto"/>
        <w:rPr>
          <w:rFonts w:hint="eastAsia"/>
          <w:b/>
          <w:bCs/>
          <w:sz w:val="24"/>
          <w:szCs w:val="24"/>
        </w:rPr>
      </w:pPr>
    </w:p>
    <w:p>
      <w:pPr>
        <w:spacing w:line="360" w:lineRule="auto"/>
        <w:rPr>
          <w:rFonts w:hint="eastAsia"/>
          <w:b/>
          <w:bCs/>
          <w:sz w:val="24"/>
          <w:szCs w:val="24"/>
        </w:rPr>
      </w:pPr>
    </w:p>
    <w:p>
      <w:pPr>
        <w:spacing w:line="360" w:lineRule="auto"/>
        <w:rPr>
          <w:rFonts w:hint="eastAsia"/>
          <w:b/>
          <w:bCs/>
          <w:sz w:val="24"/>
          <w:szCs w:val="24"/>
        </w:rPr>
      </w:pPr>
    </w:p>
    <w:p>
      <w:pPr>
        <w:spacing w:line="360" w:lineRule="auto"/>
        <w:rPr>
          <w:rFonts w:hint="eastAsia"/>
          <w:b/>
          <w:bCs/>
          <w:sz w:val="24"/>
          <w:szCs w:val="24"/>
        </w:rPr>
        <w:sectPr>
          <w:pgSz w:w="11906" w:h="16838"/>
          <w:pgMar w:top="1440" w:right="1800" w:bottom="1440" w:left="1800" w:header="708" w:footer="708" w:gutter="0"/>
          <w:cols w:space="708" w:num="1"/>
          <w:docGrid w:linePitch="360" w:charSpace="0"/>
        </w:sectPr>
      </w:pPr>
    </w:p>
    <w:p>
      <w:pPr>
        <w:spacing w:line="360" w:lineRule="auto"/>
        <w:rPr>
          <w:rFonts w:hint="eastAsia" w:ascii="TimesNewRomanPSMT" w:hAnsi="TimesNewRomanPSMT" w:cs="TimesNewRomanPSMT" w:eastAsiaTheme="minorEastAsia"/>
          <w:color w:val="000000"/>
          <w:sz w:val="24"/>
          <w:szCs w:val="24"/>
        </w:rPr>
      </w:pPr>
      <w:r>
        <w:rPr>
          <w:rFonts w:hint="eastAsia" w:ascii="TimesNewRomanPSMT" w:hAnsi="TimesNewRomanPSMT" w:eastAsia="TimesNewRomanPSMT" w:cs="TimesNewRomanPSMT"/>
          <w:b/>
          <w:bCs/>
          <w:color w:val="000000"/>
          <w:sz w:val="24"/>
          <w:szCs w:val="24"/>
        </w:rPr>
        <w:t>Table S</w:t>
      </w:r>
      <w:r>
        <w:rPr>
          <w:rFonts w:hint="eastAsia" w:ascii="TimesNewRomanPSMT" w:hAnsi="TimesNewRomanPSMT" w:cs="TimesNewRomanPSMT"/>
          <w:b/>
          <w:bCs/>
          <w:color w:val="000000"/>
          <w:sz w:val="24"/>
          <w:szCs w:val="24"/>
          <w:lang w:val="en-US" w:eastAsia="zh-CN"/>
        </w:rPr>
        <w:t>3</w:t>
      </w:r>
      <w:r>
        <w:rPr>
          <w:rFonts w:hint="eastAsia" w:ascii="TimesNewRomanPSMT" w:hAnsi="TimesNewRomanPSMT" w:eastAsia="TimesNewRomanPSMT" w:cs="TimesNewRomanPSMT"/>
          <w:b/>
          <w:bCs/>
          <w:color w:val="000000"/>
          <w:sz w:val="24"/>
          <w:szCs w:val="24"/>
        </w:rPr>
        <w:t xml:space="preserve">. </w:t>
      </w:r>
      <w:r>
        <w:rPr>
          <w:rFonts w:ascii="TimesNewRomanPSMT" w:hAnsi="TimesNewRomanPSMT" w:eastAsia="TimesNewRomanPSMT" w:cs="TimesNewRomanPSMT"/>
          <w:color w:val="000000"/>
          <w:sz w:val="24"/>
          <w:szCs w:val="24"/>
        </w:rPr>
        <w:t>ROC analysis for</w:t>
      </w:r>
      <w:r>
        <w:rPr>
          <w:rFonts w:hint="eastAsia" w:ascii="TimesNewRomanPSMT" w:hAnsi="TimesNewRomanPSMT" w:eastAsia="TimesNewRomanPSMT" w:cs="TimesNewRomanPSMT"/>
          <w:color w:val="000000"/>
          <w:sz w:val="24"/>
          <w:szCs w:val="24"/>
        </w:rPr>
        <w:t xml:space="preserve"> the</w:t>
      </w:r>
      <w:r>
        <w:rPr>
          <w:rFonts w:ascii="TimesNewRomanPSMT" w:hAnsi="TimesNewRomanPSMT" w:eastAsia="TimesNewRomanPSMT" w:cs="TimesNewRomanPSMT"/>
          <w:color w:val="000000"/>
          <w:sz w:val="24"/>
          <w:szCs w:val="24"/>
        </w:rPr>
        <w:t xml:space="preserve"> </w:t>
      </w:r>
      <w:r>
        <w:rPr>
          <w:rFonts w:hint="eastAsia" w:ascii="TimesNewRomanPSMT" w:hAnsi="TimesNewRomanPSMT" w:eastAsia="TimesNewRomanPSMT" w:cs="TimesNewRomanPSMT"/>
          <w:color w:val="000000"/>
          <w:sz w:val="24"/>
          <w:szCs w:val="24"/>
        </w:rPr>
        <w:t>NCE-</w:t>
      </w:r>
      <w:r>
        <w:rPr>
          <w:rFonts w:ascii="TimesNewRomanPSMT" w:hAnsi="TimesNewRomanPSMT" w:eastAsia="TimesNewRomanPSMT" w:cs="TimesNewRomanPSMT"/>
          <w:color w:val="000000"/>
          <w:sz w:val="24"/>
          <w:szCs w:val="24"/>
        </w:rPr>
        <w:t>radiomics</w:t>
      </w:r>
      <w:r>
        <w:rPr>
          <w:rFonts w:hint="eastAsia" w:ascii="TimesNewRomanPSMT" w:hAnsi="TimesNewRomanPSMT" w:eastAsia="TimesNewRomanPSMT" w:cs="TimesNewRomanPSMT"/>
          <w:color w:val="000000"/>
          <w:sz w:val="24"/>
          <w:szCs w:val="24"/>
        </w:rPr>
        <w:t>, CE-</w:t>
      </w:r>
      <w:r>
        <w:rPr>
          <w:rFonts w:ascii="TimesNewRomanPSMT" w:hAnsi="TimesNewRomanPSMT" w:eastAsia="TimesNewRomanPSMT" w:cs="TimesNewRomanPSMT"/>
          <w:color w:val="000000"/>
          <w:sz w:val="24"/>
          <w:szCs w:val="24"/>
        </w:rPr>
        <w:t>radiomics</w:t>
      </w:r>
      <w:r>
        <w:rPr>
          <w:rFonts w:hint="eastAsia" w:ascii="TimesNewRomanPSMT" w:hAnsi="TimesNewRomanPSMT" w:eastAsia="TimesNewRomanPSMT" w:cs="TimesNewRomanPSMT"/>
          <w:color w:val="000000"/>
          <w:sz w:val="24"/>
          <w:szCs w:val="24"/>
        </w:rPr>
        <w:t xml:space="preserve"> and combined-</w:t>
      </w:r>
      <w:r>
        <w:rPr>
          <w:rFonts w:ascii="TimesNewRomanPSMT" w:hAnsi="TimesNewRomanPSMT" w:eastAsia="TimesNewRomanPSMT" w:cs="TimesNewRomanPSMT"/>
          <w:color w:val="000000"/>
          <w:sz w:val="24"/>
          <w:szCs w:val="24"/>
        </w:rPr>
        <w:t>radiomics</w:t>
      </w:r>
      <w:r>
        <w:rPr>
          <w:rFonts w:hint="eastAsia" w:ascii="TimesNewRomanPSMT" w:hAnsi="TimesNewRomanPSMT" w:eastAsia="TimesNewRomanPSMT" w:cs="TimesNewRomanPSMT"/>
          <w:color w:val="000000"/>
          <w:sz w:val="24"/>
          <w:szCs w:val="24"/>
        </w:rPr>
        <w:t xml:space="preserve"> models from </w:t>
      </w:r>
      <w:r>
        <w:rPr>
          <w:rFonts w:hint="eastAsia" w:ascii="TimesNewRomanPSMT" w:hAnsi="TimesNewRomanPSMT" w:cs="TimesNewRomanPSMT" w:eastAsiaTheme="minorEastAsia"/>
          <w:color w:val="000000"/>
          <w:sz w:val="24"/>
          <w:szCs w:val="24"/>
        </w:rPr>
        <w:t>largest</w:t>
      </w:r>
      <w:r>
        <w:rPr>
          <w:rFonts w:hint="eastAsia" w:ascii="TimesNewRomanPSMT" w:hAnsi="TimesNewRomanPSMT" w:eastAsia="TimesNewRomanPSMT" w:cs="TimesNewRomanPSMT"/>
          <w:color w:val="000000"/>
          <w:sz w:val="24"/>
          <w:szCs w:val="24"/>
        </w:rPr>
        <w:t xml:space="preserve"> lesion approach in </w:t>
      </w:r>
      <w:r>
        <w:rPr>
          <w:rFonts w:hint="eastAsia"/>
          <w:sz w:val="24"/>
          <w:szCs w:val="24"/>
        </w:rPr>
        <w:t>the chemotherapy cohorts</w:t>
      </w:r>
    </w:p>
    <w:tbl>
      <w:tblPr>
        <w:tblStyle w:val="5"/>
        <w:tblW w:w="7554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686"/>
        <w:gridCol w:w="1757"/>
        <w:gridCol w:w="1606"/>
        <w:gridCol w:w="150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3" w:hRule="atLeast"/>
          <w:jc w:val="center"/>
        </w:trPr>
        <w:tc>
          <w:tcPr>
            <w:tcW w:w="2686" w:type="dxa"/>
            <w:tcBorders>
              <w:top w:val="single" w:color="000000" w:sz="8" w:space="0"/>
              <w:left w:val="nil"/>
              <w:bottom w:val="single" w:color="000000" w:sz="8" w:space="0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ascii="Arial" w:hAnsi="Arial" w:cs="Arial"/>
                <w:b/>
                <w:bCs/>
                <w:sz w:val="36"/>
                <w:szCs w:val="36"/>
              </w:rPr>
            </w:pPr>
            <w:r>
              <w:rPr>
                <w:rFonts w:eastAsiaTheme="minorEastAsia"/>
                <w:b/>
                <w:bCs/>
                <w:color w:val="000000"/>
                <w:kern w:val="24"/>
                <w:sz w:val="24"/>
                <w:szCs w:val="24"/>
              </w:rPr>
              <w:t>Variables</w:t>
            </w:r>
          </w:p>
        </w:tc>
        <w:tc>
          <w:tcPr>
            <w:tcW w:w="1757" w:type="dxa"/>
            <w:tcBorders>
              <w:top w:val="single" w:color="000000" w:sz="8" w:space="0"/>
              <w:left w:val="nil"/>
              <w:bottom w:val="single" w:color="000000" w:sz="8" w:space="0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b/>
                <w:bCs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  <w:sz w:val="24"/>
                <w:szCs w:val="24"/>
              </w:rPr>
              <w:t>NCE-CT</w:t>
            </w:r>
          </w:p>
        </w:tc>
        <w:tc>
          <w:tcPr>
            <w:tcW w:w="1606" w:type="dxa"/>
            <w:tcBorders>
              <w:top w:val="single" w:color="000000" w:sz="8" w:space="0"/>
              <w:left w:val="nil"/>
              <w:bottom w:val="single" w:color="000000" w:sz="8" w:space="0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b/>
                <w:bCs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  <w:sz w:val="24"/>
                <w:szCs w:val="24"/>
              </w:rPr>
              <w:t>CE-CT</w:t>
            </w:r>
          </w:p>
        </w:tc>
        <w:tc>
          <w:tcPr>
            <w:tcW w:w="1505" w:type="dxa"/>
            <w:tcBorders>
              <w:top w:val="single" w:color="000000" w:sz="8" w:space="0"/>
              <w:left w:val="nil"/>
              <w:bottom w:val="single" w:color="000000" w:sz="8" w:space="0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b/>
                <w:bCs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  <w:sz w:val="24"/>
                <w:szCs w:val="24"/>
              </w:rPr>
              <w:t>Combining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8" w:hRule="atLeast"/>
          <w:jc w:val="center"/>
        </w:trPr>
        <w:tc>
          <w:tcPr>
            <w:tcW w:w="2686" w:type="dxa"/>
            <w:tcBorders>
              <w:top w:val="single" w:color="000000" w:sz="8" w:space="0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>Radscore</w:t>
            </w:r>
          </w:p>
        </w:tc>
        <w:tc>
          <w:tcPr>
            <w:tcW w:w="1757" w:type="dxa"/>
            <w:tcBorders>
              <w:top w:val="single" w:color="000000" w:sz="8" w:space="0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ascii="Arial" w:hAnsi="Arial" w:cs="Arial"/>
                <w:sz w:val="36"/>
                <w:szCs w:val="36"/>
              </w:rPr>
            </w:pPr>
          </w:p>
        </w:tc>
        <w:tc>
          <w:tcPr>
            <w:tcW w:w="1606" w:type="dxa"/>
            <w:tcBorders>
              <w:top w:val="single" w:color="000000" w:sz="8" w:space="0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color="000000" w:sz="8" w:space="0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eastAsia="Times New Roman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7" w:hRule="atLeast"/>
          <w:jc w:val="center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ind w:firstLine="360" w:firstLineChars="150"/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eastAsiaTheme="minorEastAsia"/>
                <w:color w:val="000000"/>
                <w:kern w:val="24"/>
                <w:sz w:val="24"/>
                <w:szCs w:val="24"/>
              </w:rPr>
              <w:t>AUC (95% CI)</w:t>
            </w:r>
          </w:p>
        </w:tc>
        <w:tc>
          <w:tcPr>
            <w:tcW w:w="1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color w:val="000000"/>
                <w:kern w:val="24"/>
                <w:sz w:val="24"/>
                <w:szCs w:val="24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 xml:space="preserve">0.61 </w:t>
            </w:r>
          </w:p>
          <w:p>
            <w:pPr>
              <w:jc w:val="center"/>
              <w:rPr>
                <w:rFonts w:hint="eastAsia" w:ascii="Arial" w:hAnsi="Arial" w:eastAsia="宋体" w:cs="Arial"/>
                <w:sz w:val="36"/>
                <w:szCs w:val="36"/>
                <w:lang w:val="en-US" w:eastAsia="zh-CN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>(0.36-0.87</w:t>
            </w:r>
            <w:r>
              <w:rPr>
                <w:rFonts w:hint="eastAsia"/>
                <w:color w:val="000000"/>
                <w:kern w:val="24"/>
                <w:sz w:val="24"/>
                <w:szCs w:val="24"/>
                <w:lang w:val="en-US" w:eastAsia="zh-CN"/>
              </w:rPr>
              <w:t>)</w:t>
            </w:r>
          </w:p>
        </w:tc>
        <w:tc>
          <w:tcPr>
            <w:tcW w:w="1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color w:val="000000"/>
                <w:kern w:val="24"/>
                <w:sz w:val="24"/>
                <w:szCs w:val="24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 xml:space="preserve">0.49 </w:t>
            </w:r>
          </w:p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>(0.22-0.77)</w:t>
            </w:r>
          </w:p>
        </w:tc>
        <w:tc>
          <w:tcPr>
            <w:tcW w:w="1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color w:val="000000"/>
                <w:kern w:val="24"/>
                <w:sz w:val="24"/>
                <w:szCs w:val="24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 xml:space="preserve">0.57 </w:t>
            </w:r>
          </w:p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>(0.31-0.84)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2" w:hRule="atLeast"/>
          <w:jc w:val="center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ind w:firstLine="360" w:firstLineChars="150"/>
              <w:rPr>
                <w:rFonts w:ascii="Arial" w:hAnsi="Arial" w:cs="Arial"/>
                <w:sz w:val="36"/>
                <w:szCs w:val="36"/>
              </w:rPr>
            </w:pPr>
            <w:r>
              <w:rPr>
                <w:i/>
                <w:iCs/>
                <w:color w:val="000000"/>
                <w:kern w:val="24"/>
                <w:sz w:val="24"/>
                <w:szCs w:val="24"/>
              </w:rPr>
              <w:t>P</w:t>
            </w:r>
          </w:p>
        </w:tc>
        <w:tc>
          <w:tcPr>
            <w:tcW w:w="1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>0.98</w:t>
            </w:r>
          </w:p>
        </w:tc>
        <w:tc>
          <w:tcPr>
            <w:tcW w:w="1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>0.69</w:t>
            </w:r>
          </w:p>
        </w:tc>
        <w:tc>
          <w:tcPr>
            <w:tcW w:w="1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>0.17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3" w:hRule="atLeast"/>
          <w:jc w:val="center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ind w:firstLine="360" w:firstLineChars="150"/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eastAsiaTheme="minorEastAsia"/>
                <w:color w:val="000000"/>
                <w:kern w:val="24"/>
                <w:sz w:val="24"/>
                <w:szCs w:val="24"/>
              </w:rPr>
              <w:t>Specificity</w:t>
            </w:r>
          </w:p>
        </w:tc>
        <w:tc>
          <w:tcPr>
            <w:tcW w:w="1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>0.87</w:t>
            </w:r>
          </w:p>
        </w:tc>
        <w:tc>
          <w:tcPr>
            <w:tcW w:w="1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>0.25</w:t>
            </w:r>
          </w:p>
        </w:tc>
        <w:tc>
          <w:tcPr>
            <w:tcW w:w="1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>0.63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2" w:hRule="atLeast"/>
          <w:jc w:val="center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ind w:firstLine="360" w:firstLineChars="150"/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eastAsiaTheme="minorEastAsia"/>
                <w:color w:val="000000"/>
                <w:kern w:val="24"/>
                <w:sz w:val="24"/>
                <w:szCs w:val="24"/>
              </w:rPr>
              <w:t>Sensitivity</w:t>
            </w:r>
          </w:p>
        </w:tc>
        <w:tc>
          <w:tcPr>
            <w:tcW w:w="1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>0.25</w:t>
            </w:r>
          </w:p>
        </w:tc>
        <w:tc>
          <w:tcPr>
            <w:tcW w:w="1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>0.63</w:t>
            </w:r>
          </w:p>
        </w:tc>
        <w:tc>
          <w:tcPr>
            <w:tcW w:w="1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>0.50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  <w:jc w:val="center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ind w:firstLine="360" w:firstLineChars="150"/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eastAsiaTheme="minorEastAsia"/>
                <w:color w:val="000000"/>
                <w:kern w:val="24"/>
                <w:sz w:val="24"/>
                <w:szCs w:val="24"/>
              </w:rPr>
              <w:t>Accuracy (95% CI)</w:t>
            </w:r>
          </w:p>
        </w:tc>
        <w:tc>
          <w:tcPr>
            <w:tcW w:w="1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color w:val="000000"/>
                <w:kern w:val="24"/>
                <w:sz w:val="24"/>
                <w:szCs w:val="24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 xml:space="preserve">0.72 </w:t>
            </w:r>
          </w:p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>(0.53-0.86)</w:t>
            </w:r>
          </w:p>
        </w:tc>
        <w:tc>
          <w:tcPr>
            <w:tcW w:w="1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color w:val="000000"/>
                <w:kern w:val="24"/>
                <w:sz w:val="24"/>
                <w:szCs w:val="24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 xml:space="preserve">0.34 </w:t>
            </w:r>
          </w:p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>(0.19-0.53)</w:t>
            </w:r>
          </w:p>
        </w:tc>
        <w:tc>
          <w:tcPr>
            <w:tcW w:w="1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color w:val="000000"/>
                <w:kern w:val="24"/>
                <w:sz w:val="24"/>
                <w:szCs w:val="24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 xml:space="preserve">0.59 </w:t>
            </w:r>
          </w:p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>(0.41-0.76)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6" w:hRule="atLeast"/>
          <w:jc w:val="center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>Nomogram</w:t>
            </w:r>
          </w:p>
        </w:tc>
        <w:tc>
          <w:tcPr>
            <w:tcW w:w="1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ascii="Arial" w:hAnsi="Arial" w:cs="Arial"/>
                <w:sz w:val="36"/>
                <w:szCs w:val="36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rPr>
                <w:rFonts w:eastAsia="Times New Roman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  <w:jc w:val="center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ind w:firstLine="360" w:firstLineChars="150"/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eastAsiaTheme="minorEastAsia"/>
                <w:color w:val="000000"/>
                <w:kern w:val="24"/>
                <w:sz w:val="24"/>
                <w:szCs w:val="24"/>
              </w:rPr>
              <w:t>AUC (95% CI)</w:t>
            </w:r>
          </w:p>
        </w:tc>
        <w:tc>
          <w:tcPr>
            <w:tcW w:w="1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color w:val="000000"/>
                <w:kern w:val="24"/>
                <w:sz w:val="24"/>
                <w:szCs w:val="24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 xml:space="preserve">0.69 </w:t>
            </w:r>
          </w:p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>(0.46-0.92)</w:t>
            </w:r>
          </w:p>
        </w:tc>
        <w:tc>
          <w:tcPr>
            <w:tcW w:w="1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color w:val="000000"/>
                <w:kern w:val="24"/>
                <w:sz w:val="24"/>
                <w:szCs w:val="24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 xml:space="preserve">0.64 </w:t>
            </w:r>
          </w:p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>(0.41-0.86)</w:t>
            </w:r>
          </w:p>
        </w:tc>
        <w:tc>
          <w:tcPr>
            <w:tcW w:w="1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color w:val="000000"/>
                <w:kern w:val="24"/>
                <w:sz w:val="24"/>
                <w:szCs w:val="24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 xml:space="preserve">0.61 </w:t>
            </w:r>
          </w:p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>(0.36-0.87)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  <w:jc w:val="center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ind w:firstLine="360" w:firstLineChars="150"/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eastAsiaTheme="minorEastAsia"/>
                <w:color w:val="000000"/>
                <w:kern w:val="24"/>
                <w:sz w:val="24"/>
                <w:szCs w:val="24"/>
              </w:rPr>
              <w:t>Specificity</w:t>
            </w:r>
          </w:p>
        </w:tc>
        <w:tc>
          <w:tcPr>
            <w:tcW w:w="1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>0.92</w:t>
            </w:r>
          </w:p>
        </w:tc>
        <w:tc>
          <w:tcPr>
            <w:tcW w:w="1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>0.83</w:t>
            </w:r>
          </w:p>
        </w:tc>
        <w:tc>
          <w:tcPr>
            <w:tcW w:w="1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>0.91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6" w:hRule="atLeast"/>
          <w:jc w:val="center"/>
        </w:trPr>
        <w:tc>
          <w:tcPr>
            <w:tcW w:w="2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ind w:firstLine="360" w:firstLineChars="150"/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eastAsiaTheme="minorEastAsia"/>
                <w:color w:val="000000"/>
                <w:kern w:val="24"/>
                <w:sz w:val="24"/>
                <w:szCs w:val="24"/>
              </w:rPr>
              <w:t>Sensitivity</w:t>
            </w:r>
          </w:p>
        </w:tc>
        <w:tc>
          <w:tcPr>
            <w:tcW w:w="1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>0.37</w:t>
            </w:r>
          </w:p>
        </w:tc>
        <w:tc>
          <w:tcPr>
            <w:tcW w:w="1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>0.50</w:t>
            </w:r>
          </w:p>
        </w:tc>
        <w:tc>
          <w:tcPr>
            <w:tcW w:w="1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>0.33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  <w:jc w:val="center"/>
        </w:trPr>
        <w:tc>
          <w:tcPr>
            <w:tcW w:w="2686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ind w:firstLine="360" w:firstLineChars="150"/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eastAsiaTheme="minorEastAsia"/>
                <w:color w:val="000000"/>
                <w:kern w:val="24"/>
                <w:sz w:val="24"/>
                <w:szCs w:val="24"/>
              </w:rPr>
              <w:t>Accuracy (95% CI)</w:t>
            </w:r>
          </w:p>
        </w:tc>
        <w:tc>
          <w:tcPr>
            <w:tcW w:w="17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color w:val="000000"/>
                <w:kern w:val="24"/>
                <w:sz w:val="24"/>
                <w:szCs w:val="24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 xml:space="preserve">0.59 </w:t>
            </w:r>
          </w:p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>(0.41-0.76)</w:t>
            </w:r>
          </w:p>
        </w:tc>
        <w:tc>
          <w:tcPr>
            <w:tcW w:w="1606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color w:val="000000"/>
                <w:kern w:val="24"/>
                <w:sz w:val="24"/>
                <w:szCs w:val="24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>0.75</w:t>
            </w:r>
          </w:p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 xml:space="preserve"> (0.56-0.88)</w:t>
            </w:r>
          </w:p>
        </w:tc>
        <w:tc>
          <w:tcPr>
            <w:tcW w:w="1505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>
            <w:pPr>
              <w:jc w:val="center"/>
              <w:rPr>
                <w:color w:val="000000"/>
                <w:kern w:val="24"/>
                <w:sz w:val="24"/>
                <w:szCs w:val="24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 xml:space="preserve">0.53 </w:t>
            </w:r>
          </w:p>
          <w:p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  <w:sz w:val="24"/>
                <w:szCs w:val="24"/>
              </w:rPr>
              <w:t>(0.35-0.71)</w:t>
            </w:r>
          </w:p>
        </w:tc>
      </w:tr>
    </w:tbl>
    <w:p>
      <w:pPr>
        <w:rPr>
          <w:rFonts w:hint="eastAsia" w:ascii="TimesNewRomanPSMT" w:hAnsi="TimesNewRomanPSMT" w:cs="TimesNewRomanPSMT" w:eastAsiaTheme="minorEastAsia"/>
          <w:color w:val="000000"/>
          <w:sz w:val="24"/>
          <w:szCs w:val="24"/>
        </w:rPr>
      </w:pPr>
    </w:p>
    <w:p>
      <w:pPr>
        <w:bidi w:val="0"/>
        <w:rPr>
          <w:rFonts w:hint="eastAsia" w:ascii="Times New Roman" w:hAnsi="Times New Roman" w:eastAsia="宋体" w:cs="Times New Roman"/>
          <w:kern w:val="2"/>
          <w:sz w:val="21"/>
          <w:szCs w:val="22"/>
          <w:lang w:val="en-US" w:eastAsia="zh-CN" w:bidi="ar-SA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TimesNewRomanPSMT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1BB8430"/>
    <w:multiLevelType w:val="singleLevel"/>
    <w:tmpl w:val="C1BB8430"/>
    <w:lvl w:ilvl="0" w:tentative="0">
      <w:start w:val="1"/>
      <w:numFmt w:val="decimal"/>
      <w:suff w:val="space"/>
      <w:lvlText w:val="(%1)"/>
      <w:lvlJc w:val="left"/>
    </w:lvl>
  </w:abstractNum>
  <w:abstractNum w:abstractNumId="1">
    <w:nsid w:val="0B5019E9"/>
    <w:multiLevelType w:val="singleLevel"/>
    <w:tmpl w:val="0B5019E9"/>
    <w:lvl w:ilvl="0" w:tentative="0">
      <w:start w:val="1"/>
      <w:numFmt w:val="decimal"/>
      <w:suff w:val="space"/>
      <w:lvlText w:val="(%1)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72A27"/>
    <w:rsid w:val="0000403C"/>
    <w:rsid w:val="000063B4"/>
    <w:rsid w:val="000121C0"/>
    <w:rsid w:val="00013CF8"/>
    <w:rsid w:val="000156F1"/>
    <w:rsid w:val="00037AC9"/>
    <w:rsid w:val="000575B1"/>
    <w:rsid w:val="000A788A"/>
    <w:rsid w:val="000B4042"/>
    <w:rsid w:val="000C5C36"/>
    <w:rsid w:val="000E259C"/>
    <w:rsid w:val="000E3A73"/>
    <w:rsid w:val="000F45D9"/>
    <w:rsid w:val="000F522B"/>
    <w:rsid w:val="000F7DC1"/>
    <w:rsid w:val="00102EB2"/>
    <w:rsid w:val="00110D14"/>
    <w:rsid w:val="00135D65"/>
    <w:rsid w:val="00137996"/>
    <w:rsid w:val="001413EC"/>
    <w:rsid w:val="00141F42"/>
    <w:rsid w:val="0015772A"/>
    <w:rsid w:val="001604ED"/>
    <w:rsid w:val="00174407"/>
    <w:rsid w:val="00190BB2"/>
    <w:rsid w:val="00191A46"/>
    <w:rsid w:val="001970F4"/>
    <w:rsid w:val="001A7075"/>
    <w:rsid w:val="001C566A"/>
    <w:rsid w:val="001D42AA"/>
    <w:rsid w:val="001D7B02"/>
    <w:rsid w:val="001E52C1"/>
    <w:rsid w:val="001F1593"/>
    <w:rsid w:val="001F4ECB"/>
    <w:rsid w:val="00200446"/>
    <w:rsid w:val="00202ACD"/>
    <w:rsid w:val="0020625C"/>
    <w:rsid w:val="00214C0B"/>
    <w:rsid w:val="00216C95"/>
    <w:rsid w:val="0022500E"/>
    <w:rsid w:val="002454D2"/>
    <w:rsid w:val="0029383B"/>
    <w:rsid w:val="002A577F"/>
    <w:rsid w:val="002B6146"/>
    <w:rsid w:val="002C1CE4"/>
    <w:rsid w:val="002C5AA0"/>
    <w:rsid w:val="002D53B7"/>
    <w:rsid w:val="002F1FB3"/>
    <w:rsid w:val="002F6BF4"/>
    <w:rsid w:val="00306018"/>
    <w:rsid w:val="00314521"/>
    <w:rsid w:val="003252AE"/>
    <w:rsid w:val="00326F6C"/>
    <w:rsid w:val="003353B6"/>
    <w:rsid w:val="00346525"/>
    <w:rsid w:val="00350B6E"/>
    <w:rsid w:val="0035214B"/>
    <w:rsid w:val="00354A70"/>
    <w:rsid w:val="00362537"/>
    <w:rsid w:val="0037288F"/>
    <w:rsid w:val="003828FD"/>
    <w:rsid w:val="00390F21"/>
    <w:rsid w:val="00393FBB"/>
    <w:rsid w:val="00394864"/>
    <w:rsid w:val="0039796F"/>
    <w:rsid w:val="003A09A6"/>
    <w:rsid w:val="003A3B39"/>
    <w:rsid w:val="003A62A1"/>
    <w:rsid w:val="003B155A"/>
    <w:rsid w:val="003B2D9E"/>
    <w:rsid w:val="003B6793"/>
    <w:rsid w:val="003C6599"/>
    <w:rsid w:val="003E0D83"/>
    <w:rsid w:val="003E5BB9"/>
    <w:rsid w:val="003E7868"/>
    <w:rsid w:val="003F13AE"/>
    <w:rsid w:val="00404252"/>
    <w:rsid w:val="00412936"/>
    <w:rsid w:val="0042016B"/>
    <w:rsid w:val="00423234"/>
    <w:rsid w:val="0043514E"/>
    <w:rsid w:val="00441077"/>
    <w:rsid w:val="00493DFB"/>
    <w:rsid w:val="00494859"/>
    <w:rsid w:val="0049536C"/>
    <w:rsid w:val="004A6CED"/>
    <w:rsid w:val="004D540C"/>
    <w:rsid w:val="004E7BA8"/>
    <w:rsid w:val="004F3125"/>
    <w:rsid w:val="004F4A1E"/>
    <w:rsid w:val="004F52A2"/>
    <w:rsid w:val="004F5A10"/>
    <w:rsid w:val="004F7B73"/>
    <w:rsid w:val="0050150E"/>
    <w:rsid w:val="00503534"/>
    <w:rsid w:val="00506111"/>
    <w:rsid w:val="00512EE2"/>
    <w:rsid w:val="0051412E"/>
    <w:rsid w:val="00520C69"/>
    <w:rsid w:val="00530310"/>
    <w:rsid w:val="0055731C"/>
    <w:rsid w:val="005747AD"/>
    <w:rsid w:val="00575A4C"/>
    <w:rsid w:val="00594BC0"/>
    <w:rsid w:val="005B1E62"/>
    <w:rsid w:val="005B2FAD"/>
    <w:rsid w:val="005B78C4"/>
    <w:rsid w:val="005D747E"/>
    <w:rsid w:val="005E31A7"/>
    <w:rsid w:val="005E40B3"/>
    <w:rsid w:val="00635AC6"/>
    <w:rsid w:val="006371C3"/>
    <w:rsid w:val="00651E18"/>
    <w:rsid w:val="00655586"/>
    <w:rsid w:val="00664FE5"/>
    <w:rsid w:val="00673389"/>
    <w:rsid w:val="0067785F"/>
    <w:rsid w:val="00685F59"/>
    <w:rsid w:val="006869B6"/>
    <w:rsid w:val="00687D2F"/>
    <w:rsid w:val="00691201"/>
    <w:rsid w:val="00692C24"/>
    <w:rsid w:val="006935E8"/>
    <w:rsid w:val="00696FC6"/>
    <w:rsid w:val="006A5297"/>
    <w:rsid w:val="006A6337"/>
    <w:rsid w:val="006B24EE"/>
    <w:rsid w:val="006E095E"/>
    <w:rsid w:val="0070639D"/>
    <w:rsid w:val="0072067C"/>
    <w:rsid w:val="00721E00"/>
    <w:rsid w:val="00742D52"/>
    <w:rsid w:val="007452D3"/>
    <w:rsid w:val="0076093A"/>
    <w:rsid w:val="007726A3"/>
    <w:rsid w:val="00774000"/>
    <w:rsid w:val="00782885"/>
    <w:rsid w:val="00783D0C"/>
    <w:rsid w:val="007935DD"/>
    <w:rsid w:val="0079498C"/>
    <w:rsid w:val="007B1C69"/>
    <w:rsid w:val="007C348A"/>
    <w:rsid w:val="007D5EED"/>
    <w:rsid w:val="007F688E"/>
    <w:rsid w:val="00805983"/>
    <w:rsid w:val="00821061"/>
    <w:rsid w:val="00825023"/>
    <w:rsid w:val="00825E64"/>
    <w:rsid w:val="008455E8"/>
    <w:rsid w:val="00872DF0"/>
    <w:rsid w:val="00874A95"/>
    <w:rsid w:val="008840F8"/>
    <w:rsid w:val="00887EE0"/>
    <w:rsid w:val="00890EED"/>
    <w:rsid w:val="008956BA"/>
    <w:rsid w:val="008A6E0D"/>
    <w:rsid w:val="008B01F9"/>
    <w:rsid w:val="008D0F2D"/>
    <w:rsid w:val="008D4ED4"/>
    <w:rsid w:val="008D7030"/>
    <w:rsid w:val="008E36E3"/>
    <w:rsid w:val="008E5A6B"/>
    <w:rsid w:val="009020EF"/>
    <w:rsid w:val="009039BD"/>
    <w:rsid w:val="009116AE"/>
    <w:rsid w:val="00925460"/>
    <w:rsid w:val="0092736F"/>
    <w:rsid w:val="009337FC"/>
    <w:rsid w:val="009432B9"/>
    <w:rsid w:val="0094406B"/>
    <w:rsid w:val="00947E3B"/>
    <w:rsid w:val="00950C46"/>
    <w:rsid w:val="00952564"/>
    <w:rsid w:val="00955957"/>
    <w:rsid w:val="00961571"/>
    <w:rsid w:val="009618FF"/>
    <w:rsid w:val="00962186"/>
    <w:rsid w:val="009727EF"/>
    <w:rsid w:val="009746E7"/>
    <w:rsid w:val="0097781D"/>
    <w:rsid w:val="00987AC9"/>
    <w:rsid w:val="00995130"/>
    <w:rsid w:val="0099743F"/>
    <w:rsid w:val="00997C50"/>
    <w:rsid w:val="009A0434"/>
    <w:rsid w:val="009A37E9"/>
    <w:rsid w:val="009C328B"/>
    <w:rsid w:val="009E6414"/>
    <w:rsid w:val="009F46A9"/>
    <w:rsid w:val="009F53E3"/>
    <w:rsid w:val="009F6300"/>
    <w:rsid w:val="00A317F5"/>
    <w:rsid w:val="00A62F25"/>
    <w:rsid w:val="00A63767"/>
    <w:rsid w:val="00A67309"/>
    <w:rsid w:val="00A75326"/>
    <w:rsid w:val="00A763E0"/>
    <w:rsid w:val="00A809F0"/>
    <w:rsid w:val="00A82255"/>
    <w:rsid w:val="00AB3260"/>
    <w:rsid w:val="00AC1245"/>
    <w:rsid w:val="00AC5DCA"/>
    <w:rsid w:val="00AE0535"/>
    <w:rsid w:val="00AE496E"/>
    <w:rsid w:val="00AF1902"/>
    <w:rsid w:val="00B07A60"/>
    <w:rsid w:val="00B21271"/>
    <w:rsid w:val="00B3006D"/>
    <w:rsid w:val="00B30298"/>
    <w:rsid w:val="00B3509C"/>
    <w:rsid w:val="00B6170C"/>
    <w:rsid w:val="00B7685A"/>
    <w:rsid w:val="00B86D25"/>
    <w:rsid w:val="00BC1A86"/>
    <w:rsid w:val="00BC5C04"/>
    <w:rsid w:val="00BC75C5"/>
    <w:rsid w:val="00BE6DC1"/>
    <w:rsid w:val="00BF60B4"/>
    <w:rsid w:val="00C15BD9"/>
    <w:rsid w:val="00C325C6"/>
    <w:rsid w:val="00C40194"/>
    <w:rsid w:val="00C509CA"/>
    <w:rsid w:val="00C517C0"/>
    <w:rsid w:val="00C56C23"/>
    <w:rsid w:val="00C61A8B"/>
    <w:rsid w:val="00C65AF4"/>
    <w:rsid w:val="00C80C2A"/>
    <w:rsid w:val="00C82C5B"/>
    <w:rsid w:val="00CA20BB"/>
    <w:rsid w:val="00CA4C86"/>
    <w:rsid w:val="00CB1EC9"/>
    <w:rsid w:val="00CD1800"/>
    <w:rsid w:val="00CE6E77"/>
    <w:rsid w:val="00CF19A0"/>
    <w:rsid w:val="00D01D92"/>
    <w:rsid w:val="00D206BC"/>
    <w:rsid w:val="00D27CA6"/>
    <w:rsid w:val="00D640C3"/>
    <w:rsid w:val="00D72895"/>
    <w:rsid w:val="00D75276"/>
    <w:rsid w:val="00D91F02"/>
    <w:rsid w:val="00D92949"/>
    <w:rsid w:val="00DA49B9"/>
    <w:rsid w:val="00DA6CA4"/>
    <w:rsid w:val="00DA7870"/>
    <w:rsid w:val="00DD09B7"/>
    <w:rsid w:val="00DD1D4B"/>
    <w:rsid w:val="00DE009D"/>
    <w:rsid w:val="00DE3327"/>
    <w:rsid w:val="00DE76EE"/>
    <w:rsid w:val="00DF104E"/>
    <w:rsid w:val="00DF42BA"/>
    <w:rsid w:val="00DF7297"/>
    <w:rsid w:val="00E24B8A"/>
    <w:rsid w:val="00E37223"/>
    <w:rsid w:val="00E37F2D"/>
    <w:rsid w:val="00E42F04"/>
    <w:rsid w:val="00E430E2"/>
    <w:rsid w:val="00E442A1"/>
    <w:rsid w:val="00E44942"/>
    <w:rsid w:val="00E47564"/>
    <w:rsid w:val="00E50626"/>
    <w:rsid w:val="00E63F32"/>
    <w:rsid w:val="00E93399"/>
    <w:rsid w:val="00E9394D"/>
    <w:rsid w:val="00EC4644"/>
    <w:rsid w:val="00EC507D"/>
    <w:rsid w:val="00EC7377"/>
    <w:rsid w:val="00ED13D3"/>
    <w:rsid w:val="00EF2925"/>
    <w:rsid w:val="00EF5213"/>
    <w:rsid w:val="00EF6D49"/>
    <w:rsid w:val="00F30875"/>
    <w:rsid w:val="00F32642"/>
    <w:rsid w:val="00F422C6"/>
    <w:rsid w:val="00F5433F"/>
    <w:rsid w:val="00F74A0B"/>
    <w:rsid w:val="00F854F9"/>
    <w:rsid w:val="00F92743"/>
    <w:rsid w:val="00FD722E"/>
    <w:rsid w:val="00FE6EC2"/>
    <w:rsid w:val="089E549D"/>
    <w:rsid w:val="11E27D79"/>
    <w:rsid w:val="20C954DE"/>
    <w:rsid w:val="269A02DE"/>
    <w:rsid w:val="26CF4AED"/>
    <w:rsid w:val="27F40393"/>
    <w:rsid w:val="2B5A3B3D"/>
    <w:rsid w:val="34D32763"/>
    <w:rsid w:val="3EFA4F15"/>
    <w:rsid w:val="46FD2CD8"/>
    <w:rsid w:val="48534EE0"/>
    <w:rsid w:val="53A058D9"/>
    <w:rsid w:val="54361D73"/>
    <w:rsid w:val="54E75094"/>
    <w:rsid w:val="583170FA"/>
    <w:rsid w:val="59E1789E"/>
    <w:rsid w:val="5DF7425E"/>
    <w:rsid w:val="67AA3507"/>
    <w:rsid w:val="69C56169"/>
    <w:rsid w:val="711A3856"/>
    <w:rsid w:val="79C34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8">
    <w:name w:val="Hyperlink"/>
    <w:basedOn w:val="7"/>
    <w:unhideWhenUsed/>
    <w:qFormat/>
    <w:uiPriority w:val="0"/>
    <w:rPr>
      <w:color w:val="0000FF"/>
      <w:u w:val="single"/>
    </w:rPr>
  </w:style>
  <w:style w:type="character" w:customStyle="1" w:styleId="9">
    <w:name w:val="页脚 Char"/>
    <w:basedOn w:val="7"/>
    <w:link w:val="3"/>
    <w:semiHidden/>
    <w:qFormat/>
    <w:uiPriority w:val="99"/>
    <w:rPr>
      <w:kern w:val="2"/>
      <w:sz w:val="18"/>
      <w:szCs w:val="18"/>
    </w:rPr>
  </w:style>
  <w:style w:type="character" w:customStyle="1" w:styleId="10">
    <w:name w:val="页眉 Char"/>
    <w:basedOn w:val="7"/>
    <w:link w:val="4"/>
    <w:semiHidden/>
    <w:qFormat/>
    <w:uiPriority w:val="99"/>
    <w:rPr>
      <w:kern w:val="2"/>
      <w:sz w:val="18"/>
      <w:szCs w:val="18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character" w:customStyle="1" w:styleId="12">
    <w:name w:val="批注框文本 Char"/>
    <w:basedOn w:val="7"/>
    <w:link w:val="2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tiff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15</Pages>
  <Words>1563</Words>
  <Characters>8915</Characters>
  <Lines>74</Lines>
  <Paragraphs>20</Paragraphs>
  <TotalTime>5</TotalTime>
  <ScaleCrop>false</ScaleCrop>
  <LinksUpToDate>false</LinksUpToDate>
  <CharactersWithSpaces>10458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2020-08-18T06:56:00Z</dcterms:created>
  <dc:creator>Administrator</dc:creator>
  <cp:lastModifiedBy>等待不变</cp:lastModifiedBy>
  <dcterms:modified xsi:type="dcterms:W3CDTF">2021-03-29T11:48:30Z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8A29558BDB2745C98B35487CA2925908</vt:lpwstr>
  </property>
</Properties>
</file>