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94" w:rsidRPr="00B1168D" w:rsidRDefault="006F3394" w:rsidP="006F3394">
      <w:pPr>
        <w:pStyle w:val="Tablefigure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Pr="00B1168D">
        <w:rPr>
          <w:rFonts w:ascii="Times New Roman" w:hAnsi="Times New Roman" w:cs="Times New Roman"/>
          <w:b/>
          <w:bCs/>
        </w:rPr>
        <w:t>Table 1.</w:t>
      </w:r>
      <w:r w:rsidRPr="00B1168D">
        <w:rPr>
          <w:rFonts w:ascii="Times New Roman" w:hAnsi="Times New Roman" w:cs="Times New Roman"/>
        </w:rPr>
        <w:t xml:space="preserve"> Propensity score matching cohort (</w:t>
      </w:r>
      <w:r w:rsidRPr="00B1168D">
        <w:rPr>
          <w:rFonts w:ascii="Times New Roman" w:hAnsi="Times New Roman" w:cs="Times New Roman"/>
          <w:bCs/>
        </w:rPr>
        <w:t>early-stage breast cancer</w:t>
      </w:r>
      <w:r w:rsidRPr="00B1168D">
        <w:rPr>
          <w:rFonts w:ascii="Times New Roman" w:hAnsi="Times New Roman" w:cs="Times New Roman"/>
        </w:rPr>
        <w:t>).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2135"/>
        <w:gridCol w:w="1652"/>
        <w:gridCol w:w="1652"/>
        <w:gridCol w:w="1652"/>
        <w:gridCol w:w="1654"/>
      </w:tblGrid>
      <w:tr w:rsidR="006F3394" w:rsidRPr="00B1168D" w:rsidTr="00DD689B">
        <w:tc>
          <w:tcPr>
            <w:tcW w:w="1339" w:type="pct"/>
            <w:gridSpan w:val="2"/>
            <w:tcBorders>
              <w:top w:val="single" w:sz="12" w:space="0" w:color="000000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3661" w:type="pct"/>
            <w:gridSpan w:val="4"/>
            <w:tcBorders>
              <w:top w:val="single" w:sz="12" w:space="0" w:color="000000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/>
                <w:sz w:val="20"/>
                <w:szCs w:val="20"/>
              </w:rPr>
              <w:t>Early-stage breast cancer</w:t>
            </w:r>
          </w:p>
        </w:tc>
      </w:tr>
      <w:tr w:rsidR="006F3394" w:rsidRPr="00B1168D" w:rsidTr="00DD689B">
        <w:tc>
          <w:tcPr>
            <w:tcW w:w="1339" w:type="pct"/>
            <w:gridSpan w:val="2"/>
            <w:tcBorders>
              <w:bottom w:val="single" w:sz="12" w:space="0" w:color="000000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915" w:type="pct"/>
            <w:tcBorders>
              <w:bottom w:val="single" w:sz="12" w:space="0" w:color="000000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/>
                <w:sz w:val="20"/>
                <w:szCs w:val="20"/>
              </w:rPr>
              <w:t>RTZ (</w:t>
            </w:r>
            <w:r w:rsidRPr="00B116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Pr="00B1168D">
              <w:rPr>
                <w:rFonts w:ascii="Times New Roman" w:hAnsi="Times New Roman" w:cs="Times New Roman"/>
                <w:b/>
                <w:sz w:val="20"/>
                <w:szCs w:val="20"/>
              </w:rPr>
              <w:t>=86)</w:t>
            </w:r>
          </w:p>
        </w:tc>
        <w:tc>
          <w:tcPr>
            <w:tcW w:w="915" w:type="pct"/>
            <w:tcBorders>
              <w:bottom w:val="single" w:sz="12" w:space="0" w:color="000000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/>
                <w:sz w:val="20"/>
                <w:szCs w:val="20"/>
              </w:rPr>
              <w:t>CT-P6 (</w:t>
            </w:r>
            <w:r w:rsidRPr="00B116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Pr="00B1168D">
              <w:rPr>
                <w:rFonts w:ascii="Times New Roman" w:hAnsi="Times New Roman" w:cs="Times New Roman"/>
                <w:b/>
                <w:sz w:val="20"/>
                <w:szCs w:val="20"/>
              </w:rPr>
              <w:t>=86)</w:t>
            </w:r>
          </w:p>
        </w:tc>
        <w:tc>
          <w:tcPr>
            <w:tcW w:w="915" w:type="pct"/>
            <w:tcBorders>
              <w:bottom w:val="single" w:sz="12" w:space="0" w:color="000000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/>
                <w:sz w:val="20"/>
                <w:szCs w:val="20"/>
              </w:rPr>
              <w:t>Total (</w:t>
            </w:r>
            <w:r w:rsidRPr="00B116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Pr="00B1168D">
              <w:rPr>
                <w:rFonts w:ascii="Times New Roman" w:hAnsi="Times New Roman" w:cs="Times New Roman"/>
                <w:b/>
                <w:sz w:val="20"/>
                <w:szCs w:val="20"/>
              </w:rPr>
              <w:t>=172)</w:t>
            </w:r>
          </w:p>
        </w:tc>
        <w:tc>
          <w:tcPr>
            <w:tcW w:w="916" w:type="pct"/>
            <w:tcBorders>
              <w:bottom w:val="single" w:sz="12" w:space="0" w:color="000000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Pr="00B1168D">
              <w:rPr>
                <w:rFonts w:ascii="Times New Roman" w:hAnsi="Times New Roman" w:cs="Times New Roman"/>
                <w:b/>
                <w:sz w:val="20"/>
                <w:szCs w:val="20"/>
              </w:rPr>
              <w:t>-value</w:t>
            </w:r>
          </w:p>
        </w:tc>
      </w:tr>
      <w:tr w:rsidR="006F3394" w:rsidRPr="00B1168D" w:rsidTr="00DD689B">
        <w:tc>
          <w:tcPr>
            <w:tcW w:w="1339" w:type="pct"/>
            <w:gridSpan w:val="2"/>
            <w:tcBorders>
              <w:top w:val="single" w:sz="12" w:space="0" w:color="000000"/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>Age, median (range)</w:t>
            </w:r>
          </w:p>
        </w:tc>
        <w:tc>
          <w:tcPr>
            <w:tcW w:w="915" w:type="pct"/>
            <w:tcBorders>
              <w:top w:val="single" w:sz="12" w:space="0" w:color="000000"/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49 (27–71)</w:t>
            </w:r>
          </w:p>
        </w:tc>
        <w:tc>
          <w:tcPr>
            <w:tcW w:w="915" w:type="pct"/>
            <w:tcBorders>
              <w:top w:val="single" w:sz="12" w:space="0" w:color="000000"/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51.0 (31–75)</w:t>
            </w:r>
          </w:p>
        </w:tc>
        <w:tc>
          <w:tcPr>
            <w:tcW w:w="915" w:type="pct"/>
            <w:tcBorders>
              <w:top w:val="single" w:sz="12" w:space="0" w:color="000000"/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50 (27–75) </w:t>
            </w:r>
          </w:p>
        </w:tc>
        <w:tc>
          <w:tcPr>
            <w:tcW w:w="916" w:type="pct"/>
            <w:tcBorders>
              <w:top w:val="single" w:sz="12" w:space="0" w:color="000000"/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0.497</w:t>
            </w:r>
          </w:p>
        </w:tc>
      </w:tr>
      <w:tr w:rsidR="006F3394" w:rsidRPr="00B1168D" w:rsidTr="00DD689B">
        <w:tc>
          <w:tcPr>
            <w:tcW w:w="1339" w:type="pct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Histology, </w:t>
            </w:r>
            <w:r w:rsidRPr="00B1168D"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  <w:t>n</w:t>
            </w: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(%)</w:t>
            </w:r>
          </w:p>
        </w:tc>
        <w:tc>
          <w:tcPr>
            <w:tcW w:w="915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&gt;0.999</w:t>
            </w:r>
          </w:p>
        </w:tc>
      </w:tr>
      <w:tr w:rsidR="006F3394" w:rsidRPr="00B1168D" w:rsidTr="00DD689B">
        <w:tc>
          <w:tcPr>
            <w:tcW w:w="156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1183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>IDC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84 (97.7)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85 (98.8)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169 (98.2)</w:t>
            </w:r>
          </w:p>
        </w:tc>
        <w:tc>
          <w:tcPr>
            <w:tcW w:w="916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94" w:rsidRPr="00B1168D" w:rsidTr="00DD689B">
        <w:tc>
          <w:tcPr>
            <w:tcW w:w="156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1183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>ILC</w:t>
            </w:r>
          </w:p>
        </w:tc>
        <w:tc>
          <w:tcPr>
            <w:tcW w:w="915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2 (2.3)</w:t>
            </w:r>
          </w:p>
        </w:tc>
        <w:tc>
          <w:tcPr>
            <w:tcW w:w="915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1 (1.2)</w:t>
            </w:r>
          </w:p>
        </w:tc>
        <w:tc>
          <w:tcPr>
            <w:tcW w:w="915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3 (1.7)</w:t>
            </w:r>
          </w:p>
        </w:tc>
        <w:tc>
          <w:tcPr>
            <w:tcW w:w="916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94" w:rsidRPr="00B1168D" w:rsidTr="00DD689B">
        <w:tc>
          <w:tcPr>
            <w:tcW w:w="1339" w:type="pct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ER, </w:t>
            </w:r>
            <w:r w:rsidRPr="00B1168D"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  <w:t>n</w:t>
            </w: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(%)</w:t>
            </w:r>
          </w:p>
        </w:tc>
        <w:tc>
          <w:tcPr>
            <w:tcW w:w="915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0.248</w:t>
            </w:r>
          </w:p>
        </w:tc>
      </w:tr>
      <w:tr w:rsidR="006F3394" w:rsidRPr="00B1168D" w:rsidTr="00DD689B">
        <w:tc>
          <w:tcPr>
            <w:tcW w:w="156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1183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>Positive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30 (34.9)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23 (26.7)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53 (30.8)</w:t>
            </w:r>
          </w:p>
        </w:tc>
        <w:tc>
          <w:tcPr>
            <w:tcW w:w="916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94" w:rsidRPr="00B1168D" w:rsidTr="00DD689B">
        <w:tc>
          <w:tcPr>
            <w:tcW w:w="156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1183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>Negative</w:t>
            </w:r>
          </w:p>
        </w:tc>
        <w:tc>
          <w:tcPr>
            <w:tcW w:w="915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56 (65.1)</w:t>
            </w:r>
          </w:p>
        </w:tc>
        <w:tc>
          <w:tcPr>
            <w:tcW w:w="915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63 (73.3)</w:t>
            </w:r>
          </w:p>
        </w:tc>
        <w:tc>
          <w:tcPr>
            <w:tcW w:w="915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119 (69.2)</w:t>
            </w:r>
          </w:p>
        </w:tc>
        <w:tc>
          <w:tcPr>
            <w:tcW w:w="916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94" w:rsidRPr="00B1168D" w:rsidTr="00DD689B">
        <w:tc>
          <w:tcPr>
            <w:tcW w:w="1339" w:type="pct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PR, </w:t>
            </w:r>
            <w:r w:rsidRPr="00B1168D"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  <w:t>n</w:t>
            </w: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(%)</w:t>
            </w:r>
          </w:p>
        </w:tc>
        <w:tc>
          <w:tcPr>
            <w:tcW w:w="915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0.708</w:t>
            </w:r>
          </w:p>
        </w:tc>
      </w:tr>
      <w:tr w:rsidR="006F3394" w:rsidRPr="00B1168D" w:rsidTr="00DD689B">
        <w:tc>
          <w:tcPr>
            <w:tcW w:w="156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1183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>Positive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19 (22.1)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17(19.8)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38 (20.9)</w:t>
            </w:r>
          </w:p>
        </w:tc>
        <w:tc>
          <w:tcPr>
            <w:tcW w:w="916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94" w:rsidRPr="00B1168D" w:rsidTr="00DD689B">
        <w:tc>
          <w:tcPr>
            <w:tcW w:w="156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1183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>Negative</w:t>
            </w:r>
          </w:p>
        </w:tc>
        <w:tc>
          <w:tcPr>
            <w:tcW w:w="915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67 (77.9)</w:t>
            </w:r>
          </w:p>
        </w:tc>
        <w:tc>
          <w:tcPr>
            <w:tcW w:w="915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69 (80.3)</w:t>
            </w:r>
          </w:p>
        </w:tc>
        <w:tc>
          <w:tcPr>
            <w:tcW w:w="915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136 (79.1)</w:t>
            </w:r>
          </w:p>
        </w:tc>
        <w:tc>
          <w:tcPr>
            <w:tcW w:w="916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94" w:rsidRPr="00B1168D" w:rsidTr="00DD689B">
        <w:tc>
          <w:tcPr>
            <w:tcW w:w="1339" w:type="pct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Subgroup, </w:t>
            </w:r>
            <w:r w:rsidRPr="00B1168D"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  <w:t>n</w:t>
            </w: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(%)</w:t>
            </w:r>
          </w:p>
        </w:tc>
        <w:tc>
          <w:tcPr>
            <w:tcW w:w="915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0.248</w:t>
            </w:r>
          </w:p>
        </w:tc>
      </w:tr>
      <w:tr w:rsidR="006F3394" w:rsidRPr="00B1168D" w:rsidTr="00DD689B">
        <w:tc>
          <w:tcPr>
            <w:tcW w:w="156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1183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>HR+/HER2+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30 (34.9)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23 (26.7)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53 (30.8)</w:t>
            </w:r>
          </w:p>
        </w:tc>
        <w:tc>
          <w:tcPr>
            <w:tcW w:w="916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94" w:rsidRPr="00B1168D" w:rsidTr="00DD689B">
        <w:tc>
          <w:tcPr>
            <w:tcW w:w="156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1183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>HR−/HER2+</w:t>
            </w:r>
          </w:p>
        </w:tc>
        <w:tc>
          <w:tcPr>
            <w:tcW w:w="915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56 (65.1)</w:t>
            </w:r>
          </w:p>
        </w:tc>
        <w:tc>
          <w:tcPr>
            <w:tcW w:w="915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63 (73.3)</w:t>
            </w:r>
          </w:p>
        </w:tc>
        <w:tc>
          <w:tcPr>
            <w:tcW w:w="915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119 (69.2)</w:t>
            </w:r>
          </w:p>
        </w:tc>
        <w:tc>
          <w:tcPr>
            <w:tcW w:w="916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94" w:rsidRPr="00B1168D" w:rsidTr="00DD689B">
        <w:tc>
          <w:tcPr>
            <w:tcW w:w="1339" w:type="pct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proofErr w:type="spellStart"/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>HG,</w:t>
            </w: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  <w:vertAlign w:val="superscript"/>
              </w:rPr>
              <w:t>a</w:t>
            </w:r>
            <w:proofErr w:type="spellEnd"/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B1168D"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  <w:t>n</w:t>
            </w: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(%)</w:t>
            </w:r>
          </w:p>
        </w:tc>
        <w:tc>
          <w:tcPr>
            <w:tcW w:w="915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0.173</w:t>
            </w:r>
          </w:p>
        </w:tc>
      </w:tr>
      <w:tr w:rsidR="006F3394" w:rsidRPr="00B1168D" w:rsidTr="00DD689B">
        <w:tc>
          <w:tcPr>
            <w:tcW w:w="156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1183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>1 or 2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59 (76.6)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50 (66.7)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109 (71.7)</w:t>
            </w:r>
          </w:p>
        </w:tc>
        <w:tc>
          <w:tcPr>
            <w:tcW w:w="916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94" w:rsidRPr="00B1168D" w:rsidTr="00DD689B">
        <w:tc>
          <w:tcPr>
            <w:tcW w:w="156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1183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>3</w:t>
            </w:r>
          </w:p>
        </w:tc>
        <w:tc>
          <w:tcPr>
            <w:tcW w:w="915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18 (23.4)</w:t>
            </w:r>
          </w:p>
        </w:tc>
        <w:tc>
          <w:tcPr>
            <w:tcW w:w="915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25 (33.3)</w:t>
            </w:r>
          </w:p>
        </w:tc>
        <w:tc>
          <w:tcPr>
            <w:tcW w:w="915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43 (28.3)</w:t>
            </w:r>
          </w:p>
        </w:tc>
        <w:tc>
          <w:tcPr>
            <w:tcW w:w="916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94" w:rsidRPr="00B1168D" w:rsidTr="00DD689B">
        <w:trPr>
          <w:trHeight w:val="332"/>
        </w:trPr>
        <w:tc>
          <w:tcPr>
            <w:tcW w:w="1339" w:type="pct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>Ki67,</w:t>
            </w: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  <w:vertAlign w:val="superscript"/>
              </w:rPr>
              <w:t>a</w:t>
            </w: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B1168D"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  <w:t>n</w:t>
            </w: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(%)</w:t>
            </w:r>
          </w:p>
        </w:tc>
        <w:tc>
          <w:tcPr>
            <w:tcW w:w="915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0.335</w:t>
            </w:r>
          </w:p>
        </w:tc>
      </w:tr>
      <w:tr w:rsidR="006F3394" w:rsidRPr="00B1168D" w:rsidTr="00DD689B">
        <w:trPr>
          <w:trHeight w:val="332"/>
        </w:trPr>
        <w:tc>
          <w:tcPr>
            <w:tcW w:w="156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1183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>&lt;14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16 (27.1)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12 (19.7)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28 (23.3)</w:t>
            </w:r>
          </w:p>
        </w:tc>
        <w:tc>
          <w:tcPr>
            <w:tcW w:w="916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94" w:rsidRPr="00B1168D" w:rsidTr="00DD689B">
        <w:trPr>
          <w:trHeight w:val="332"/>
        </w:trPr>
        <w:tc>
          <w:tcPr>
            <w:tcW w:w="156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1183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>≥14</w:t>
            </w:r>
          </w:p>
        </w:tc>
        <w:tc>
          <w:tcPr>
            <w:tcW w:w="915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43 (72.9)</w:t>
            </w:r>
          </w:p>
        </w:tc>
        <w:tc>
          <w:tcPr>
            <w:tcW w:w="915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49 (80.3)</w:t>
            </w:r>
          </w:p>
        </w:tc>
        <w:tc>
          <w:tcPr>
            <w:tcW w:w="915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92 (76.7)</w:t>
            </w:r>
          </w:p>
        </w:tc>
        <w:tc>
          <w:tcPr>
            <w:tcW w:w="916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94" w:rsidRPr="00B1168D" w:rsidTr="00DD689B">
        <w:trPr>
          <w:trHeight w:val="377"/>
        </w:trPr>
        <w:tc>
          <w:tcPr>
            <w:tcW w:w="1339" w:type="pct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proofErr w:type="spellStart"/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>cT,</w:t>
            </w: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  <w:vertAlign w:val="superscript"/>
              </w:rPr>
              <w:t>b</w:t>
            </w:r>
            <w:proofErr w:type="spellEnd"/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B1168D"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  <w:t>n</w:t>
            </w: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(%)</w:t>
            </w:r>
          </w:p>
        </w:tc>
        <w:tc>
          <w:tcPr>
            <w:tcW w:w="915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0.742</w:t>
            </w:r>
          </w:p>
        </w:tc>
      </w:tr>
      <w:tr w:rsidR="006F3394" w:rsidRPr="00B1168D" w:rsidTr="00DD689B">
        <w:trPr>
          <w:trHeight w:val="332"/>
        </w:trPr>
        <w:tc>
          <w:tcPr>
            <w:tcW w:w="156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1183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>1 or 2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58 (67.4)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60 (69.8)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118 (68.6)</w:t>
            </w:r>
          </w:p>
        </w:tc>
        <w:tc>
          <w:tcPr>
            <w:tcW w:w="916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94" w:rsidRPr="00B1168D" w:rsidTr="00DD689B">
        <w:trPr>
          <w:trHeight w:val="332"/>
        </w:trPr>
        <w:tc>
          <w:tcPr>
            <w:tcW w:w="156" w:type="pct"/>
            <w:tcBorders>
              <w:bottom w:val="single" w:sz="8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1183" w:type="pct"/>
            <w:tcBorders>
              <w:bottom w:val="single" w:sz="8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>≥3</w:t>
            </w:r>
          </w:p>
        </w:tc>
        <w:tc>
          <w:tcPr>
            <w:tcW w:w="915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28 (32.6)</w:t>
            </w:r>
          </w:p>
        </w:tc>
        <w:tc>
          <w:tcPr>
            <w:tcW w:w="915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26 (30.2)</w:t>
            </w:r>
          </w:p>
        </w:tc>
        <w:tc>
          <w:tcPr>
            <w:tcW w:w="915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54 (31.4)</w:t>
            </w:r>
          </w:p>
        </w:tc>
        <w:tc>
          <w:tcPr>
            <w:tcW w:w="916" w:type="pct"/>
            <w:tcBorders>
              <w:bottom w:val="single" w:sz="4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94" w:rsidRPr="00B1168D" w:rsidTr="00DD689B">
        <w:trPr>
          <w:trHeight w:val="332"/>
        </w:trPr>
        <w:tc>
          <w:tcPr>
            <w:tcW w:w="1339" w:type="pct"/>
            <w:gridSpan w:val="2"/>
            <w:tcBorders>
              <w:top w:val="single" w:sz="8" w:space="0" w:color="D9D9D9" w:themeColor="background1" w:themeShade="D9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proofErr w:type="spellStart"/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>cN,</w:t>
            </w: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  <w:vertAlign w:val="superscript"/>
              </w:rPr>
              <w:t>c</w:t>
            </w:r>
            <w:proofErr w:type="spellEnd"/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B1168D"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  <w:t>n</w:t>
            </w: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(%)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0.660</w:t>
            </w:r>
          </w:p>
        </w:tc>
      </w:tr>
      <w:tr w:rsidR="006F3394" w:rsidRPr="00B1168D" w:rsidTr="00DD689B">
        <w:trPr>
          <w:trHeight w:val="332"/>
        </w:trPr>
        <w:tc>
          <w:tcPr>
            <w:tcW w:w="156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1183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>Negative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11 (12.8)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13 (15.1)</w:t>
            </w:r>
          </w:p>
        </w:tc>
        <w:tc>
          <w:tcPr>
            <w:tcW w:w="915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24 (13.9)</w:t>
            </w:r>
          </w:p>
        </w:tc>
        <w:tc>
          <w:tcPr>
            <w:tcW w:w="916" w:type="pct"/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94" w:rsidRPr="00B1168D" w:rsidTr="00DD689B">
        <w:trPr>
          <w:trHeight w:val="332"/>
        </w:trPr>
        <w:tc>
          <w:tcPr>
            <w:tcW w:w="156" w:type="pct"/>
            <w:tcBorders>
              <w:bottom w:val="single" w:sz="12" w:space="0" w:color="auto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1183" w:type="pct"/>
            <w:tcBorders>
              <w:bottom w:val="single" w:sz="12" w:space="0" w:color="auto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Cs w:val="0"/>
                <w:sz w:val="20"/>
                <w:szCs w:val="20"/>
              </w:rPr>
              <w:t>Positive</w:t>
            </w:r>
          </w:p>
        </w:tc>
        <w:tc>
          <w:tcPr>
            <w:tcW w:w="915" w:type="pct"/>
            <w:tcBorders>
              <w:bottom w:val="single" w:sz="12" w:space="0" w:color="auto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75 (87.2)</w:t>
            </w:r>
          </w:p>
        </w:tc>
        <w:tc>
          <w:tcPr>
            <w:tcW w:w="915" w:type="pct"/>
            <w:tcBorders>
              <w:bottom w:val="single" w:sz="12" w:space="0" w:color="auto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73 (84.9)</w:t>
            </w:r>
          </w:p>
        </w:tc>
        <w:tc>
          <w:tcPr>
            <w:tcW w:w="915" w:type="pct"/>
            <w:tcBorders>
              <w:bottom w:val="single" w:sz="12" w:space="0" w:color="auto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sz w:val="20"/>
                <w:szCs w:val="20"/>
              </w:rPr>
              <w:t>148 (86.1)</w:t>
            </w:r>
          </w:p>
        </w:tc>
        <w:tc>
          <w:tcPr>
            <w:tcW w:w="916" w:type="pct"/>
            <w:tcBorders>
              <w:bottom w:val="single" w:sz="12" w:space="0" w:color="auto"/>
            </w:tcBorders>
            <w:vAlign w:val="center"/>
          </w:tcPr>
          <w:p w:rsidR="006F3394" w:rsidRPr="00B1168D" w:rsidRDefault="006F3394" w:rsidP="00DD68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3394" w:rsidRPr="00B1168D" w:rsidRDefault="006F3394" w:rsidP="006F3394">
      <w:pPr>
        <w:pStyle w:val="Tablefigurefootnote"/>
        <w:rPr>
          <w:rFonts w:ascii="Times New Roman" w:hAnsi="Times New Roman" w:cs="Times New Roman"/>
        </w:rPr>
      </w:pPr>
      <w:r w:rsidRPr="00B1168D">
        <w:rPr>
          <w:rFonts w:ascii="Times New Roman" w:hAnsi="Times New Roman" w:cs="Times New Roman"/>
          <w:vertAlign w:val="superscript"/>
        </w:rPr>
        <w:t>a</w:t>
      </w:r>
      <w:r w:rsidRPr="00B1168D">
        <w:rPr>
          <w:rFonts w:ascii="Times New Roman" w:hAnsi="Times New Roman" w:cs="Times New Roman"/>
          <w:vertAlign w:val="superscript"/>
          <w:lang w:eastAsia="ko-KR"/>
        </w:rPr>
        <w:t> </w:t>
      </w:r>
      <w:r w:rsidRPr="00B1168D">
        <w:rPr>
          <w:rFonts w:ascii="Times New Roman" w:hAnsi="Times New Roman" w:cs="Times New Roman"/>
          <w:lang w:eastAsia="ko-KR"/>
        </w:rPr>
        <w:t>Values were missing for some patients</w:t>
      </w:r>
      <w:r w:rsidRPr="00B1168D">
        <w:rPr>
          <w:rFonts w:ascii="Times New Roman" w:hAnsi="Times New Roman" w:cs="Times New Roman"/>
        </w:rPr>
        <w:t>.</w:t>
      </w:r>
    </w:p>
    <w:p w:rsidR="006F3394" w:rsidRPr="00B1168D" w:rsidRDefault="006F3394" w:rsidP="006F3394">
      <w:pPr>
        <w:pStyle w:val="Tablefigurefootnote"/>
        <w:rPr>
          <w:rFonts w:ascii="Times New Roman" w:hAnsi="Times New Roman" w:cs="Times New Roman"/>
        </w:rPr>
      </w:pPr>
      <w:r w:rsidRPr="00B1168D">
        <w:rPr>
          <w:rFonts w:ascii="Times New Roman" w:hAnsi="Times New Roman" w:cs="Times New Roman"/>
          <w:vertAlign w:val="superscript"/>
        </w:rPr>
        <w:t>b</w:t>
      </w:r>
      <w:r w:rsidRPr="00B1168D">
        <w:rPr>
          <w:rFonts w:ascii="Times New Roman" w:hAnsi="Times New Roman" w:cs="Times New Roman"/>
          <w:vertAlign w:val="superscript"/>
          <w:lang w:eastAsia="ko-KR"/>
        </w:rPr>
        <w:t> </w:t>
      </w:r>
      <w:proofErr w:type="spellStart"/>
      <w:r w:rsidRPr="00B1168D">
        <w:rPr>
          <w:rFonts w:ascii="Times New Roman" w:hAnsi="Times New Roman" w:cs="Times New Roman"/>
          <w:lang w:eastAsia="ko-KR"/>
        </w:rPr>
        <w:t>cT</w:t>
      </w:r>
      <w:proofErr w:type="spellEnd"/>
      <w:r w:rsidRPr="00B1168D">
        <w:rPr>
          <w:rFonts w:ascii="Times New Roman" w:hAnsi="Times New Roman" w:cs="Times New Roman"/>
          <w:lang w:eastAsia="ko-KR"/>
        </w:rPr>
        <w:t xml:space="preserve"> was</w:t>
      </w:r>
      <w:r w:rsidRPr="00B1168D">
        <w:rPr>
          <w:rFonts w:ascii="Times New Roman" w:hAnsi="Times New Roman" w:cs="Times New Roman"/>
        </w:rPr>
        <w:t xml:space="preserve"> based on tumor size measured by pre-treatment breast magnetic resonance imaging. </w:t>
      </w:r>
    </w:p>
    <w:p w:rsidR="006F3394" w:rsidRPr="00B1168D" w:rsidRDefault="006F3394" w:rsidP="006F3394">
      <w:pPr>
        <w:pStyle w:val="Tablefigurefootnote"/>
        <w:rPr>
          <w:rFonts w:ascii="Times New Roman" w:hAnsi="Times New Roman" w:cs="Times New Roman"/>
        </w:rPr>
      </w:pPr>
      <w:r w:rsidRPr="00B1168D">
        <w:rPr>
          <w:rFonts w:ascii="Times New Roman" w:hAnsi="Times New Roman" w:cs="Times New Roman"/>
          <w:vertAlign w:val="superscript"/>
        </w:rPr>
        <w:t>c</w:t>
      </w:r>
      <w:r w:rsidRPr="00B1168D">
        <w:rPr>
          <w:rFonts w:ascii="Times New Roman" w:hAnsi="Times New Roman" w:cs="Times New Roman"/>
          <w:vertAlign w:val="superscript"/>
          <w:lang w:eastAsia="ko-KR"/>
        </w:rPr>
        <w:t> </w:t>
      </w:r>
      <w:proofErr w:type="spellStart"/>
      <w:r w:rsidRPr="00B1168D">
        <w:rPr>
          <w:rFonts w:ascii="Times New Roman" w:hAnsi="Times New Roman" w:cs="Times New Roman"/>
        </w:rPr>
        <w:t>cN</w:t>
      </w:r>
      <w:proofErr w:type="spellEnd"/>
      <w:r w:rsidRPr="00B1168D">
        <w:rPr>
          <w:rFonts w:ascii="Times New Roman" w:hAnsi="Times New Roman" w:cs="Times New Roman"/>
        </w:rPr>
        <w:t xml:space="preserve"> positive was defined as axillary lymph node metastasis proven by fine-needle aspiration biopsy (FNAB), or suspicious axillary lymph node metastasis in the imaging study among patients who did not receive FNAB. </w:t>
      </w:r>
    </w:p>
    <w:p w:rsidR="006F3394" w:rsidRPr="00B1168D" w:rsidRDefault="006F3394" w:rsidP="006F3394">
      <w:pPr>
        <w:pStyle w:val="Tablefigurefootnote"/>
        <w:rPr>
          <w:rFonts w:ascii="Times New Roman" w:hAnsi="Times New Roman" w:cs="Times New Roman"/>
        </w:rPr>
      </w:pPr>
      <w:proofErr w:type="spellStart"/>
      <w:r w:rsidRPr="00B1168D">
        <w:rPr>
          <w:rFonts w:ascii="Times New Roman" w:hAnsi="Times New Roman" w:cs="Times New Roman"/>
        </w:rPr>
        <w:t>cN</w:t>
      </w:r>
      <w:proofErr w:type="spellEnd"/>
      <w:r w:rsidRPr="00B1168D">
        <w:rPr>
          <w:rFonts w:ascii="Times New Roman" w:hAnsi="Times New Roman" w:cs="Times New Roman"/>
        </w:rPr>
        <w:t xml:space="preserve">, clinical node stage; </w:t>
      </w:r>
      <w:proofErr w:type="spellStart"/>
      <w:r w:rsidRPr="00B1168D">
        <w:rPr>
          <w:rFonts w:ascii="Times New Roman" w:hAnsi="Times New Roman" w:cs="Times New Roman"/>
        </w:rPr>
        <w:t>cT</w:t>
      </w:r>
      <w:proofErr w:type="spellEnd"/>
      <w:r w:rsidRPr="00B1168D">
        <w:rPr>
          <w:rFonts w:ascii="Times New Roman" w:hAnsi="Times New Roman" w:cs="Times New Roman"/>
        </w:rPr>
        <w:t xml:space="preserve">, clinical tumor stage; ER, estrogen receptor; HER2, human epidermal growth factor receptor 2; HG, histologic grade; HR, hormone receptor; IDC, invasive ductal carcinoma; ILC, invasive lobular carcinoma; PR, progesterone receptor; RTZ, reference </w:t>
      </w:r>
      <w:proofErr w:type="spellStart"/>
      <w:r w:rsidRPr="00B1168D">
        <w:rPr>
          <w:rFonts w:ascii="Times New Roman" w:hAnsi="Times New Roman" w:cs="Times New Roman"/>
        </w:rPr>
        <w:t>trastuzumab</w:t>
      </w:r>
      <w:proofErr w:type="spellEnd"/>
      <w:r w:rsidRPr="00B1168D">
        <w:rPr>
          <w:rFonts w:ascii="Times New Roman" w:hAnsi="Times New Roman" w:cs="Times New Roman"/>
        </w:rPr>
        <w:t>.</w:t>
      </w:r>
    </w:p>
    <w:p w:rsidR="00E87887" w:rsidRPr="006F3394" w:rsidRDefault="00E87887">
      <w:bookmarkStart w:id="0" w:name="_GoBack"/>
      <w:bookmarkEnd w:id="0"/>
    </w:p>
    <w:sectPr w:rsidR="00E87887" w:rsidRPr="006F339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94"/>
    <w:rsid w:val="006F3394"/>
    <w:rsid w:val="00E8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E750D-ED90-464C-8CA6-812C833C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394"/>
    <w:pPr>
      <w:spacing w:after="0" w:line="360" w:lineRule="auto"/>
      <w:jc w:val="left"/>
    </w:pPr>
    <w:rPr>
      <w:rFonts w:ascii="Arial" w:eastAsia="MS Mincho" w:hAnsi="Arial" w:cs="Arial"/>
      <w:bCs/>
      <w:kern w:val="0"/>
      <w:sz w:val="22"/>
      <w:szCs w:val="24"/>
      <w:lang w:eastAsia="ja-JP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F339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6F3394"/>
    <w:pPr>
      <w:spacing w:before="120" w:after="0" w:line="240" w:lineRule="auto"/>
      <w:jc w:val="left"/>
    </w:pPr>
    <w:rPr>
      <w:rFonts w:ascii="Calibri" w:eastAsia="MS Mincho" w:hAnsi="Calibri" w:cs="Arial"/>
      <w:kern w:val="0"/>
      <w:sz w:val="22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figuretitle">
    <w:name w:val="Table/figure title"/>
    <w:basedOn w:val="2"/>
    <w:link w:val="TablefiguretitleChar"/>
    <w:qFormat/>
    <w:rsid w:val="006F3394"/>
    <w:pPr>
      <w:spacing w:before="120" w:after="240" w:line="276" w:lineRule="auto"/>
    </w:pPr>
    <w:rPr>
      <w:rFonts w:ascii="Arial" w:hAnsi="Arial" w:cs="Arial"/>
      <w:bCs w:val="0"/>
      <w:sz w:val="24"/>
    </w:rPr>
  </w:style>
  <w:style w:type="paragraph" w:customStyle="1" w:styleId="Tablefigurefootnote">
    <w:name w:val="Table/figure footnote"/>
    <w:basedOn w:val="a"/>
    <w:link w:val="TablefigurefootnoteChar"/>
    <w:qFormat/>
    <w:rsid w:val="006F3394"/>
    <w:pPr>
      <w:spacing w:before="120" w:line="276" w:lineRule="auto"/>
    </w:pPr>
    <w:rPr>
      <w:sz w:val="20"/>
      <w:szCs w:val="20"/>
    </w:rPr>
  </w:style>
  <w:style w:type="character" w:customStyle="1" w:styleId="TablefiguretitleChar">
    <w:name w:val="Table/figure title Char"/>
    <w:basedOn w:val="2Char"/>
    <w:link w:val="Tablefiguretitle"/>
    <w:rsid w:val="006F3394"/>
    <w:rPr>
      <w:rFonts w:ascii="Arial" w:eastAsiaTheme="majorEastAsia" w:hAnsi="Arial" w:cs="Arial"/>
      <w:bCs w:val="0"/>
      <w:kern w:val="0"/>
      <w:sz w:val="24"/>
      <w:szCs w:val="24"/>
      <w:lang w:eastAsia="ja-JP"/>
    </w:rPr>
  </w:style>
  <w:style w:type="character" w:customStyle="1" w:styleId="TablefigurefootnoteChar">
    <w:name w:val="Table/figure footnote Char"/>
    <w:basedOn w:val="a0"/>
    <w:link w:val="Tablefigurefootnote"/>
    <w:rsid w:val="006F3394"/>
    <w:rPr>
      <w:rFonts w:ascii="Arial" w:eastAsia="MS Mincho" w:hAnsi="Arial" w:cs="Arial"/>
      <w:bCs/>
      <w:kern w:val="0"/>
      <w:szCs w:val="20"/>
      <w:lang w:eastAsia="ja-JP"/>
    </w:rPr>
  </w:style>
  <w:style w:type="character" w:customStyle="1" w:styleId="2Char">
    <w:name w:val="제목 2 Char"/>
    <w:basedOn w:val="a0"/>
    <w:link w:val="2"/>
    <w:uiPriority w:val="9"/>
    <w:semiHidden/>
    <w:rsid w:val="006F3394"/>
    <w:rPr>
      <w:rFonts w:asciiTheme="majorHAnsi" w:eastAsiaTheme="majorEastAsia" w:hAnsiTheme="majorHAnsi" w:cstheme="majorBidi"/>
      <w:bCs/>
      <w:kern w:val="0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Jee Hung</dc:creator>
  <cp:keywords/>
  <dc:description/>
  <cp:lastModifiedBy>Kim Jee Hung</cp:lastModifiedBy>
  <cp:revision>1</cp:revision>
  <dcterms:created xsi:type="dcterms:W3CDTF">2021-03-24T10:57:00Z</dcterms:created>
  <dcterms:modified xsi:type="dcterms:W3CDTF">2021-03-24T10:57:00Z</dcterms:modified>
</cp:coreProperties>
</file>