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C7D26" w14:textId="09DE2415" w:rsidR="002162FE" w:rsidRDefault="002162FE" w:rsidP="002162FE">
      <w:pPr>
        <w:rPr>
          <w:rFonts w:ascii="Times New Roman" w:hAnsi="Times New Roman" w:cs="Times New Roman"/>
        </w:rPr>
      </w:pPr>
      <w:bookmarkStart w:id="0" w:name="_Hlk76371674"/>
      <w:r w:rsidRPr="0072711E">
        <w:rPr>
          <w:rFonts w:ascii="Times New Roman" w:hAnsi="Times New Roman" w:cs="Times New Roman"/>
        </w:rPr>
        <w:t>Supplementary Table S</w:t>
      </w:r>
      <w:r>
        <w:rPr>
          <w:rFonts w:ascii="Times New Roman" w:hAnsi="Times New Roman" w:cs="Times New Roman"/>
        </w:rPr>
        <w:t>1</w:t>
      </w:r>
      <w:bookmarkEnd w:id="0"/>
      <w:r>
        <w:rPr>
          <w:rFonts w:ascii="Times New Roman" w:hAnsi="Times New Roman" w:cs="Times New Roman"/>
        </w:rPr>
        <w:t xml:space="preserve"> </w:t>
      </w:r>
      <w:r w:rsidRPr="0016710A">
        <w:rPr>
          <w:rFonts w:ascii="Times New Roman" w:hAnsi="Times New Roman" w:cs="Times New Roman"/>
        </w:rPr>
        <w:t xml:space="preserve">Illustration of </w:t>
      </w:r>
      <w:bookmarkStart w:id="1" w:name="_Hlk76375364"/>
      <w:r w:rsidRPr="0016710A">
        <w:rPr>
          <w:rFonts w:ascii="Times New Roman" w:hAnsi="Times New Roman" w:cs="Times New Roman"/>
        </w:rPr>
        <w:t>a 4-point scoring system</w:t>
      </w:r>
      <w:bookmarkEnd w:id="1"/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&lt;EndNote&gt;&lt;Cite&gt;&lt;Author&gt;Mann&lt;/Author&gt;&lt;Year&gt;2012&lt;/Year&gt;&lt;RecNum&gt;191&lt;/RecNum&gt;&lt;DisplayText&gt;(1)&lt;/DisplayText&gt;&lt;record&gt;&lt;rec-number&gt;191&lt;/rec-number&gt;&lt;foreign-keys&gt;&lt;key app="EN" db-id="zrewwf2pb590tse9eeavate45ztdpt55tv2e" timestamp="1625449138"&gt;191&lt;/key&gt;&lt;/foreign-keys&gt;&lt;ref-type name="Journal Article"&gt;17&lt;/ref-type&gt;&lt;contributors&gt;&lt;authors&gt;&lt;author&gt;Mann, P. C.&lt;/author&gt;&lt;author&gt;Vahle, J.&lt;/author&gt;&lt;author&gt;Keenan, C. M.&lt;/author&gt;&lt;author&gt;Baker, J. F.&lt;/author&gt;&lt;author&gt;Bradley, A. E.&lt;/author&gt;&lt;author&gt;Goodman, D. G.&lt;/author&gt;&lt;author&gt;Harada, T.&lt;/author&gt;&lt;author&gt;Herbert, R.&lt;/author&gt;&lt;author&gt;Kaufmann, W.&lt;/author&gt;&lt;author&gt;Kellner, R.&lt;/author&gt;&lt;author&gt;Nolte, T.&lt;/author&gt;&lt;author&gt;Rittinghausen, S.&lt;/author&gt;&lt;author&gt;Tanaka, T.&lt;/author&gt;&lt;/authors&gt;&lt;/contributors&gt;&lt;auth-address&gt;EPL Northwest, Seattle, Washington 98119, USA. pmann@epl-inc.com&lt;/auth-address&gt;&lt;titles&gt;&lt;title&gt;International harmonization of toxicologic pathology nomenclature: an overview and review of basic principles&lt;/title&gt;&lt;secondary-title&gt;Toxicol Pathol&lt;/secondary-title&gt;&lt;/titles&gt;&lt;periodical&gt;&lt;full-title&gt;Toxicol Pathol&lt;/full-title&gt;&lt;/periodical&gt;&lt;pages&gt;7s-13s&lt;/pages&gt;&lt;volume&gt;40&lt;/volume&gt;&lt;number&gt;4 Suppl&lt;/number&gt;&lt;edition&gt;2012/06/01&lt;/edition&gt;&lt;keywords&gt;&lt;keyword&gt;Animals&lt;/keyword&gt;&lt;keyword&gt;Internationality&lt;/keyword&gt;&lt;keyword&gt;Mice&lt;/keyword&gt;&lt;keyword&gt;Neoplasms&lt;/keyword&gt;&lt;keyword&gt;Pathology/*standards&lt;/keyword&gt;&lt;keyword&gt;Rats&lt;/keyword&gt;&lt;keyword&gt;*Terminology as Topic&lt;/keyword&gt;&lt;keyword&gt;Toxicity Tests&lt;/keyword&gt;&lt;keyword&gt;Toxicology/*standards&lt;/keyword&gt;&lt;/keywords&gt;&lt;dates&gt;&lt;year&gt;2012&lt;/year&gt;&lt;pub-dates&gt;&lt;date&gt;Jun&lt;/date&gt;&lt;/pub-dates&gt;&lt;/dates&gt;&lt;isbn&gt;0192-6233&lt;/isbn&gt;&lt;accession-num&gt;22637736&lt;/accession-num&gt;&lt;urls&gt;&lt;/urls&gt;&lt;electronic-resource-num&gt;10.1177/0192623312438738&lt;/electronic-resource-num&gt;&lt;remote-database-provider&gt;NLM&lt;/remote-database-provider&gt;&lt;language&gt;eng&lt;/language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(1)</w:t>
      </w:r>
      <w:r>
        <w:rPr>
          <w:rFonts w:ascii="Times New Roman" w:hAnsi="Times New Roman" w:cs="Times New Roman"/>
        </w:rPr>
        <w:fldChar w:fldCharType="end"/>
      </w:r>
      <w:r w:rsidRPr="0016710A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265"/>
        <w:gridCol w:w="5481"/>
      </w:tblGrid>
      <w:tr w:rsidR="002162FE" w:rsidRPr="00EB307F" w14:paraId="6963D36E" w14:textId="77777777" w:rsidTr="00613884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22A1563" w14:textId="77777777" w:rsidR="002162FE" w:rsidRPr="00EB307F" w:rsidRDefault="002162FE" w:rsidP="00613884">
            <w:pPr>
              <w:ind w:left="100" w:hangingChars="50" w:hanging="100"/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Numerical score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14:paraId="63835719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Description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B135A5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Definition</w:t>
            </w:r>
          </w:p>
        </w:tc>
      </w:tr>
      <w:tr w:rsidR="002162FE" w:rsidRPr="00EB307F" w14:paraId="0FCA1DD9" w14:textId="77777777" w:rsidTr="00613884">
        <w:tc>
          <w:tcPr>
            <w:tcW w:w="1560" w:type="dxa"/>
            <w:tcBorders>
              <w:top w:val="single" w:sz="4" w:space="0" w:color="auto"/>
            </w:tcBorders>
          </w:tcPr>
          <w:p w14:paraId="35B310A8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1"/>
              </w:rPr>
              <w:t>0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3192D3E0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Within normal limits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225957" w14:textId="6F057A00" w:rsidR="002162FE" w:rsidRPr="00EB307F" w:rsidRDefault="002162FE" w:rsidP="004D385B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Tissue considered to be normal, under the conditions of the study and considering the age, sex, and strain</w:t>
            </w:r>
            <w:r w:rsidR="004D385B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of the animal concerned. Alterations may be present, which, under other circumstances, would be considered deviations from normal.</w:t>
            </w:r>
          </w:p>
        </w:tc>
      </w:tr>
      <w:tr w:rsidR="002162FE" w:rsidRPr="00EB307F" w14:paraId="275799DA" w14:textId="77777777" w:rsidTr="00613884">
        <w:tc>
          <w:tcPr>
            <w:tcW w:w="1560" w:type="dxa"/>
          </w:tcPr>
          <w:p w14:paraId="57E7CCFF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1"/>
              </w:rPr>
              <w:t>1</w:t>
            </w:r>
          </w:p>
        </w:tc>
        <w:tc>
          <w:tcPr>
            <w:tcW w:w="1265" w:type="dxa"/>
          </w:tcPr>
          <w:p w14:paraId="72B03132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Minimal</w:t>
            </w:r>
          </w:p>
        </w:tc>
        <w:tc>
          <w:tcPr>
            <w:tcW w:w="0" w:type="auto"/>
          </w:tcPr>
          <w:p w14:paraId="6C5C2DD8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The amount of change present barely exceeds that which is considered to be within normal limits.</w:t>
            </w:r>
          </w:p>
        </w:tc>
      </w:tr>
      <w:tr w:rsidR="002162FE" w:rsidRPr="00EB307F" w14:paraId="2A94F18A" w14:textId="77777777" w:rsidTr="00613884">
        <w:tc>
          <w:tcPr>
            <w:tcW w:w="1560" w:type="dxa"/>
          </w:tcPr>
          <w:p w14:paraId="66B606B3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1"/>
              </w:rPr>
              <w:t>2</w:t>
            </w:r>
          </w:p>
        </w:tc>
        <w:tc>
          <w:tcPr>
            <w:tcW w:w="1265" w:type="dxa"/>
          </w:tcPr>
          <w:p w14:paraId="702BFE4E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Slight</w:t>
            </w:r>
          </w:p>
        </w:tc>
        <w:tc>
          <w:tcPr>
            <w:tcW w:w="0" w:type="auto"/>
          </w:tcPr>
          <w:p w14:paraId="62C7EB26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In general, the lesion is easily identified but of limited severity.</w:t>
            </w:r>
          </w:p>
        </w:tc>
      </w:tr>
      <w:tr w:rsidR="002162FE" w:rsidRPr="00EB307F" w14:paraId="4F3DA85A" w14:textId="77777777" w:rsidTr="00613884">
        <w:tc>
          <w:tcPr>
            <w:tcW w:w="1560" w:type="dxa"/>
          </w:tcPr>
          <w:p w14:paraId="2F0301B7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1"/>
              </w:rPr>
              <w:t>3</w:t>
            </w:r>
          </w:p>
        </w:tc>
        <w:tc>
          <w:tcPr>
            <w:tcW w:w="1265" w:type="dxa"/>
          </w:tcPr>
          <w:p w14:paraId="2165A75E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Moderate</w:t>
            </w:r>
          </w:p>
        </w:tc>
        <w:tc>
          <w:tcPr>
            <w:tcW w:w="0" w:type="auto"/>
          </w:tcPr>
          <w:p w14:paraId="53D28B7A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The lesion is prominent, but there is significant potential for increased severity.</w:t>
            </w:r>
          </w:p>
        </w:tc>
      </w:tr>
      <w:tr w:rsidR="002162FE" w:rsidRPr="00EB307F" w14:paraId="2B6D2398" w14:textId="77777777" w:rsidTr="00613884">
        <w:tc>
          <w:tcPr>
            <w:tcW w:w="1560" w:type="dxa"/>
          </w:tcPr>
          <w:p w14:paraId="0B706728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1"/>
              </w:rPr>
              <w:t>4</w:t>
            </w:r>
          </w:p>
        </w:tc>
        <w:tc>
          <w:tcPr>
            <w:tcW w:w="1265" w:type="dxa"/>
          </w:tcPr>
          <w:p w14:paraId="72321091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Severe</w:t>
            </w:r>
          </w:p>
        </w:tc>
        <w:tc>
          <w:tcPr>
            <w:tcW w:w="0" w:type="auto"/>
          </w:tcPr>
          <w:p w14:paraId="05B27CDF" w14:textId="77777777" w:rsidR="002162FE" w:rsidRPr="00EB307F" w:rsidRDefault="002162FE" w:rsidP="00613884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EB307F">
              <w:rPr>
                <w:rFonts w:ascii="Times New Roman" w:hAnsi="Times New Roman" w:cs="Times New Roman"/>
                <w:sz w:val="20"/>
                <w:szCs w:val="21"/>
              </w:rPr>
              <w:t>The degree of change is as complete as possible (occupies the majority of the organ).</w:t>
            </w:r>
          </w:p>
        </w:tc>
      </w:tr>
    </w:tbl>
    <w:p w14:paraId="05855B4E" w14:textId="77777777" w:rsidR="002162FE" w:rsidRPr="002162FE" w:rsidRDefault="002162FE">
      <w:pPr>
        <w:rPr>
          <w:rFonts w:ascii="Times New Roman" w:hAnsi="Times New Roman" w:cs="Times New Roman"/>
        </w:rPr>
      </w:pPr>
    </w:p>
    <w:p w14:paraId="5996420D" w14:textId="77777777" w:rsidR="002162FE" w:rsidRPr="00271E20" w:rsidRDefault="002162FE">
      <w:pPr>
        <w:rPr>
          <w:rFonts w:ascii="Times New Roman" w:hAnsi="Times New Roman" w:cs="Times New Roman"/>
        </w:rPr>
      </w:pPr>
    </w:p>
    <w:p w14:paraId="2516D8A4" w14:textId="4133911A" w:rsidR="002162FE" w:rsidRPr="004D385B" w:rsidRDefault="002162FE">
      <w:pPr>
        <w:rPr>
          <w:rFonts w:ascii="Times New Roman" w:hAnsi="Times New Roman" w:cs="Times New Roman"/>
        </w:rPr>
      </w:pPr>
      <w:r w:rsidRPr="004D385B">
        <w:rPr>
          <w:rFonts w:ascii="Times New Roman" w:hAnsi="Times New Roman" w:cs="Times New Roman"/>
        </w:rPr>
        <w:t>References</w:t>
      </w:r>
    </w:p>
    <w:p w14:paraId="7A49E66A" w14:textId="77777777" w:rsidR="002162FE" w:rsidRPr="004D385B" w:rsidRDefault="002162FE" w:rsidP="002162FE">
      <w:pPr>
        <w:pStyle w:val="EndNoteBibliography"/>
        <w:rPr>
          <w:rFonts w:ascii="Times New Roman" w:hAnsi="Times New Roman" w:cs="Times New Roman"/>
        </w:rPr>
      </w:pPr>
      <w:r w:rsidRPr="004D385B">
        <w:rPr>
          <w:rFonts w:ascii="Times New Roman" w:hAnsi="Times New Roman" w:cs="Times New Roman"/>
        </w:rPr>
        <w:fldChar w:fldCharType="begin"/>
      </w:r>
      <w:r w:rsidRPr="004D385B">
        <w:rPr>
          <w:rFonts w:ascii="Times New Roman" w:hAnsi="Times New Roman" w:cs="Times New Roman"/>
        </w:rPr>
        <w:instrText xml:space="preserve"> ADDIN EN.REFLIST </w:instrText>
      </w:r>
      <w:r w:rsidRPr="004D385B">
        <w:rPr>
          <w:rFonts w:ascii="Times New Roman" w:hAnsi="Times New Roman" w:cs="Times New Roman"/>
        </w:rPr>
        <w:fldChar w:fldCharType="separate"/>
      </w:r>
      <w:r w:rsidRPr="004D385B">
        <w:rPr>
          <w:rFonts w:ascii="Times New Roman" w:hAnsi="Times New Roman" w:cs="Times New Roman"/>
        </w:rPr>
        <w:t>1.</w:t>
      </w:r>
      <w:r w:rsidRPr="004D385B">
        <w:rPr>
          <w:rFonts w:ascii="Times New Roman" w:hAnsi="Times New Roman" w:cs="Times New Roman"/>
        </w:rPr>
        <w:tab/>
      </w:r>
      <w:bookmarkStart w:id="2" w:name="_Hlk76375164"/>
      <w:r w:rsidRPr="004D385B">
        <w:rPr>
          <w:rFonts w:ascii="Times New Roman" w:hAnsi="Times New Roman" w:cs="Times New Roman"/>
        </w:rPr>
        <w:t xml:space="preserve">Mann PC, Vahle J, Keenan CM, Baker JF, Bradley AE, Goodman DG, et al. International harmonization of toxicologic pathology nomenclature: an overview and review of basic principles. </w:t>
      </w:r>
      <w:r w:rsidRPr="004D385B">
        <w:rPr>
          <w:rFonts w:ascii="Times New Roman" w:hAnsi="Times New Roman" w:cs="Times New Roman"/>
          <w:i/>
        </w:rPr>
        <w:t>Toxicol Pathol</w:t>
      </w:r>
      <w:r w:rsidRPr="004D385B">
        <w:rPr>
          <w:rFonts w:ascii="Times New Roman" w:hAnsi="Times New Roman" w:cs="Times New Roman"/>
        </w:rPr>
        <w:t xml:space="preserve"> (2012) 40(4 Suppl):7s-13s. Epub 2012/06/01. doi: 10.1177/0192623312438738. PubMed PMID: 22637736.</w:t>
      </w:r>
      <w:bookmarkEnd w:id="2"/>
    </w:p>
    <w:p w14:paraId="2D57DA0F" w14:textId="75B6A0F6" w:rsidR="0023208F" w:rsidRPr="00D40344" w:rsidRDefault="002162FE">
      <w:pPr>
        <w:rPr>
          <w:rFonts w:ascii="Times New Roman" w:hAnsi="Times New Roman" w:cs="Times New Roman"/>
        </w:rPr>
      </w:pPr>
      <w:r w:rsidRPr="004D385B">
        <w:rPr>
          <w:rFonts w:ascii="Times New Roman" w:hAnsi="Times New Roman" w:cs="Times New Roman"/>
        </w:rPr>
        <w:fldChar w:fldCharType="end"/>
      </w:r>
    </w:p>
    <w:sectPr w:rsidR="0023208F" w:rsidRPr="00D40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6C5E5" w14:textId="77777777" w:rsidR="00CC3D33" w:rsidRDefault="00CC3D33" w:rsidP="0072711E">
      <w:r>
        <w:separator/>
      </w:r>
    </w:p>
  </w:endnote>
  <w:endnote w:type="continuationSeparator" w:id="0">
    <w:p w14:paraId="2D27B2FB" w14:textId="77777777" w:rsidR="00CC3D33" w:rsidRDefault="00CC3D33" w:rsidP="0072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9F770" w14:textId="77777777" w:rsidR="00CC3D33" w:rsidRDefault="00CC3D33" w:rsidP="0072711E">
      <w:r>
        <w:separator/>
      </w:r>
    </w:p>
  </w:footnote>
  <w:footnote w:type="continuationSeparator" w:id="0">
    <w:p w14:paraId="44753919" w14:textId="77777777" w:rsidR="00CC3D33" w:rsidRDefault="00CC3D33" w:rsidP="00727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-Health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rewwf2pb590tse9eeavate45ztdpt55tv2e&quot;&gt;My EndNote Library&lt;record-ids&gt;&lt;item&gt;191&lt;/item&gt;&lt;/record-ids&gt;&lt;/item&gt;&lt;/Libraries&gt;"/>
  </w:docVars>
  <w:rsids>
    <w:rsidRoot w:val="00CA4267"/>
    <w:rsid w:val="0016710A"/>
    <w:rsid w:val="001A57E0"/>
    <w:rsid w:val="001E7D27"/>
    <w:rsid w:val="001F1367"/>
    <w:rsid w:val="002162FE"/>
    <w:rsid w:val="0023208F"/>
    <w:rsid w:val="00271E20"/>
    <w:rsid w:val="004D385B"/>
    <w:rsid w:val="00560093"/>
    <w:rsid w:val="006D492E"/>
    <w:rsid w:val="0072711E"/>
    <w:rsid w:val="009F12C3"/>
    <w:rsid w:val="00C20DBB"/>
    <w:rsid w:val="00CA4267"/>
    <w:rsid w:val="00CC3D33"/>
    <w:rsid w:val="00D40344"/>
    <w:rsid w:val="00D83C7D"/>
    <w:rsid w:val="00EB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3E608"/>
  <w15:docId w15:val="{45ED3973-BCFD-41A6-9241-9A062CAD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4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71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271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271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2711E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2162FE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2162FE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2162FE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2162FE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chunyu</dc:creator>
  <cp:keywords/>
  <dc:description/>
  <cp:lastModifiedBy>li chunyu</cp:lastModifiedBy>
  <cp:revision>3</cp:revision>
  <dcterms:created xsi:type="dcterms:W3CDTF">2021-07-08T06:35:00Z</dcterms:created>
  <dcterms:modified xsi:type="dcterms:W3CDTF">2021-07-08T06:35:00Z</dcterms:modified>
</cp:coreProperties>
</file>