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0FE3B" w14:textId="1B55426A" w:rsidR="00DE5E42" w:rsidRDefault="00A64A99">
      <w:pPr>
        <w:rPr>
          <w:rFonts w:ascii="Times New Roman" w:hAnsi="Times New Roman" w:cs="Times New Roman"/>
          <w:b/>
          <w:bCs/>
          <w:sz w:val="28"/>
          <w:szCs w:val="28"/>
        </w:rPr>
      </w:pPr>
      <w:r w:rsidRPr="003A0B02">
        <w:rPr>
          <w:rFonts w:ascii="Times New Roman" w:hAnsi="Times New Roman" w:cs="Times New Roman"/>
          <w:b/>
          <w:bCs/>
          <w:sz w:val="28"/>
          <w:szCs w:val="28"/>
        </w:rPr>
        <w:t>Supplementary Figures</w:t>
      </w:r>
    </w:p>
    <w:p w14:paraId="30E19E4C" w14:textId="4184830A" w:rsidR="00F84ED9" w:rsidRDefault="00B0554F">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3A40109" wp14:editId="04DBB2C7">
            <wp:extent cx="5274310" cy="20497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049780"/>
                    </a:xfrm>
                    <a:prstGeom prst="rect">
                      <a:avLst/>
                    </a:prstGeom>
                  </pic:spPr>
                </pic:pic>
              </a:graphicData>
            </a:graphic>
          </wp:inline>
        </w:drawing>
      </w:r>
    </w:p>
    <w:p w14:paraId="43E705B3" w14:textId="0162DE1C" w:rsidR="00027658" w:rsidRDefault="00F84ED9">
      <w:pPr>
        <w:rPr>
          <w:rFonts w:ascii="Times New Roman" w:hAnsi="Times New Roman" w:cs="Times New Roman"/>
          <w:szCs w:val="21"/>
        </w:rPr>
      </w:pPr>
      <w:bookmarkStart w:id="0" w:name="_Hlk73544322"/>
      <w:r w:rsidRPr="006B36E7">
        <w:rPr>
          <w:rFonts w:ascii="Times New Roman" w:hAnsi="Times New Roman" w:cs="Times New Roman"/>
          <w:b/>
          <w:bCs/>
          <w:szCs w:val="21"/>
        </w:rPr>
        <w:t xml:space="preserve">Figure S1. (Related to Figure </w:t>
      </w:r>
      <w:r w:rsidR="00027658">
        <w:rPr>
          <w:rFonts w:ascii="Times New Roman" w:hAnsi="Times New Roman" w:cs="Times New Roman"/>
          <w:b/>
          <w:bCs/>
          <w:szCs w:val="21"/>
        </w:rPr>
        <w:t>2</w:t>
      </w:r>
      <w:r w:rsidRPr="006B36E7">
        <w:rPr>
          <w:rFonts w:ascii="Times New Roman" w:hAnsi="Times New Roman" w:cs="Times New Roman"/>
          <w:b/>
          <w:bCs/>
          <w:szCs w:val="21"/>
        </w:rPr>
        <w:t>)</w:t>
      </w:r>
      <w:r>
        <w:rPr>
          <w:rFonts w:ascii="Times New Roman" w:hAnsi="Times New Roman" w:cs="Times New Roman"/>
          <w:b/>
          <w:bCs/>
          <w:szCs w:val="21"/>
        </w:rPr>
        <w:t xml:space="preserve"> </w:t>
      </w:r>
      <w:r w:rsidRPr="00756891">
        <w:rPr>
          <w:rFonts w:ascii="Times New Roman" w:hAnsi="Times New Roman" w:cs="Times New Roman"/>
          <w:b/>
          <w:bCs/>
          <w:szCs w:val="21"/>
        </w:rPr>
        <w:t>(A)</w:t>
      </w:r>
      <w:r>
        <w:rPr>
          <w:rFonts w:ascii="Times New Roman" w:hAnsi="Times New Roman" w:cs="Times New Roman"/>
          <w:szCs w:val="21"/>
        </w:rPr>
        <w:t xml:space="preserve"> </w:t>
      </w:r>
      <w:r w:rsidRPr="00F84ED9">
        <w:rPr>
          <w:rFonts w:ascii="Times New Roman" w:hAnsi="Times New Roman" w:cs="Times New Roman"/>
          <w:szCs w:val="21"/>
        </w:rPr>
        <w:t>Malignant epithelial cells from four patients</w:t>
      </w:r>
      <w:r>
        <w:rPr>
          <w:rFonts w:ascii="Times New Roman" w:hAnsi="Times New Roman" w:cs="Times New Roman"/>
          <w:szCs w:val="21"/>
        </w:rPr>
        <w:t xml:space="preserve"> were</w:t>
      </w:r>
      <w:r w:rsidRPr="005860CD">
        <w:rPr>
          <w:rFonts w:ascii="Times New Roman" w:hAnsi="Times New Roman" w:cs="Times New Roman"/>
          <w:szCs w:val="21"/>
        </w:rPr>
        <w:t xml:space="preserve"> clustered by the t-SNE algorithm into </w:t>
      </w:r>
      <w:r>
        <w:rPr>
          <w:rFonts w:ascii="Times New Roman" w:hAnsi="Times New Roman" w:cs="Times New Roman"/>
          <w:szCs w:val="21"/>
        </w:rPr>
        <w:t>9</w:t>
      </w:r>
      <w:r w:rsidRPr="005860CD">
        <w:rPr>
          <w:rFonts w:ascii="Times New Roman" w:hAnsi="Times New Roman" w:cs="Times New Roman"/>
          <w:szCs w:val="21"/>
        </w:rPr>
        <w:t xml:space="preserve"> clusters with a specific color marker</w:t>
      </w:r>
      <w:r>
        <w:rPr>
          <w:rFonts w:ascii="Times New Roman" w:hAnsi="Times New Roman" w:cs="Times New Roman"/>
          <w:szCs w:val="21"/>
        </w:rPr>
        <w:t xml:space="preserve">. </w:t>
      </w:r>
      <w:r w:rsidRPr="00756891">
        <w:rPr>
          <w:rFonts w:ascii="Times New Roman" w:hAnsi="Times New Roman" w:cs="Times New Roman"/>
          <w:b/>
          <w:bCs/>
          <w:szCs w:val="21"/>
        </w:rPr>
        <w:t>(B)</w:t>
      </w:r>
      <w:r>
        <w:rPr>
          <w:rFonts w:ascii="Times New Roman" w:hAnsi="Times New Roman" w:cs="Times New Roman"/>
          <w:szCs w:val="21"/>
        </w:rPr>
        <w:t xml:space="preserve"> Same as in </w:t>
      </w:r>
      <w:r w:rsidRPr="00756891">
        <w:rPr>
          <w:rFonts w:ascii="Times New Roman" w:hAnsi="Times New Roman" w:cs="Times New Roman"/>
          <w:b/>
          <w:bCs/>
          <w:szCs w:val="21"/>
        </w:rPr>
        <w:t>(A)</w:t>
      </w:r>
      <w:r>
        <w:rPr>
          <w:rFonts w:ascii="Times New Roman" w:hAnsi="Times New Roman" w:cs="Times New Roman"/>
          <w:szCs w:val="21"/>
        </w:rPr>
        <w:t xml:space="preserve"> but </w:t>
      </w:r>
      <w:r w:rsidRPr="00F84ED9">
        <w:rPr>
          <w:rFonts w:ascii="Times New Roman" w:hAnsi="Times New Roman" w:cs="Times New Roman"/>
          <w:szCs w:val="21"/>
        </w:rPr>
        <w:t>epithelial cells</w:t>
      </w:r>
      <w:r>
        <w:rPr>
          <w:rFonts w:ascii="Times New Roman" w:hAnsi="Times New Roman" w:cs="Times New Roman"/>
          <w:szCs w:val="21"/>
        </w:rPr>
        <w:t xml:space="preserve"> were marked by tumor tissue origin.</w:t>
      </w:r>
    </w:p>
    <w:p w14:paraId="48EF8727" w14:textId="77777777" w:rsidR="00027658" w:rsidRDefault="00027658">
      <w:pPr>
        <w:widowControl/>
        <w:jc w:val="left"/>
        <w:rPr>
          <w:rFonts w:ascii="Times New Roman" w:hAnsi="Times New Roman" w:cs="Times New Roman"/>
          <w:szCs w:val="21"/>
        </w:rPr>
      </w:pPr>
      <w:r>
        <w:rPr>
          <w:rFonts w:ascii="Times New Roman" w:hAnsi="Times New Roman" w:cs="Times New Roman"/>
          <w:szCs w:val="21"/>
        </w:rPr>
        <w:br w:type="page"/>
      </w:r>
    </w:p>
    <w:p w14:paraId="727804F3" w14:textId="1C7E9EB3" w:rsidR="00F84ED9" w:rsidRDefault="00027658">
      <w:pPr>
        <w:rPr>
          <w:rFonts w:ascii="Times New Roman" w:hAnsi="Times New Roman" w:cs="Times New Roman"/>
          <w:b/>
          <w:bCs/>
          <w:sz w:val="28"/>
          <w:szCs w:val="28"/>
        </w:rPr>
      </w:pPr>
      <w:r>
        <w:rPr>
          <w:rFonts w:ascii="Times New Roman" w:hAnsi="Times New Roman" w:cs="Times New Roman" w:hint="eastAsia"/>
          <w:b/>
          <w:bCs/>
          <w:noProof/>
          <w:sz w:val="28"/>
          <w:szCs w:val="28"/>
        </w:rPr>
        <w:lastRenderedPageBreak/>
        <w:drawing>
          <wp:inline distT="0" distB="0" distL="0" distR="0" wp14:anchorId="5F3039A5" wp14:editId="2D7C8171">
            <wp:extent cx="5274310" cy="3009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009900"/>
                    </a:xfrm>
                    <a:prstGeom prst="rect">
                      <a:avLst/>
                    </a:prstGeom>
                  </pic:spPr>
                </pic:pic>
              </a:graphicData>
            </a:graphic>
          </wp:inline>
        </w:drawing>
      </w:r>
    </w:p>
    <w:p w14:paraId="409AF9EA" w14:textId="6B284621" w:rsidR="00027658" w:rsidRDefault="00027658">
      <w:pPr>
        <w:rPr>
          <w:rFonts w:ascii="Times New Roman" w:hAnsi="Times New Roman" w:cs="Times New Roman"/>
          <w:b/>
          <w:bCs/>
          <w:sz w:val="28"/>
          <w:szCs w:val="28"/>
        </w:rPr>
      </w:pPr>
      <w:bookmarkStart w:id="1" w:name="_Hlk73604286"/>
      <w:r w:rsidRPr="006B36E7">
        <w:rPr>
          <w:rFonts w:ascii="Times New Roman" w:hAnsi="Times New Roman" w:cs="Times New Roman"/>
          <w:b/>
          <w:bCs/>
          <w:szCs w:val="21"/>
        </w:rPr>
        <w:t>Figure S</w:t>
      </w:r>
      <w:r>
        <w:rPr>
          <w:rFonts w:ascii="Times New Roman" w:hAnsi="Times New Roman" w:cs="Times New Roman"/>
          <w:b/>
          <w:bCs/>
          <w:szCs w:val="21"/>
        </w:rPr>
        <w:t>2</w:t>
      </w:r>
      <w:r w:rsidRPr="006B36E7">
        <w:rPr>
          <w:rFonts w:ascii="Times New Roman" w:hAnsi="Times New Roman" w:cs="Times New Roman"/>
          <w:b/>
          <w:bCs/>
          <w:szCs w:val="21"/>
        </w:rPr>
        <w:t>. (Related to Figure 3)</w:t>
      </w:r>
      <w:r>
        <w:rPr>
          <w:rFonts w:ascii="Times New Roman" w:hAnsi="Times New Roman" w:cs="Times New Roman"/>
          <w:b/>
          <w:bCs/>
          <w:szCs w:val="21"/>
        </w:rPr>
        <w:t xml:space="preserve"> </w:t>
      </w:r>
      <w:r w:rsidRPr="00027658">
        <w:rPr>
          <w:rFonts w:ascii="Times New Roman" w:hAnsi="Times New Roman" w:cs="Times New Roman"/>
          <w:szCs w:val="21"/>
        </w:rPr>
        <w:t xml:space="preserve">Pie chart for visualizing cell proportions. Left panel: the number of </w:t>
      </w:r>
      <w:r>
        <w:rPr>
          <w:rFonts w:ascii="Times New Roman" w:hAnsi="Times New Roman" w:cs="Times New Roman"/>
          <w:szCs w:val="21"/>
        </w:rPr>
        <w:t xml:space="preserve">T cells, </w:t>
      </w:r>
      <w:r w:rsidRPr="00027658">
        <w:rPr>
          <w:rFonts w:ascii="Times New Roman" w:hAnsi="Times New Roman" w:cs="Times New Roman"/>
          <w:szCs w:val="21"/>
        </w:rPr>
        <w:t>CD8+ T cells</w:t>
      </w:r>
      <w:r>
        <w:rPr>
          <w:rFonts w:ascii="Times New Roman" w:hAnsi="Times New Roman" w:cs="Times New Roman"/>
          <w:szCs w:val="21"/>
        </w:rPr>
        <w:t xml:space="preserve"> and CD4+ T cells. Right panel: </w:t>
      </w:r>
      <w:r w:rsidRPr="00027658">
        <w:rPr>
          <w:rFonts w:ascii="Times New Roman" w:hAnsi="Times New Roman" w:cs="Times New Roman"/>
          <w:szCs w:val="21"/>
        </w:rPr>
        <w:t>the number of</w:t>
      </w:r>
      <w:r>
        <w:rPr>
          <w:rFonts w:ascii="Times New Roman" w:hAnsi="Times New Roman" w:cs="Times New Roman"/>
          <w:szCs w:val="21"/>
        </w:rPr>
        <w:t xml:space="preserve"> Th and Treg cells.</w:t>
      </w:r>
    </w:p>
    <w:bookmarkEnd w:id="0"/>
    <w:bookmarkEnd w:id="1"/>
    <w:p w14:paraId="6D82AA99" w14:textId="48D799D5" w:rsidR="001E7B82" w:rsidRPr="003A0B02" w:rsidRDefault="001E7B82" w:rsidP="001E7B82">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0F35C2D3" w14:textId="78D84D03" w:rsidR="00A64A99" w:rsidRDefault="0010346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AF2DCD6" wp14:editId="320EEEF6">
            <wp:extent cx="5274310" cy="47498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749800"/>
                    </a:xfrm>
                    <a:prstGeom prst="rect">
                      <a:avLst/>
                    </a:prstGeom>
                  </pic:spPr>
                </pic:pic>
              </a:graphicData>
            </a:graphic>
          </wp:inline>
        </w:drawing>
      </w:r>
    </w:p>
    <w:p w14:paraId="1C7FE4A2" w14:textId="15A44C7E" w:rsidR="00027658" w:rsidRDefault="00B81C57">
      <w:pPr>
        <w:rPr>
          <w:rFonts w:ascii="Times New Roman" w:hAnsi="Times New Roman"/>
          <w:szCs w:val="21"/>
        </w:rPr>
      </w:pPr>
      <w:r w:rsidRPr="006B36E7">
        <w:rPr>
          <w:rFonts w:ascii="Times New Roman" w:hAnsi="Times New Roman" w:cs="Times New Roman"/>
          <w:b/>
          <w:bCs/>
          <w:szCs w:val="21"/>
        </w:rPr>
        <w:t>Figure S</w:t>
      </w:r>
      <w:r w:rsidR="00027658">
        <w:rPr>
          <w:rFonts w:ascii="Times New Roman" w:hAnsi="Times New Roman" w:cs="Times New Roman"/>
          <w:b/>
          <w:bCs/>
          <w:szCs w:val="21"/>
        </w:rPr>
        <w:t>3</w:t>
      </w:r>
      <w:r w:rsidRPr="006B36E7">
        <w:rPr>
          <w:rFonts w:ascii="Times New Roman" w:hAnsi="Times New Roman" w:cs="Times New Roman"/>
          <w:b/>
          <w:bCs/>
          <w:szCs w:val="21"/>
        </w:rPr>
        <w:t>. (Related to Figure 3)</w:t>
      </w:r>
      <w:r w:rsidR="001E7B82">
        <w:rPr>
          <w:rFonts w:ascii="Times New Roman" w:hAnsi="Times New Roman" w:cs="Times New Roman"/>
          <w:b/>
          <w:bCs/>
          <w:szCs w:val="21"/>
        </w:rPr>
        <w:t xml:space="preserve"> </w:t>
      </w:r>
      <w:r w:rsidRPr="00756891">
        <w:rPr>
          <w:rFonts w:ascii="Times New Roman" w:hAnsi="Times New Roman" w:cs="Times New Roman"/>
          <w:b/>
          <w:bCs/>
          <w:szCs w:val="21"/>
        </w:rPr>
        <w:t>(A)</w:t>
      </w:r>
      <w:r w:rsidRPr="006B36E7">
        <w:rPr>
          <w:rFonts w:ascii="Times New Roman" w:hAnsi="Times New Roman" w:cs="Times New Roman"/>
          <w:szCs w:val="21"/>
        </w:rPr>
        <w:t xml:space="preserve"> </w:t>
      </w:r>
      <w:r w:rsidR="00964973" w:rsidRPr="006B36E7">
        <w:rPr>
          <w:rFonts w:ascii="Times New Roman" w:hAnsi="Times New Roman"/>
          <w:szCs w:val="21"/>
        </w:rPr>
        <w:t xml:space="preserve">Box plots of OXPHOS pathway activity scores for CD4+ and CD8+ T cells. </w:t>
      </w:r>
      <w:r w:rsidR="00964973" w:rsidRPr="00806EF3">
        <w:rPr>
          <w:rFonts w:ascii="Times New Roman" w:hAnsi="Times New Roman"/>
          <w:szCs w:val="21"/>
        </w:rPr>
        <w:t>The rank</w:t>
      </w:r>
      <w:r w:rsidR="00806EF3" w:rsidRPr="00806EF3">
        <w:rPr>
          <w:rFonts w:ascii="Times New Roman" w:hAnsi="Times New Roman" w:hint="eastAsia"/>
          <w:szCs w:val="21"/>
        </w:rPr>
        <w:t>-</w:t>
      </w:r>
      <w:r w:rsidR="00964973" w:rsidRPr="00806EF3">
        <w:rPr>
          <w:rFonts w:ascii="Times New Roman" w:hAnsi="Times New Roman"/>
          <w:szCs w:val="21"/>
        </w:rPr>
        <w:t xml:space="preserve">sum test was used to statistically measure differences between groups. </w:t>
      </w:r>
      <w:r w:rsidR="00964973" w:rsidRPr="00756891">
        <w:rPr>
          <w:rFonts w:ascii="Times New Roman" w:hAnsi="Times New Roman" w:cs="Times New Roman"/>
          <w:b/>
          <w:bCs/>
          <w:szCs w:val="21"/>
        </w:rPr>
        <w:t>(B)</w:t>
      </w:r>
      <w:r w:rsidR="00964973">
        <w:rPr>
          <w:rFonts w:ascii="Times New Roman" w:hAnsi="Times New Roman" w:cs="Times New Roman"/>
          <w:szCs w:val="21"/>
        </w:rPr>
        <w:t xml:space="preserve"> </w:t>
      </w:r>
      <w:r w:rsidR="00964973" w:rsidRPr="006B36E7">
        <w:rPr>
          <w:rFonts w:ascii="Times New Roman" w:hAnsi="Times New Roman"/>
          <w:szCs w:val="21"/>
        </w:rPr>
        <w:t>Box plots of glycolysis pathway activity scores for CD4+ and CD8+ T cells.</w:t>
      </w:r>
      <w:r w:rsidR="00964973" w:rsidRPr="006B36E7">
        <w:rPr>
          <w:rFonts w:ascii="Times New Roman" w:hAnsi="Times New Roman" w:cs="Times New Roman"/>
          <w:szCs w:val="21"/>
        </w:rPr>
        <w:t xml:space="preserve"> </w:t>
      </w:r>
      <w:r w:rsidR="00964973" w:rsidRPr="00756891">
        <w:rPr>
          <w:rFonts w:ascii="Times New Roman" w:hAnsi="Times New Roman" w:cs="Times New Roman"/>
          <w:b/>
          <w:bCs/>
          <w:szCs w:val="21"/>
        </w:rPr>
        <w:t>(C)</w:t>
      </w:r>
      <w:r w:rsidR="00964973" w:rsidRPr="006B36E7">
        <w:rPr>
          <w:rFonts w:ascii="Times New Roman" w:hAnsi="Times New Roman" w:cs="Times New Roman"/>
          <w:szCs w:val="21"/>
        </w:rPr>
        <w:t xml:space="preserve"> </w:t>
      </w:r>
      <w:r w:rsidR="00964973" w:rsidRPr="006B36E7">
        <w:rPr>
          <w:rFonts w:ascii="Times New Roman" w:hAnsi="Times New Roman"/>
          <w:szCs w:val="21"/>
        </w:rPr>
        <w:t xml:space="preserve">Same as in </w:t>
      </w:r>
      <w:r w:rsidR="00964973" w:rsidRPr="00756891">
        <w:rPr>
          <w:rFonts w:ascii="Times New Roman" w:hAnsi="Times New Roman"/>
          <w:b/>
          <w:bCs/>
          <w:szCs w:val="21"/>
        </w:rPr>
        <w:t>(A)</w:t>
      </w:r>
      <w:r w:rsidR="00964973" w:rsidRPr="006B36E7">
        <w:rPr>
          <w:rFonts w:ascii="Times New Roman" w:hAnsi="Times New Roman"/>
          <w:szCs w:val="21"/>
        </w:rPr>
        <w:t xml:space="preserve"> but for Th and Treg cells. </w:t>
      </w:r>
      <w:r w:rsidR="00964973" w:rsidRPr="00756891">
        <w:rPr>
          <w:rFonts w:ascii="Times New Roman" w:hAnsi="Times New Roman"/>
          <w:b/>
          <w:bCs/>
          <w:szCs w:val="21"/>
        </w:rPr>
        <w:t>(D)</w:t>
      </w:r>
      <w:r w:rsidR="00964973" w:rsidRPr="006B36E7">
        <w:rPr>
          <w:rFonts w:ascii="Times New Roman" w:hAnsi="Times New Roman"/>
          <w:szCs w:val="21"/>
        </w:rPr>
        <w:t xml:space="preserve"> Same as in </w:t>
      </w:r>
      <w:r w:rsidR="00964973" w:rsidRPr="00756891">
        <w:rPr>
          <w:rFonts w:ascii="Times New Roman" w:hAnsi="Times New Roman"/>
          <w:b/>
          <w:bCs/>
          <w:szCs w:val="21"/>
        </w:rPr>
        <w:t>(B)</w:t>
      </w:r>
      <w:r w:rsidR="00964973" w:rsidRPr="006B36E7">
        <w:rPr>
          <w:rFonts w:ascii="Times New Roman" w:hAnsi="Times New Roman"/>
          <w:szCs w:val="21"/>
        </w:rPr>
        <w:t xml:space="preserve"> but for Th and Treg cells.</w:t>
      </w:r>
    </w:p>
    <w:p w14:paraId="7172D55E" w14:textId="339E9DFC" w:rsidR="000553AF" w:rsidRPr="00027658" w:rsidRDefault="000553AF">
      <w:pPr>
        <w:widowControl/>
        <w:jc w:val="left"/>
        <w:rPr>
          <w:rFonts w:ascii="Times New Roman" w:hAnsi="Times New Roman"/>
          <w:szCs w:val="21"/>
        </w:rPr>
      </w:pPr>
      <w:r>
        <w:rPr>
          <w:rFonts w:ascii="Times New Roman" w:hAnsi="Times New Roman" w:cs="Times New Roman"/>
          <w:sz w:val="24"/>
          <w:szCs w:val="24"/>
        </w:rPr>
        <w:br w:type="page"/>
      </w:r>
    </w:p>
    <w:p w14:paraId="5D707208" w14:textId="77777777" w:rsidR="00B81C57" w:rsidRDefault="0010346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1F21875" wp14:editId="3FA0DFC0">
            <wp:extent cx="5274310" cy="460438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604385"/>
                    </a:xfrm>
                    <a:prstGeom prst="rect">
                      <a:avLst/>
                    </a:prstGeom>
                  </pic:spPr>
                </pic:pic>
              </a:graphicData>
            </a:graphic>
          </wp:inline>
        </w:drawing>
      </w:r>
    </w:p>
    <w:p w14:paraId="3DD3728D" w14:textId="575C489B" w:rsidR="0076518D" w:rsidRDefault="002E42AD">
      <w:pPr>
        <w:rPr>
          <w:rFonts w:ascii="Times New Roman" w:hAnsi="Times New Roman"/>
          <w:szCs w:val="21"/>
        </w:rPr>
      </w:pPr>
      <w:r w:rsidRPr="006B36E7">
        <w:rPr>
          <w:rFonts w:ascii="Times New Roman" w:hAnsi="Times New Roman" w:cs="Times New Roman"/>
          <w:b/>
          <w:bCs/>
          <w:szCs w:val="21"/>
        </w:rPr>
        <w:t>Figure S</w:t>
      </w:r>
      <w:r w:rsidR="003157CF">
        <w:rPr>
          <w:rFonts w:ascii="Times New Roman" w:hAnsi="Times New Roman" w:cs="Times New Roman"/>
          <w:b/>
          <w:bCs/>
          <w:szCs w:val="21"/>
        </w:rPr>
        <w:t>4</w:t>
      </w:r>
      <w:r w:rsidR="005D22ED" w:rsidRPr="006B36E7">
        <w:rPr>
          <w:rFonts w:ascii="Times New Roman" w:hAnsi="Times New Roman" w:cs="Times New Roman"/>
          <w:b/>
          <w:bCs/>
          <w:szCs w:val="21"/>
        </w:rPr>
        <w:t>.</w:t>
      </w:r>
      <w:r w:rsidRPr="006B36E7">
        <w:rPr>
          <w:rFonts w:ascii="Times New Roman" w:hAnsi="Times New Roman" w:cs="Times New Roman"/>
          <w:b/>
          <w:bCs/>
          <w:szCs w:val="21"/>
        </w:rPr>
        <w:t xml:space="preserve"> (</w:t>
      </w:r>
      <w:r w:rsidR="005D22ED" w:rsidRPr="006B36E7">
        <w:rPr>
          <w:rFonts w:ascii="Times New Roman" w:hAnsi="Times New Roman" w:cs="Times New Roman"/>
          <w:b/>
          <w:bCs/>
          <w:szCs w:val="21"/>
        </w:rPr>
        <w:t>Related to Figure 4</w:t>
      </w:r>
      <w:r w:rsidRPr="006B36E7">
        <w:rPr>
          <w:rFonts w:ascii="Times New Roman" w:hAnsi="Times New Roman" w:cs="Times New Roman"/>
          <w:b/>
          <w:bCs/>
          <w:szCs w:val="21"/>
        </w:rPr>
        <w:t>)</w:t>
      </w:r>
      <w:r w:rsidR="001E7B82">
        <w:rPr>
          <w:rFonts w:ascii="Times New Roman" w:hAnsi="Times New Roman" w:cs="Times New Roman"/>
          <w:b/>
          <w:bCs/>
          <w:szCs w:val="21"/>
        </w:rPr>
        <w:t xml:space="preserve"> </w:t>
      </w:r>
      <w:r w:rsidR="005D22ED" w:rsidRPr="00756891">
        <w:rPr>
          <w:rFonts w:ascii="Times New Roman" w:hAnsi="Times New Roman" w:cs="Times New Roman"/>
          <w:b/>
          <w:bCs/>
          <w:szCs w:val="21"/>
        </w:rPr>
        <w:t>(A)</w:t>
      </w:r>
      <w:r w:rsidR="005D22ED" w:rsidRPr="006B36E7">
        <w:rPr>
          <w:rFonts w:ascii="Times New Roman" w:hAnsi="Times New Roman" w:cs="Times New Roman"/>
          <w:szCs w:val="21"/>
        </w:rPr>
        <w:t xml:space="preserve"> </w:t>
      </w:r>
      <w:r w:rsidR="005D22ED" w:rsidRPr="00806EF3">
        <w:rPr>
          <w:rFonts w:ascii="Times New Roman" w:hAnsi="Times New Roman" w:cs="Times New Roman"/>
          <w:szCs w:val="21"/>
        </w:rPr>
        <w:t>Enrichment results of up-regulated genes associated with</w:t>
      </w:r>
      <w:r w:rsidR="005D22ED" w:rsidRPr="00806EF3">
        <w:rPr>
          <w:rFonts w:ascii="Times New Roman" w:hAnsi="Times New Roman"/>
          <w:szCs w:val="21"/>
        </w:rPr>
        <w:t xml:space="preserve"> T/CD4+ differentiation</w:t>
      </w:r>
      <w:r w:rsidR="005D22ED" w:rsidRPr="00806EF3">
        <w:rPr>
          <w:rFonts w:ascii="Times New Roman" w:hAnsi="Times New Roman" w:cs="Times New Roman"/>
          <w:szCs w:val="21"/>
        </w:rPr>
        <w:t xml:space="preserve"> in the KEGG pathway. </w:t>
      </w:r>
      <w:r w:rsidR="005D22ED" w:rsidRPr="00756891">
        <w:rPr>
          <w:rFonts w:ascii="Times New Roman" w:hAnsi="Times New Roman" w:cs="Times New Roman"/>
          <w:b/>
          <w:bCs/>
          <w:szCs w:val="21"/>
        </w:rPr>
        <w:t>(B)</w:t>
      </w:r>
      <w:r w:rsidR="005D22ED" w:rsidRPr="00806EF3">
        <w:rPr>
          <w:rFonts w:ascii="Times New Roman" w:hAnsi="Times New Roman" w:cs="Times New Roman"/>
          <w:szCs w:val="21"/>
        </w:rPr>
        <w:t xml:space="preserve"> Same as in </w:t>
      </w:r>
      <w:r w:rsidR="005D22ED" w:rsidRPr="00756891">
        <w:rPr>
          <w:rFonts w:ascii="Times New Roman" w:hAnsi="Times New Roman" w:cs="Times New Roman"/>
          <w:b/>
          <w:bCs/>
          <w:szCs w:val="21"/>
        </w:rPr>
        <w:t>(A)</w:t>
      </w:r>
      <w:r w:rsidR="005D22ED" w:rsidRPr="00806EF3">
        <w:rPr>
          <w:rFonts w:ascii="Times New Roman" w:hAnsi="Times New Roman" w:cs="Times New Roman"/>
          <w:szCs w:val="21"/>
        </w:rPr>
        <w:t xml:space="preserve"> but for genes associated with</w:t>
      </w:r>
      <w:r w:rsidR="005D22ED" w:rsidRPr="00806EF3">
        <w:rPr>
          <w:rFonts w:ascii="Times New Roman" w:hAnsi="Times New Roman"/>
          <w:szCs w:val="21"/>
        </w:rPr>
        <w:t xml:space="preserve"> T/CD8+ differentiation.</w:t>
      </w:r>
    </w:p>
    <w:p w14:paraId="73DE564C" w14:textId="43DE4DF9" w:rsidR="006E294C" w:rsidRDefault="006E294C">
      <w:pPr>
        <w:widowControl/>
        <w:jc w:val="left"/>
        <w:rPr>
          <w:rFonts w:ascii="Times New Roman" w:hAnsi="Times New Roman"/>
          <w:szCs w:val="21"/>
        </w:rPr>
      </w:pPr>
      <w:r>
        <w:rPr>
          <w:rFonts w:ascii="Times New Roman" w:hAnsi="Times New Roman"/>
          <w:szCs w:val="21"/>
        </w:rPr>
        <w:br w:type="page"/>
      </w:r>
    </w:p>
    <w:p w14:paraId="33A1A1F6" w14:textId="77777777" w:rsidR="002E42AD" w:rsidRDefault="0010346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9B498C7" wp14:editId="4055D479">
            <wp:extent cx="5274310" cy="57029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702935"/>
                    </a:xfrm>
                    <a:prstGeom prst="rect">
                      <a:avLst/>
                    </a:prstGeom>
                  </pic:spPr>
                </pic:pic>
              </a:graphicData>
            </a:graphic>
          </wp:inline>
        </w:drawing>
      </w:r>
    </w:p>
    <w:p w14:paraId="5ACF3A0D" w14:textId="7382A8EB" w:rsidR="00C30E98" w:rsidRDefault="006E294C">
      <w:pPr>
        <w:rPr>
          <w:rFonts w:ascii="Times New Roman" w:hAnsi="Times New Roman" w:cs="Times New Roman"/>
          <w:szCs w:val="21"/>
        </w:rPr>
      </w:pPr>
      <w:r w:rsidRPr="006B36E7">
        <w:rPr>
          <w:rFonts w:ascii="Times New Roman" w:hAnsi="Times New Roman" w:cs="Times New Roman"/>
          <w:b/>
          <w:bCs/>
          <w:szCs w:val="21"/>
        </w:rPr>
        <w:t>Figure S</w:t>
      </w:r>
      <w:r w:rsidR="00C05851">
        <w:rPr>
          <w:rFonts w:ascii="Times New Roman" w:hAnsi="Times New Roman" w:cs="Times New Roman"/>
          <w:b/>
          <w:bCs/>
          <w:szCs w:val="21"/>
        </w:rPr>
        <w:t>5</w:t>
      </w:r>
      <w:r w:rsidRPr="006B36E7">
        <w:rPr>
          <w:rFonts w:ascii="Times New Roman" w:hAnsi="Times New Roman" w:cs="Times New Roman"/>
          <w:b/>
          <w:bCs/>
          <w:szCs w:val="21"/>
        </w:rPr>
        <w:t xml:space="preserve">. (Related to Figure 5) </w:t>
      </w:r>
      <w:r w:rsidRPr="006B36E7">
        <w:rPr>
          <w:rFonts w:ascii="Times New Roman" w:hAnsi="Times New Roman" w:cs="Times New Roman"/>
          <w:szCs w:val="21"/>
        </w:rPr>
        <w:t xml:space="preserve">Forest plots for </w:t>
      </w:r>
      <w:r w:rsidR="00806EF3" w:rsidRPr="006B36E7">
        <w:rPr>
          <w:rFonts w:ascii="Times New Roman" w:hAnsi="Times New Roman" w:cs="Times New Roman"/>
          <w:szCs w:val="21"/>
        </w:rPr>
        <w:t xml:space="preserve">the </w:t>
      </w:r>
      <w:r w:rsidRPr="006B36E7">
        <w:rPr>
          <w:rFonts w:ascii="Times New Roman" w:hAnsi="Times New Roman" w:cs="Times New Roman"/>
          <w:szCs w:val="21"/>
        </w:rPr>
        <w:t>multivariate Cox risk regression models.</w:t>
      </w:r>
    </w:p>
    <w:p w14:paraId="76972E56" w14:textId="77777777" w:rsidR="00C30E98" w:rsidRDefault="00C30E98">
      <w:pPr>
        <w:widowControl/>
        <w:jc w:val="left"/>
        <w:rPr>
          <w:rFonts w:ascii="Times New Roman" w:hAnsi="Times New Roman" w:cs="Times New Roman"/>
          <w:szCs w:val="21"/>
        </w:rPr>
      </w:pPr>
      <w:r>
        <w:rPr>
          <w:rFonts w:ascii="Times New Roman" w:hAnsi="Times New Roman" w:cs="Times New Roman"/>
          <w:szCs w:val="21"/>
        </w:rPr>
        <w:br w:type="page"/>
      </w:r>
    </w:p>
    <w:p w14:paraId="0E266F25" w14:textId="6A96BF73" w:rsidR="00A27FC1" w:rsidRDefault="00C30E98">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12AE8C99" wp14:editId="0A01245B">
            <wp:extent cx="5274310" cy="41649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164965"/>
                    </a:xfrm>
                    <a:prstGeom prst="rect">
                      <a:avLst/>
                    </a:prstGeom>
                  </pic:spPr>
                </pic:pic>
              </a:graphicData>
            </a:graphic>
          </wp:inline>
        </w:drawing>
      </w:r>
    </w:p>
    <w:p w14:paraId="658481D4" w14:textId="5DC30550" w:rsidR="00C30E98" w:rsidRDefault="00C30E98" w:rsidP="00C30E98">
      <w:r w:rsidRPr="006B36E7">
        <w:rPr>
          <w:rFonts w:ascii="Times New Roman" w:hAnsi="Times New Roman" w:cs="Times New Roman"/>
          <w:b/>
          <w:bCs/>
          <w:szCs w:val="21"/>
        </w:rPr>
        <w:t>Figure S</w:t>
      </w:r>
      <w:r w:rsidR="00517947">
        <w:rPr>
          <w:rFonts w:ascii="Times New Roman" w:hAnsi="Times New Roman" w:cs="Times New Roman"/>
          <w:b/>
          <w:bCs/>
          <w:szCs w:val="21"/>
        </w:rPr>
        <w:t>6</w:t>
      </w:r>
      <w:r w:rsidRPr="006B36E7">
        <w:rPr>
          <w:rFonts w:ascii="Times New Roman" w:hAnsi="Times New Roman" w:cs="Times New Roman"/>
          <w:b/>
          <w:bCs/>
          <w:szCs w:val="21"/>
        </w:rPr>
        <w:t>. (Related to Figure 5)</w:t>
      </w:r>
      <w:r>
        <w:rPr>
          <w:rFonts w:ascii="Times New Roman" w:hAnsi="Times New Roman" w:cs="Times New Roman"/>
          <w:b/>
          <w:bCs/>
          <w:szCs w:val="21"/>
        </w:rPr>
        <w:t xml:space="preserve"> </w:t>
      </w:r>
      <w:r w:rsidRPr="00756891">
        <w:rPr>
          <w:rFonts w:ascii="Times New Roman" w:hAnsi="Times New Roman" w:cs="Times New Roman"/>
          <w:b/>
          <w:bCs/>
          <w:color w:val="000000" w:themeColor="text1"/>
          <w:szCs w:val="21"/>
        </w:rPr>
        <w:t>(A)</w:t>
      </w:r>
      <w:r w:rsidRPr="00C30E98">
        <w:rPr>
          <w:rFonts w:ascii="Times New Roman" w:hAnsi="Times New Roman" w:cs="Times New Roman"/>
          <w:color w:val="000000" w:themeColor="text1"/>
          <w:szCs w:val="21"/>
        </w:rPr>
        <w:t xml:space="preserve"> </w:t>
      </w:r>
      <w:r w:rsidRPr="00C30E98">
        <w:rPr>
          <w:rFonts w:ascii="Times New Roman" w:hAnsi="Times New Roman" w:cs="Times New Roman"/>
          <w:color w:val="000000" w:themeColor="text1"/>
        </w:rPr>
        <w:t xml:space="preserve">This graph reflects the expression levels of </w:t>
      </w:r>
      <w:r>
        <w:rPr>
          <w:rFonts w:ascii="Times New Roman" w:hAnsi="Times New Roman" w:cs="Times New Roman"/>
          <w:color w:val="000000" w:themeColor="text1"/>
        </w:rPr>
        <w:t>f</w:t>
      </w:r>
      <w:r w:rsidRPr="00C30E98">
        <w:rPr>
          <w:rFonts w:ascii="Times New Roman" w:hAnsi="Times New Roman" w:cs="Times New Roman"/>
          <w:color w:val="000000" w:themeColor="text1"/>
        </w:rPr>
        <w:t xml:space="preserve">our prognostic markers for GSE3141 </w:t>
      </w:r>
      <w:r>
        <w:rPr>
          <w:rFonts w:ascii="Times New Roman" w:hAnsi="Times New Roman" w:cs="Times New Roman"/>
          <w:color w:val="000000" w:themeColor="text1"/>
        </w:rPr>
        <w:t>series</w:t>
      </w:r>
      <w:r w:rsidRPr="00C30E98">
        <w:rPr>
          <w:rFonts w:ascii="Times New Roman" w:hAnsi="Times New Roman" w:cs="Times New Roman"/>
          <w:color w:val="000000" w:themeColor="text1"/>
        </w:rPr>
        <w:t xml:space="preserve"> as well as the survival status and risk scores of the patients.</w:t>
      </w:r>
      <w:r>
        <w:rPr>
          <w:rFonts w:ascii="Times New Roman" w:hAnsi="Times New Roman" w:cs="Times New Roman"/>
          <w:color w:val="000000" w:themeColor="text1"/>
        </w:rPr>
        <w:t xml:space="preserve"> </w:t>
      </w:r>
      <w:r w:rsidRPr="00756891">
        <w:rPr>
          <w:rFonts w:ascii="Times New Roman" w:hAnsi="Times New Roman" w:cs="Times New Roman"/>
          <w:b/>
          <w:bCs/>
          <w:color w:val="000000" w:themeColor="text1"/>
        </w:rPr>
        <w:t>(B)</w:t>
      </w:r>
      <w:r>
        <w:rPr>
          <w:rFonts w:ascii="Times New Roman" w:hAnsi="Times New Roman" w:cs="Times New Roman"/>
          <w:color w:val="000000" w:themeColor="text1"/>
        </w:rPr>
        <w:t xml:space="preserve"> </w:t>
      </w:r>
      <w:r w:rsidRPr="00992F48">
        <w:rPr>
          <w:rFonts w:ascii="Times New Roman" w:hAnsi="Times New Roman" w:cs="Times New Roman"/>
          <w:szCs w:val="21"/>
        </w:rPr>
        <w:t>Kaplan-Meier</w:t>
      </w:r>
      <w:r>
        <w:rPr>
          <w:rFonts w:ascii="Times New Roman" w:hAnsi="Times New Roman" w:cs="Times New Roman"/>
          <w:szCs w:val="21"/>
        </w:rPr>
        <w:t xml:space="preserve"> (</w:t>
      </w:r>
      <w:r w:rsidRPr="00992F48">
        <w:rPr>
          <w:rFonts w:ascii="Times New Roman" w:hAnsi="Times New Roman" w:cs="Times New Roman"/>
          <w:szCs w:val="21"/>
        </w:rPr>
        <w:t>KM</w:t>
      </w:r>
      <w:r>
        <w:rPr>
          <w:rFonts w:ascii="Times New Roman" w:hAnsi="Times New Roman" w:cs="Times New Roman"/>
          <w:szCs w:val="21"/>
        </w:rPr>
        <w:t>)</w:t>
      </w:r>
      <w:r w:rsidRPr="00992F48">
        <w:rPr>
          <w:rFonts w:ascii="Times New Roman" w:hAnsi="Times New Roman" w:cs="Times New Roman"/>
          <w:szCs w:val="21"/>
        </w:rPr>
        <w:t xml:space="preserve"> curves for </w:t>
      </w:r>
      <w:r>
        <w:rPr>
          <w:rFonts w:ascii="Times New Roman" w:hAnsi="Times New Roman" w:cs="Times New Roman" w:hint="eastAsia"/>
          <w:szCs w:val="21"/>
        </w:rPr>
        <w:t>th</w:t>
      </w:r>
      <w:r w:rsidRPr="00C30E98">
        <w:rPr>
          <w:rFonts w:ascii="Times New Roman" w:hAnsi="Times New Roman" w:cs="Times New Roman" w:hint="eastAsia"/>
          <w:color w:val="000000" w:themeColor="text1"/>
        </w:rPr>
        <w:t xml:space="preserve">e </w:t>
      </w:r>
      <w:r w:rsidRPr="00C30E98">
        <w:rPr>
          <w:rFonts w:ascii="Times New Roman" w:hAnsi="Times New Roman" w:cs="Times New Roman"/>
          <w:color w:val="000000" w:themeColor="text1"/>
        </w:rPr>
        <w:t xml:space="preserve">survival time (days) of NSCLC samples from GES3141 </w:t>
      </w:r>
      <w:r>
        <w:rPr>
          <w:rFonts w:ascii="Times New Roman" w:hAnsi="Times New Roman" w:cs="Times New Roman"/>
          <w:color w:val="000000" w:themeColor="text1"/>
        </w:rPr>
        <w:t>series</w:t>
      </w:r>
      <w:r w:rsidRPr="00C30E98">
        <w:rPr>
          <w:rFonts w:ascii="Times New Roman" w:hAnsi="Times New Roman" w:cs="Times New Roman"/>
          <w:color w:val="000000" w:themeColor="text1"/>
        </w:rPr>
        <w:t xml:space="preserve"> in high- and low-risk categories. </w:t>
      </w:r>
      <w:r w:rsidRPr="00C30E98">
        <w:rPr>
          <w:rFonts w:ascii="Times New Roman" w:hAnsi="Times New Roman" w:cs="Times New Roman" w:hint="eastAsia"/>
          <w:color w:val="000000" w:themeColor="text1"/>
        </w:rPr>
        <w:t>The l</w:t>
      </w:r>
      <w:r w:rsidRPr="00C30E98">
        <w:rPr>
          <w:rFonts w:ascii="Times New Roman" w:hAnsi="Times New Roman" w:cs="Times New Roman"/>
          <w:color w:val="000000" w:themeColor="text1"/>
        </w:rPr>
        <w:t xml:space="preserve">og-rank test was used to calculate statistical significance. </w:t>
      </w:r>
      <w:r w:rsidRPr="00756891">
        <w:rPr>
          <w:rFonts w:ascii="Times New Roman" w:hAnsi="Times New Roman" w:cs="Times New Roman"/>
          <w:b/>
          <w:bCs/>
          <w:color w:val="000000" w:themeColor="text1"/>
        </w:rPr>
        <w:t>(C)</w:t>
      </w:r>
      <w:r w:rsidRPr="00C30E98">
        <w:rPr>
          <w:rFonts w:ascii="Times New Roman" w:hAnsi="Times New Roman" w:cs="Times New Roman"/>
          <w:color w:val="000000" w:themeColor="text1"/>
        </w:rPr>
        <w:t xml:space="preserve"> Same as in </w:t>
      </w:r>
      <w:r w:rsidRPr="00756891">
        <w:rPr>
          <w:rFonts w:ascii="Times New Roman" w:hAnsi="Times New Roman" w:cs="Times New Roman"/>
          <w:b/>
          <w:bCs/>
          <w:color w:val="000000" w:themeColor="text1"/>
        </w:rPr>
        <w:t>(A)</w:t>
      </w:r>
      <w:r w:rsidRPr="00C30E98">
        <w:rPr>
          <w:rFonts w:ascii="Times New Roman" w:hAnsi="Times New Roman" w:cs="Times New Roman"/>
          <w:color w:val="000000" w:themeColor="text1"/>
        </w:rPr>
        <w:t xml:space="preserve"> but for GSE42127 </w:t>
      </w:r>
      <w:r>
        <w:rPr>
          <w:rFonts w:ascii="Times New Roman" w:hAnsi="Times New Roman" w:cs="Times New Roman"/>
          <w:color w:val="000000" w:themeColor="text1"/>
        </w:rPr>
        <w:t xml:space="preserve">series. </w:t>
      </w:r>
      <w:r w:rsidRPr="00756891">
        <w:rPr>
          <w:rFonts w:ascii="Times New Roman" w:hAnsi="Times New Roman" w:cs="Times New Roman"/>
          <w:b/>
          <w:bCs/>
          <w:color w:val="000000" w:themeColor="text1"/>
        </w:rPr>
        <w:t>(D)</w:t>
      </w:r>
      <w:r>
        <w:rPr>
          <w:rFonts w:ascii="Times New Roman" w:hAnsi="Times New Roman" w:cs="Times New Roman"/>
          <w:color w:val="000000" w:themeColor="text1"/>
        </w:rPr>
        <w:t xml:space="preserve"> </w:t>
      </w:r>
      <w:r w:rsidRPr="00C30E98">
        <w:rPr>
          <w:rFonts w:ascii="Times New Roman" w:hAnsi="Times New Roman" w:cs="Times New Roman"/>
          <w:color w:val="000000" w:themeColor="text1"/>
        </w:rPr>
        <w:t xml:space="preserve">Same as in </w:t>
      </w:r>
      <w:r w:rsidRPr="00756891">
        <w:rPr>
          <w:rFonts w:ascii="Times New Roman" w:hAnsi="Times New Roman" w:cs="Times New Roman"/>
          <w:b/>
          <w:bCs/>
          <w:color w:val="000000" w:themeColor="text1"/>
        </w:rPr>
        <w:t>(B)</w:t>
      </w:r>
      <w:r w:rsidRPr="00C30E98">
        <w:rPr>
          <w:rFonts w:ascii="Times New Roman" w:hAnsi="Times New Roman" w:cs="Times New Roman"/>
          <w:color w:val="000000" w:themeColor="text1"/>
        </w:rPr>
        <w:t xml:space="preserve"> but for </w:t>
      </w:r>
      <w:r w:rsidRPr="00C30E98">
        <w:rPr>
          <w:rFonts w:ascii="Times New Roman" w:hAnsi="Times New Roman" w:cs="Times New Roman" w:hint="eastAsia"/>
          <w:color w:val="000000" w:themeColor="text1"/>
        </w:rPr>
        <w:t xml:space="preserve">the </w:t>
      </w:r>
      <w:r w:rsidRPr="00C30E98">
        <w:rPr>
          <w:rFonts w:ascii="Times New Roman" w:hAnsi="Times New Roman" w:cs="Times New Roman"/>
          <w:color w:val="000000" w:themeColor="text1"/>
        </w:rPr>
        <w:t xml:space="preserve">survival time (days) of NSCLC samples from GSE42127 </w:t>
      </w:r>
      <w:r>
        <w:rPr>
          <w:rFonts w:ascii="Times New Roman" w:hAnsi="Times New Roman" w:cs="Times New Roman"/>
          <w:color w:val="000000" w:themeColor="text1"/>
        </w:rPr>
        <w:t>series.</w:t>
      </w:r>
    </w:p>
    <w:p w14:paraId="343B84D5" w14:textId="27759C4D" w:rsidR="00C30E98" w:rsidRPr="00C30E98" w:rsidRDefault="00C30E98">
      <w:pPr>
        <w:rPr>
          <w:rFonts w:ascii="Times New Roman" w:hAnsi="Times New Roman" w:cs="Times New Roman"/>
          <w:szCs w:val="21"/>
        </w:rPr>
      </w:pPr>
    </w:p>
    <w:p w14:paraId="04773CE9" w14:textId="77777777" w:rsidR="00A27FC1" w:rsidRDefault="00A27FC1">
      <w:pPr>
        <w:widowControl/>
        <w:jc w:val="left"/>
        <w:rPr>
          <w:rFonts w:ascii="Times New Roman" w:hAnsi="Times New Roman" w:cs="Times New Roman"/>
          <w:szCs w:val="21"/>
        </w:rPr>
      </w:pPr>
      <w:r>
        <w:rPr>
          <w:rFonts w:ascii="Times New Roman" w:hAnsi="Times New Roman" w:cs="Times New Roman"/>
          <w:szCs w:val="21"/>
        </w:rPr>
        <w:br w:type="page"/>
      </w:r>
    </w:p>
    <w:p w14:paraId="3F18091E" w14:textId="139D11F4" w:rsidR="006E294C" w:rsidRDefault="00A27FC1">
      <w:pPr>
        <w:rPr>
          <w:rFonts w:ascii="Times New Roman" w:hAnsi="Times New Roman" w:cs="Times New Roman"/>
          <w:b/>
          <w:bCs/>
          <w:sz w:val="28"/>
          <w:szCs w:val="28"/>
        </w:rPr>
      </w:pPr>
      <w:r w:rsidRPr="00A27FC1">
        <w:rPr>
          <w:rFonts w:ascii="Times New Roman" w:hAnsi="Times New Roman" w:cs="Times New Roman" w:hint="eastAsia"/>
          <w:b/>
          <w:bCs/>
          <w:sz w:val="28"/>
          <w:szCs w:val="28"/>
        </w:rPr>
        <w:lastRenderedPageBreak/>
        <w:t>S</w:t>
      </w:r>
      <w:r w:rsidRPr="00A27FC1">
        <w:rPr>
          <w:rFonts w:ascii="Times New Roman" w:hAnsi="Times New Roman" w:cs="Times New Roman"/>
          <w:b/>
          <w:bCs/>
          <w:sz w:val="28"/>
          <w:szCs w:val="28"/>
        </w:rPr>
        <w:t>upplementary Tables</w:t>
      </w:r>
    </w:p>
    <w:p w14:paraId="0BC667E7" w14:textId="2821C4FA" w:rsidR="00A27FC1" w:rsidRPr="00A27FC1" w:rsidRDefault="00A27FC1">
      <w:pPr>
        <w:rPr>
          <w:rFonts w:ascii="Times New Roman" w:hAnsi="Times New Roman" w:cs="Times New Roman"/>
          <w:b/>
          <w:bCs/>
          <w:szCs w:val="21"/>
        </w:rPr>
      </w:pPr>
      <w:bookmarkStart w:id="2" w:name="_Hlk73459801"/>
      <w:r w:rsidRPr="00A27FC1">
        <w:rPr>
          <w:rFonts w:ascii="Times New Roman" w:hAnsi="Times New Roman" w:cs="Times New Roman" w:hint="eastAsia"/>
          <w:b/>
          <w:bCs/>
          <w:szCs w:val="21"/>
        </w:rPr>
        <w:t>T</w:t>
      </w:r>
      <w:r w:rsidRPr="00A27FC1">
        <w:rPr>
          <w:rFonts w:ascii="Times New Roman" w:hAnsi="Times New Roman" w:cs="Times New Roman"/>
          <w:b/>
          <w:bCs/>
          <w:szCs w:val="21"/>
        </w:rPr>
        <w:t>able S1: The information of samples used in this study</w:t>
      </w:r>
    </w:p>
    <w:tbl>
      <w:tblPr>
        <w:tblStyle w:val="TableGrid"/>
        <w:tblW w:w="0" w:type="auto"/>
        <w:tblLook w:val="04A0" w:firstRow="1" w:lastRow="0" w:firstColumn="1" w:lastColumn="0" w:noHBand="0" w:noVBand="1"/>
      </w:tblPr>
      <w:tblGrid>
        <w:gridCol w:w="1353"/>
        <w:gridCol w:w="1477"/>
        <w:gridCol w:w="1288"/>
        <w:gridCol w:w="1289"/>
        <w:gridCol w:w="1297"/>
        <w:gridCol w:w="1592"/>
      </w:tblGrid>
      <w:tr w:rsidR="00A27FC1" w14:paraId="2D499D23" w14:textId="77777777" w:rsidTr="00CA75B9">
        <w:tc>
          <w:tcPr>
            <w:tcW w:w="1353" w:type="dxa"/>
            <w:vAlign w:val="center"/>
          </w:tcPr>
          <w:bookmarkEnd w:id="2"/>
          <w:p w14:paraId="145CB8D7"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Sequencing technology</w:t>
            </w:r>
          </w:p>
        </w:tc>
        <w:tc>
          <w:tcPr>
            <w:tcW w:w="1477" w:type="dxa"/>
            <w:vAlign w:val="center"/>
          </w:tcPr>
          <w:p w14:paraId="442BD03F"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Sample</w:t>
            </w:r>
          </w:p>
        </w:tc>
        <w:tc>
          <w:tcPr>
            <w:tcW w:w="1288" w:type="dxa"/>
            <w:vAlign w:val="center"/>
          </w:tcPr>
          <w:p w14:paraId="5FE0C6F1"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Cell/sample number</w:t>
            </w:r>
          </w:p>
        </w:tc>
        <w:tc>
          <w:tcPr>
            <w:tcW w:w="1289" w:type="dxa"/>
            <w:vAlign w:val="center"/>
          </w:tcPr>
          <w:p w14:paraId="4D3D0562"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Tissue</w:t>
            </w:r>
          </w:p>
        </w:tc>
        <w:tc>
          <w:tcPr>
            <w:tcW w:w="1297" w:type="dxa"/>
            <w:vAlign w:val="center"/>
          </w:tcPr>
          <w:p w14:paraId="390467C7"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Sex</w:t>
            </w:r>
          </w:p>
        </w:tc>
        <w:tc>
          <w:tcPr>
            <w:tcW w:w="1592" w:type="dxa"/>
            <w:vAlign w:val="center"/>
          </w:tcPr>
          <w:p w14:paraId="790E1BB3"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Diagnosis</w:t>
            </w:r>
          </w:p>
        </w:tc>
      </w:tr>
      <w:tr w:rsidR="00A27FC1" w14:paraId="72B7315D" w14:textId="77777777" w:rsidTr="00CA75B9">
        <w:tc>
          <w:tcPr>
            <w:tcW w:w="1353" w:type="dxa"/>
            <w:vMerge w:val="restart"/>
            <w:vAlign w:val="center"/>
          </w:tcPr>
          <w:p w14:paraId="7C1E0BF9"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Single-cell</w:t>
            </w:r>
          </w:p>
        </w:tc>
        <w:tc>
          <w:tcPr>
            <w:tcW w:w="1477" w:type="dxa"/>
            <w:vAlign w:val="center"/>
          </w:tcPr>
          <w:p w14:paraId="27BE3B81"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GSM3304007</w:t>
            </w:r>
          </w:p>
        </w:tc>
        <w:tc>
          <w:tcPr>
            <w:tcW w:w="1288" w:type="dxa"/>
            <w:vAlign w:val="center"/>
          </w:tcPr>
          <w:p w14:paraId="47FD9B01"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1832</w:t>
            </w:r>
          </w:p>
        </w:tc>
        <w:tc>
          <w:tcPr>
            <w:tcW w:w="1289" w:type="dxa"/>
            <w:vAlign w:val="center"/>
          </w:tcPr>
          <w:p w14:paraId="673058B7"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Tumor</w:t>
            </w:r>
          </w:p>
        </w:tc>
        <w:tc>
          <w:tcPr>
            <w:tcW w:w="1297" w:type="dxa"/>
            <w:vAlign w:val="center"/>
          </w:tcPr>
          <w:p w14:paraId="44C85F23"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Male</w:t>
            </w:r>
          </w:p>
        </w:tc>
        <w:tc>
          <w:tcPr>
            <w:tcW w:w="1592" w:type="dxa"/>
            <w:vAlign w:val="center"/>
          </w:tcPr>
          <w:p w14:paraId="55F6A8D1"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Lung adenocarcinoma</w:t>
            </w:r>
          </w:p>
        </w:tc>
      </w:tr>
      <w:tr w:rsidR="00A27FC1" w14:paraId="4768A820" w14:textId="77777777" w:rsidTr="00CA75B9">
        <w:tc>
          <w:tcPr>
            <w:tcW w:w="1353" w:type="dxa"/>
            <w:vMerge/>
            <w:vAlign w:val="center"/>
          </w:tcPr>
          <w:p w14:paraId="78EDBC03" w14:textId="77777777" w:rsidR="00A27FC1" w:rsidRPr="00A27FC1" w:rsidRDefault="00A27FC1" w:rsidP="00CA75B9">
            <w:pPr>
              <w:jc w:val="center"/>
              <w:rPr>
                <w:rFonts w:ascii="Times New Roman" w:hAnsi="Times New Roman" w:cs="Times New Roman"/>
              </w:rPr>
            </w:pPr>
          </w:p>
        </w:tc>
        <w:tc>
          <w:tcPr>
            <w:tcW w:w="1477" w:type="dxa"/>
            <w:vAlign w:val="center"/>
          </w:tcPr>
          <w:p w14:paraId="5352A96A"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GSM3304009</w:t>
            </w:r>
          </w:p>
        </w:tc>
        <w:tc>
          <w:tcPr>
            <w:tcW w:w="1288" w:type="dxa"/>
            <w:vAlign w:val="center"/>
          </w:tcPr>
          <w:p w14:paraId="253A17C2"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1304</w:t>
            </w:r>
          </w:p>
        </w:tc>
        <w:tc>
          <w:tcPr>
            <w:tcW w:w="1289" w:type="dxa"/>
            <w:vAlign w:val="center"/>
          </w:tcPr>
          <w:p w14:paraId="40AE358F"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Tumor</w:t>
            </w:r>
          </w:p>
        </w:tc>
        <w:tc>
          <w:tcPr>
            <w:tcW w:w="1297" w:type="dxa"/>
            <w:vAlign w:val="center"/>
          </w:tcPr>
          <w:p w14:paraId="76497EBF"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Female</w:t>
            </w:r>
          </w:p>
        </w:tc>
        <w:tc>
          <w:tcPr>
            <w:tcW w:w="1592" w:type="dxa"/>
            <w:vAlign w:val="center"/>
          </w:tcPr>
          <w:p w14:paraId="7C905062"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Lung squamous cell carcinoma</w:t>
            </w:r>
          </w:p>
        </w:tc>
      </w:tr>
      <w:tr w:rsidR="00A27FC1" w14:paraId="4173C7C2" w14:textId="77777777" w:rsidTr="00CA75B9">
        <w:tc>
          <w:tcPr>
            <w:tcW w:w="1353" w:type="dxa"/>
            <w:vMerge/>
            <w:vAlign w:val="center"/>
          </w:tcPr>
          <w:p w14:paraId="1506BC74" w14:textId="77777777" w:rsidR="00A27FC1" w:rsidRPr="00A27FC1" w:rsidRDefault="00A27FC1" w:rsidP="00CA75B9">
            <w:pPr>
              <w:jc w:val="center"/>
              <w:rPr>
                <w:rFonts w:ascii="Times New Roman" w:hAnsi="Times New Roman" w:cs="Times New Roman"/>
              </w:rPr>
            </w:pPr>
          </w:p>
        </w:tc>
        <w:tc>
          <w:tcPr>
            <w:tcW w:w="1477" w:type="dxa"/>
            <w:vAlign w:val="center"/>
          </w:tcPr>
          <w:p w14:paraId="3E78660A"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GSM3304011</w:t>
            </w:r>
          </w:p>
        </w:tc>
        <w:tc>
          <w:tcPr>
            <w:tcW w:w="1288" w:type="dxa"/>
            <w:vAlign w:val="center"/>
          </w:tcPr>
          <w:p w14:paraId="2BEF5471"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328</w:t>
            </w:r>
          </w:p>
        </w:tc>
        <w:tc>
          <w:tcPr>
            <w:tcW w:w="1289" w:type="dxa"/>
            <w:vAlign w:val="center"/>
          </w:tcPr>
          <w:p w14:paraId="17873F7B"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Tumor</w:t>
            </w:r>
          </w:p>
        </w:tc>
        <w:tc>
          <w:tcPr>
            <w:tcW w:w="1297" w:type="dxa"/>
            <w:vAlign w:val="center"/>
          </w:tcPr>
          <w:p w14:paraId="3A9B0FA6"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Female</w:t>
            </w:r>
          </w:p>
        </w:tc>
        <w:tc>
          <w:tcPr>
            <w:tcW w:w="1592" w:type="dxa"/>
            <w:vAlign w:val="center"/>
          </w:tcPr>
          <w:p w14:paraId="69B43575"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Lung adenocarcinoma</w:t>
            </w:r>
          </w:p>
        </w:tc>
      </w:tr>
      <w:tr w:rsidR="00A27FC1" w14:paraId="19DD8526" w14:textId="77777777" w:rsidTr="00CA75B9">
        <w:tc>
          <w:tcPr>
            <w:tcW w:w="1353" w:type="dxa"/>
            <w:vMerge/>
            <w:vAlign w:val="center"/>
          </w:tcPr>
          <w:p w14:paraId="11C339CB" w14:textId="77777777" w:rsidR="00A27FC1" w:rsidRPr="00A27FC1" w:rsidRDefault="00A27FC1" w:rsidP="00CA75B9">
            <w:pPr>
              <w:jc w:val="center"/>
              <w:rPr>
                <w:rFonts w:ascii="Times New Roman" w:hAnsi="Times New Roman" w:cs="Times New Roman"/>
              </w:rPr>
            </w:pPr>
          </w:p>
        </w:tc>
        <w:tc>
          <w:tcPr>
            <w:tcW w:w="1477" w:type="dxa"/>
            <w:vAlign w:val="center"/>
          </w:tcPr>
          <w:p w14:paraId="098CCBD5"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GSM3304013</w:t>
            </w:r>
          </w:p>
        </w:tc>
        <w:tc>
          <w:tcPr>
            <w:tcW w:w="1288" w:type="dxa"/>
            <w:vAlign w:val="center"/>
          </w:tcPr>
          <w:p w14:paraId="79746EDC"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1423</w:t>
            </w:r>
          </w:p>
        </w:tc>
        <w:tc>
          <w:tcPr>
            <w:tcW w:w="1289" w:type="dxa"/>
            <w:vAlign w:val="center"/>
          </w:tcPr>
          <w:p w14:paraId="02CDEEE1"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Tumor</w:t>
            </w:r>
          </w:p>
        </w:tc>
        <w:tc>
          <w:tcPr>
            <w:tcW w:w="1297" w:type="dxa"/>
            <w:vAlign w:val="center"/>
          </w:tcPr>
          <w:p w14:paraId="3151D214"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Female</w:t>
            </w:r>
          </w:p>
        </w:tc>
        <w:tc>
          <w:tcPr>
            <w:tcW w:w="1592" w:type="dxa"/>
            <w:vAlign w:val="center"/>
          </w:tcPr>
          <w:p w14:paraId="2AF526C8" w14:textId="77777777" w:rsidR="00A27FC1" w:rsidRPr="00A27FC1" w:rsidRDefault="00A27FC1" w:rsidP="00CA75B9">
            <w:pPr>
              <w:jc w:val="center"/>
              <w:rPr>
                <w:rFonts w:ascii="Times New Roman" w:hAnsi="Times New Roman" w:cs="Times New Roman"/>
              </w:rPr>
            </w:pPr>
            <w:r w:rsidRPr="00A27FC1">
              <w:rPr>
                <w:rFonts w:ascii="Times New Roman" w:hAnsi="Times New Roman" w:cs="Times New Roman"/>
              </w:rPr>
              <w:t>Lung adenocarcinoma</w:t>
            </w:r>
          </w:p>
        </w:tc>
      </w:tr>
      <w:tr w:rsidR="00315246" w14:paraId="6ECBFBE3" w14:textId="77777777" w:rsidTr="00CA75B9">
        <w:tc>
          <w:tcPr>
            <w:tcW w:w="1353" w:type="dxa"/>
            <w:vMerge w:val="restart"/>
            <w:vAlign w:val="center"/>
          </w:tcPr>
          <w:p w14:paraId="6249C903" w14:textId="558F03E1" w:rsidR="00315246" w:rsidRPr="00A27FC1" w:rsidRDefault="00315246" w:rsidP="00CA75B9">
            <w:pPr>
              <w:jc w:val="cente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ulk</w:t>
            </w:r>
          </w:p>
        </w:tc>
        <w:tc>
          <w:tcPr>
            <w:tcW w:w="1477" w:type="dxa"/>
            <w:vAlign w:val="center"/>
          </w:tcPr>
          <w:p w14:paraId="43B1597F"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TCGA-LUAD</w:t>
            </w:r>
          </w:p>
        </w:tc>
        <w:tc>
          <w:tcPr>
            <w:tcW w:w="1288" w:type="dxa"/>
            <w:vAlign w:val="center"/>
          </w:tcPr>
          <w:p w14:paraId="05C33C13"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527</w:t>
            </w:r>
          </w:p>
        </w:tc>
        <w:tc>
          <w:tcPr>
            <w:tcW w:w="1289" w:type="dxa"/>
            <w:vAlign w:val="center"/>
          </w:tcPr>
          <w:p w14:paraId="2DE45DB3"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Tumor</w:t>
            </w:r>
          </w:p>
        </w:tc>
        <w:tc>
          <w:tcPr>
            <w:tcW w:w="1297" w:type="dxa"/>
            <w:vAlign w:val="center"/>
          </w:tcPr>
          <w:p w14:paraId="2CEB69BB"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w:t>
            </w:r>
          </w:p>
        </w:tc>
        <w:tc>
          <w:tcPr>
            <w:tcW w:w="1592" w:type="dxa"/>
            <w:vAlign w:val="center"/>
          </w:tcPr>
          <w:p w14:paraId="5E43EC45"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Lung adenocarcinoma</w:t>
            </w:r>
          </w:p>
        </w:tc>
      </w:tr>
      <w:tr w:rsidR="00315246" w14:paraId="2FD1D2DF" w14:textId="77777777" w:rsidTr="00CA75B9">
        <w:tc>
          <w:tcPr>
            <w:tcW w:w="1353" w:type="dxa"/>
            <w:vMerge/>
            <w:vAlign w:val="center"/>
          </w:tcPr>
          <w:p w14:paraId="228B3817" w14:textId="77777777" w:rsidR="00315246" w:rsidRPr="00A27FC1" w:rsidRDefault="00315246" w:rsidP="00CA75B9">
            <w:pPr>
              <w:jc w:val="center"/>
              <w:rPr>
                <w:rFonts w:ascii="Times New Roman" w:hAnsi="Times New Roman" w:cs="Times New Roman"/>
              </w:rPr>
            </w:pPr>
          </w:p>
        </w:tc>
        <w:tc>
          <w:tcPr>
            <w:tcW w:w="1477" w:type="dxa"/>
            <w:vAlign w:val="center"/>
          </w:tcPr>
          <w:p w14:paraId="51F39150"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TCGA-LUSC</w:t>
            </w:r>
          </w:p>
        </w:tc>
        <w:tc>
          <w:tcPr>
            <w:tcW w:w="1288" w:type="dxa"/>
            <w:vAlign w:val="center"/>
          </w:tcPr>
          <w:p w14:paraId="081A846E"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503</w:t>
            </w:r>
          </w:p>
        </w:tc>
        <w:tc>
          <w:tcPr>
            <w:tcW w:w="1289" w:type="dxa"/>
            <w:vAlign w:val="center"/>
          </w:tcPr>
          <w:p w14:paraId="7C5725AE"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Tumor</w:t>
            </w:r>
          </w:p>
        </w:tc>
        <w:tc>
          <w:tcPr>
            <w:tcW w:w="1297" w:type="dxa"/>
            <w:vAlign w:val="center"/>
          </w:tcPr>
          <w:p w14:paraId="364D8D7B"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w:t>
            </w:r>
          </w:p>
        </w:tc>
        <w:tc>
          <w:tcPr>
            <w:tcW w:w="1592" w:type="dxa"/>
            <w:vAlign w:val="center"/>
          </w:tcPr>
          <w:p w14:paraId="58397888" w14:textId="77777777" w:rsidR="00315246" w:rsidRPr="00A27FC1" w:rsidRDefault="00315246" w:rsidP="00CA75B9">
            <w:pPr>
              <w:jc w:val="center"/>
              <w:rPr>
                <w:rFonts w:ascii="Times New Roman" w:hAnsi="Times New Roman" w:cs="Times New Roman"/>
              </w:rPr>
            </w:pPr>
            <w:r w:rsidRPr="00A27FC1">
              <w:rPr>
                <w:rFonts w:ascii="Times New Roman" w:hAnsi="Times New Roman" w:cs="Times New Roman"/>
              </w:rPr>
              <w:t>Lung squamous cell carcinoma</w:t>
            </w:r>
          </w:p>
        </w:tc>
      </w:tr>
      <w:tr w:rsidR="00315246" w14:paraId="2CF4E83C" w14:textId="77777777" w:rsidTr="00CA75B9">
        <w:tc>
          <w:tcPr>
            <w:tcW w:w="1353" w:type="dxa"/>
            <w:vMerge/>
            <w:vAlign w:val="center"/>
          </w:tcPr>
          <w:p w14:paraId="72C3CEF0" w14:textId="77777777" w:rsidR="00315246" w:rsidRPr="00A27FC1" w:rsidRDefault="00315246" w:rsidP="00315246">
            <w:pPr>
              <w:jc w:val="center"/>
              <w:rPr>
                <w:rFonts w:ascii="Times New Roman" w:hAnsi="Times New Roman" w:cs="Times New Roman"/>
              </w:rPr>
            </w:pPr>
          </w:p>
        </w:tc>
        <w:tc>
          <w:tcPr>
            <w:tcW w:w="1477" w:type="dxa"/>
            <w:vAlign w:val="center"/>
          </w:tcPr>
          <w:p w14:paraId="5CE6C05A" w14:textId="64A3C0F8" w:rsidR="00315246" w:rsidRPr="00A27FC1" w:rsidRDefault="00315246" w:rsidP="00315246">
            <w:pPr>
              <w:jc w:val="center"/>
              <w:rPr>
                <w:rFonts w:ascii="Times New Roman" w:hAnsi="Times New Roman" w:cs="Times New Roman"/>
              </w:rPr>
            </w:pPr>
            <w:r w:rsidRPr="00315246">
              <w:rPr>
                <w:rFonts w:ascii="Times New Roman" w:hAnsi="Times New Roman" w:cs="Times New Roman"/>
              </w:rPr>
              <w:t>GSE3141</w:t>
            </w:r>
          </w:p>
        </w:tc>
        <w:tc>
          <w:tcPr>
            <w:tcW w:w="1288" w:type="dxa"/>
            <w:vAlign w:val="center"/>
          </w:tcPr>
          <w:p w14:paraId="1B6E1D95" w14:textId="25D5D3DA" w:rsidR="00315246" w:rsidRPr="00A27FC1" w:rsidRDefault="00315246" w:rsidP="00315246">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11</w:t>
            </w:r>
          </w:p>
        </w:tc>
        <w:tc>
          <w:tcPr>
            <w:tcW w:w="1289" w:type="dxa"/>
            <w:vAlign w:val="center"/>
          </w:tcPr>
          <w:p w14:paraId="6A718B48" w14:textId="7881BEA9" w:rsidR="00315246" w:rsidRPr="00A27FC1" w:rsidRDefault="00315246" w:rsidP="00315246">
            <w:pPr>
              <w:jc w:val="center"/>
              <w:rPr>
                <w:rFonts w:ascii="Times New Roman" w:hAnsi="Times New Roman" w:cs="Times New Roman"/>
              </w:rPr>
            </w:pPr>
            <w:r>
              <w:rPr>
                <w:rFonts w:ascii="Times New Roman" w:hAnsi="Times New Roman" w:cs="Times New Roman"/>
              </w:rPr>
              <w:t>Tumor</w:t>
            </w:r>
          </w:p>
        </w:tc>
        <w:tc>
          <w:tcPr>
            <w:tcW w:w="1297" w:type="dxa"/>
            <w:vAlign w:val="center"/>
          </w:tcPr>
          <w:p w14:paraId="20F9452A" w14:textId="65EC5579" w:rsidR="00315246" w:rsidRPr="00A27FC1" w:rsidRDefault="00315246" w:rsidP="00315246">
            <w:pPr>
              <w:jc w:val="center"/>
              <w:rPr>
                <w:rFonts w:ascii="Times New Roman" w:hAnsi="Times New Roman" w:cs="Times New Roman"/>
              </w:rPr>
            </w:pPr>
            <w:r w:rsidRPr="00A27FC1">
              <w:rPr>
                <w:rFonts w:ascii="Times New Roman" w:hAnsi="Times New Roman" w:cs="Times New Roman"/>
              </w:rPr>
              <w:t>/</w:t>
            </w:r>
          </w:p>
        </w:tc>
        <w:tc>
          <w:tcPr>
            <w:tcW w:w="1592" w:type="dxa"/>
            <w:vAlign w:val="center"/>
          </w:tcPr>
          <w:p w14:paraId="15DF2757" w14:textId="0FDC4E3A" w:rsidR="00315246" w:rsidRPr="00A27FC1" w:rsidRDefault="00AA2C36" w:rsidP="00315246">
            <w:pPr>
              <w:jc w:val="center"/>
              <w:rPr>
                <w:rFonts w:ascii="Times New Roman" w:hAnsi="Times New Roman" w:cs="Times New Roman"/>
              </w:rPr>
            </w:pPr>
            <w:r w:rsidRPr="00A27FC1">
              <w:rPr>
                <w:rFonts w:ascii="Times New Roman" w:hAnsi="Times New Roman" w:cs="Times New Roman"/>
              </w:rPr>
              <w:t>Lung adenocarcinoma</w:t>
            </w:r>
          </w:p>
        </w:tc>
      </w:tr>
      <w:tr w:rsidR="00315246" w14:paraId="1B450C0D" w14:textId="77777777" w:rsidTr="00CA75B9">
        <w:tc>
          <w:tcPr>
            <w:tcW w:w="1353" w:type="dxa"/>
            <w:vMerge/>
            <w:vAlign w:val="center"/>
          </w:tcPr>
          <w:p w14:paraId="4A7DFF0B" w14:textId="77777777" w:rsidR="00315246" w:rsidRPr="00A27FC1" w:rsidRDefault="00315246" w:rsidP="00315246">
            <w:pPr>
              <w:jc w:val="center"/>
              <w:rPr>
                <w:rFonts w:ascii="Times New Roman" w:hAnsi="Times New Roman" w:cs="Times New Roman"/>
              </w:rPr>
            </w:pPr>
          </w:p>
        </w:tc>
        <w:tc>
          <w:tcPr>
            <w:tcW w:w="1477" w:type="dxa"/>
            <w:vAlign w:val="center"/>
          </w:tcPr>
          <w:p w14:paraId="5EAE1A24" w14:textId="7B6F8C1F" w:rsidR="00315246" w:rsidRPr="00A27FC1" w:rsidRDefault="00315246" w:rsidP="00315246">
            <w:pPr>
              <w:jc w:val="center"/>
              <w:rPr>
                <w:rFonts w:ascii="Times New Roman" w:hAnsi="Times New Roman" w:cs="Times New Roman"/>
              </w:rPr>
            </w:pPr>
            <w:r w:rsidRPr="00315246">
              <w:rPr>
                <w:rFonts w:ascii="Times New Roman" w:hAnsi="Times New Roman" w:cs="Times New Roman"/>
              </w:rPr>
              <w:t>GSE42127</w:t>
            </w:r>
          </w:p>
        </w:tc>
        <w:tc>
          <w:tcPr>
            <w:tcW w:w="1288" w:type="dxa"/>
            <w:vAlign w:val="center"/>
          </w:tcPr>
          <w:p w14:paraId="582DCC6A" w14:textId="3484AF6D" w:rsidR="00315246" w:rsidRPr="00A27FC1" w:rsidRDefault="00315246" w:rsidP="00315246">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76</w:t>
            </w:r>
          </w:p>
        </w:tc>
        <w:tc>
          <w:tcPr>
            <w:tcW w:w="1289" w:type="dxa"/>
            <w:vAlign w:val="center"/>
          </w:tcPr>
          <w:p w14:paraId="7007E994" w14:textId="10EB67F5" w:rsidR="00315246" w:rsidRPr="00A27FC1" w:rsidRDefault="00315246" w:rsidP="00315246">
            <w:pPr>
              <w:jc w:val="center"/>
              <w:rPr>
                <w:rFonts w:ascii="Times New Roman" w:hAnsi="Times New Roman" w:cs="Times New Roman"/>
              </w:rPr>
            </w:pPr>
            <w:r>
              <w:rPr>
                <w:rFonts w:ascii="Times New Roman" w:hAnsi="Times New Roman" w:cs="Times New Roman"/>
              </w:rPr>
              <w:t>Tumor</w:t>
            </w:r>
          </w:p>
        </w:tc>
        <w:tc>
          <w:tcPr>
            <w:tcW w:w="1297" w:type="dxa"/>
            <w:vAlign w:val="center"/>
          </w:tcPr>
          <w:p w14:paraId="7A98C241" w14:textId="3697EFD4" w:rsidR="00315246" w:rsidRPr="00A27FC1" w:rsidRDefault="00315246" w:rsidP="00315246">
            <w:pPr>
              <w:jc w:val="center"/>
              <w:rPr>
                <w:rFonts w:ascii="Times New Roman" w:hAnsi="Times New Roman" w:cs="Times New Roman"/>
              </w:rPr>
            </w:pPr>
            <w:r w:rsidRPr="00A27FC1">
              <w:rPr>
                <w:rFonts w:ascii="Times New Roman" w:hAnsi="Times New Roman" w:cs="Times New Roman"/>
              </w:rPr>
              <w:t>/</w:t>
            </w:r>
          </w:p>
        </w:tc>
        <w:tc>
          <w:tcPr>
            <w:tcW w:w="1592" w:type="dxa"/>
            <w:vAlign w:val="center"/>
          </w:tcPr>
          <w:p w14:paraId="5161429B" w14:textId="7B8C803D" w:rsidR="00315246" w:rsidRPr="00A27FC1" w:rsidRDefault="00315246" w:rsidP="00315246">
            <w:pPr>
              <w:jc w:val="center"/>
              <w:rPr>
                <w:rFonts w:ascii="Times New Roman" w:hAnsi="Times New Roman" w:cs="Times New Roman"/>
              </w:rPr>
            </w:pPr>
            <w:r w:rsidRPr="00A27FC1">
              <w:rPr>
                <w:rFonts w:ascii="Times New Roman" w:hAnsi="Times New Roman" w:cs="Times New Roman"/>
              </w:rPr>
              <w:t>Lung squamous cell carcinoma</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43); </w:t>
            </w:r>
            <w:r w:rsidRPr="00A27FC1">
              <w:rPr>
                <w:rFonts w:ascii="Times New Roman" w:hAnsi="Times New Roman" w:cs="Times New Roman"/>
              </w:rPr>
              <w:t>Lung adenocarcinoma</w:t>
            </w:r>
            <w:r>
              <w:rPr>
                <w:rFonts w:ascii="Times New Roman" w:hAnsi="Times New Roman" w:cs="Times New Roman"/>
              </w:rPr>
              <w:t xml:space="preserve"> (133)</w:t>
            </w:r>
          </w:p>
        </w:tc>
      </w:tr>
    </w:tbl>
    <w:p w14:paraId="679D308E" w14:textId="3AC604E0" w:rsidR="00C05851" w:rsidRDefault="00C05851">
      <w:pPr>
        <w:rPr>
          <w:rFonts w:ascii="Times New Roman" w:hAnsi="Times New Roman" w:cs="Times New Roman"/>
          <w:b/>
          <w:bCs/>
          <w:sz w:val="28"/>
          <w:szCs w:val="28"/>
        </w:rPr>
      </w:pPr>
    </w:p>
    <w:p w14:paraId="59B5EA4D" w14:textId="77777777" w:rsidR="00C05851" w:rsidRDefault="00C05851">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7B0CF2A8" w14:textId="628FD4A4" w:rsidR="00A27FC1" w:rsidRPr="00C05851" w:rsidRDefault="00C05851">
      <w:pPr>
        <w:rPr>
          <w:rFonts w:ascii="Times New Roman" w:hAnsi="Times New Roman" w:cs="Times New Roman"/>
          <w:b/>
          <w:bCs/>
          <w:szCs w:val="21"/>
        </w:rPr>
      </w:pPr>
      <w:r w:rsidRPr="00A27FC1">
        <w:rPr>
          <w:rFonts w:ascii="Times New Roman" w:hAnsi="Times New Roman" w:cs="Times New Roman" w:hint="eastAsia"/>
          <w:b/>
          <w:bCs/>
          <w:szCs w:val="21"/>
        </w:rPr>
        <w:lastRenderedPageBreak/>
        <w:t>T</w:t>
      </w:r>
      <w:r w:rsidRPr="00A27FC1">
        <w:rPr>
          <w:rFonts w:ascii="Times New Roman" w:hAnsi="Times New Roman" w:cs="Times New Roman"/>
          <w:b/>
          <w:bCs/>
          <w:szCs w:val="21"/>
        </w:rPr>
        <w:t>able S</w:t>
      </w:r>
      <w:r>
        <w:rPr>
          <w:rFonts w:ascii="Times New Roman" w:hAnsi="Times New Roman" w:cs="Times New Roman"/>
          <w:b/>
          <w:bCs/>
          <w:szCs w:val="21"/>
        </w:rPr>
        <w:t>2</w:t>
      </w:r>
      <w:r w:rsidRPr="00A27FC1">
        <w:rPr>
          <w:rFonts w:ascii="Times New Roman" w:hAnsi="Times New Roman" w:cs="Times New Roman"/>
          <w:b/>
          <w:bCs/>
          <w:szCs w:val="21"/>
        </w:rPr>
        <w:t xml:space="preserve">: </w:t>
      </w:r>
      <w:r w:rsidRPr="00C05851">
        <w:rPr>
          <w:rFonts w:ascii="Times New Roman" w:hAnsi="Times New Roman" w:cs="Times New Roman"/>
          <w:b/>
          <w:bCs/>
          <w:szCs w:val="21"/>
        </w:rPr>
        <w:t xml:space="preserve">Up-regulated metabolic pathways in </w:t>
      </w:r>
      <w:r>
        <w:rPr>
          <w:rFonts w:ascii="Times New Roman" w:hAnsi="Times New Roman" w:cs="Times New Roman"/>
          <w:b/>
          <w:bCs/>
          <w:szCs w:val="21"/>
        </w:rPr>
        <w:t>each</w:t>
      </w:r>
      <w:r w:rsidRPr="00C05851">
        <w:rPr>
          <w:rFonts w:ascii="Times New Roman" w:hAnsi="Times New Roman" w:cs="Times New Roman"/>
          <w:b/>
          <w:bCs/>
          <w:szCs w:val="21"/>
        </w:rPr>
        <w:t xml:space="preserve"> epithelial cell cluster</w:t>
      </w:r>
    </w:p>
    <w:tbl>
      <w:tblPr>
        <w:tblStyle w:val="TableGrid"/>
        <w:tblW w:w="8359" w:type="dxa"/>
        <w:tblLayout w:type="fixed"/>
        <w:tblLook w:val="04A0" w:firstRow="1" w:lastRow="0" w:firstColumn="1" w:lastColumn="0" w:noHBand="0" w:noVBand="1"/>
      </w:tblPr>
      <w:tblGrid>
        <w:gridCol w:w="885"/>
        <w:gridCol w:w="953"/>
        <w:gridCol w:w="5812"/>
        <w:gridCol w:w="709"/>
      </w:tblGrid>
      <w:tr w:rsidR="00C05851" w14:paraId="254D6E8A" w14:textId="77777777" w:rsidTr="001953C7">
        <w:tc>
          <w:tcPr>
            <w:tcW w:w="885" w:type="dxa"/>
            <w:vAlign w:val="center"/>
          </w:tcPr>
          <w:p w14:paraId="2390EDB0"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Patient</w:t>
            </w:r>
          </w:p>
        </w:tc>
        <w:tc>
          <w:tcPr>
            <w:tcW w:w="953" w:type="dxa"/>
            <w:vAlign w:val="center"/>
          </w:tcPr>
          <w:p w14:paraId="09FB2E37"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cluster</w:t>
            </w:r>
          </w:p>
        </w:tc>
        <w:tc>
          <w:tcPr>
            <w:tcW w:w="5812" w:type="dxa"/>
            <w:vAlign w:val="center"/>
          </w:tcPr>
          <w:p w14:paraId="0428AD14"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Metabolic pathway</w:t>
            </w:r>
          </w:p>
        </w:tc>
        <w:tc>
          <w:tcPr>
            <w:tcW w:w="709" w:type="dxa"/>
            <w:vAlign w:val="center"/>
          </w:tcPr>
          <w:p w14:paraId="27849B7A"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Num</w:t>
            </w:r>
          </w:p>
        </w:tc>
      </w:tr>
      <w:tr w:rsidR="00C05851" w14:paraId="320D8E1C" w14:textId="77777777" w:rsidTr="001953C7">
        <w:tc>
          <w:tcPr>
            <w:tcW w:w="885" w:type="dxa"/>
            <w:vMerge w:val="restart"/>
            <w:vAlign w:val="center"/>
          </w:tcPr>
          <w:p w14:paraId="26966818"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P1</w:t>
            </w:r>
          </w:p>
        </w:tc>
        <w:tc>
          <w:tcPr>
            <w:tcW w:w="953" w:type="dxa"/>
            <w:vAlign w:val="center"/>
          </w:tcPr>
          <w:p w14:paraId="732430E4"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0</w:t>
            </w:r>
          </w:p>
        </w:tc>
        <w:tc>
          <w:tcPr>
            <w:tcW w:w="5812" w:type="dxa"/>
            <w:vAlign w:val="center"/>
          </w:tcPr>
          <w:p w14:paraId="4E74824E" w14:textId="77777777" w:rsidR="00C05851" w:rsidRPr="00DF43B7" w:rsidRDefault="00C05851" w:rsidP="001953C7">
            <w:pPr>
              <w:jc w:val="center"/>
              <w:rPr>
                <w:rFonts w:ascii="Times New Roman" w:hAnsi="Times New Roman" w:cs="Times New Roman"/>
                <w:sz w:val="18"/>
                <w:szCs w:val="18"/>
              </w:rPr>
            </w:pPr>
            <w:r w:rsidRPr="00DF43B7">
              <w:rPr>
                <w:rFonts w:ascii="Times New Roman" w:hAnsi="Times New Roman" w:cs="Times New Roman"/>
                <w:sz w:val="18"/>
                <w:szCs w:val="18"/>
              </w:rPr>
              <w:t>"Glycolysis / Gluconeogenesis", "Citrate cycle (TCA cycle)", "Pentose phosphate pathway", "Pentose and glucuronate interconversions", "Fructose and mannose metabolism", "Pyruvate metabolism", "Oxidative phosphorylation", "Fatty acid elongation", "Glycerophospholipid metabolism", "Ether lipid metabolism", "Arachidonic acid metabolism", "Biosynthesis of unsaturated fatty acids", "Purine metabolism", "Pyrimidine metabolism", "Cysteine and methionine metabolism", "Valine, leucine and isoleucine degradation", "beta-Alanine metabolism", "Glutathione metabolism", "Glycosaminoglycan degradation", "Riboflavin metabolism", "Pantothenate and CoA biosynthesis"</w:t>
            </w:r>
          </w:p>
        </w:tc>
        <w:tc>
          <w:tcPr>
            <w:tcW w:w="709" w:type="dxa"/>
            <w:vAlign w:val="center"/>
          </w:tcPr>
          <w:p w14:paraId="66B7BE54"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21</w:t>
            </w:r>
          </w:p>
        </w:tc>
      </w:tr>
      <w:tr w:rsidR="00C05851" w14:paraId="4A383498" w14:textId="77777777" w:rsidTr="001953C7">
        <w:tc>
          <w:tcPr>
            <w:tcW w:w="885" w:type="dxa"/>
            <w:vMerge/>
            <w:vAlign w:val="center"/>
          </w:tcPr>
          <w:p w14:paraId="4D1189BC" w14:textId="77777777" w:rsidR="00C05851" w:rsidRPr="00DF43B7" w:rsidRDefault="00C05851" w:rsidP="001953C7">
            <w:pPr>
              <w:jc w:val="center"/>
              <w:rPr>
                <w:rFonts w:ascii="Times New Roman" w:hAnsi="Times New Roman" w:cs="Times New Roman"/>
              </w:rPr>
            </w:pPr>
          </w:p>
        </w:tc>
        <w:tc>
          <w:tcPr>
            <w:tcW w:w="953" w:type="dxa"/>
            <w:vAlign w:val="center"/>
          </w:tcPr>
          <w:p w14:paraId="34DDC8AA"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1</w:t>
            </w:r>
          </w:p>
        </w:tc>
        <w:tc>
          <w:tcPr>
            <w:tcW w:w="5812" w:type="dxa"/>
            <w:vAlign w:val="center"/>
          </w:tcPr>
          <w:p w14:paraId="3B67F3A8" w14:textId="77777777" w:rsidR="00C05851" w:rsidRPr="00DF43B7" w:rsidRDefault="00C05851" w:rsidP="001953C7">
            <w:pPr>
              <w:jc w:val="center"/>
              <w:rPr>
                <w:rFonts w:ascii="Times New Roman" w:hAnsi="Times New Roman" w:cs="Times New Roman"/>
                <w:sz w:val="18"/>
                <w:szCs w:val="18"/>
              </w:rPr>
            </w:pPr>
            <w:r w:rsidRPr="00DF43B7">
              <w:rPr>
                <w:rFonts w:ascii="Times New Roman" w:hAnsi="Times New Roman" w:cs="Times New Roman"/>
                <w:sz w:val="18"/>
                <w:szCs w:val="18"/>
              </w:rPr>
              <w:t>"Fatty acid biosynthesis", "Fatty acid degradation"</w:t>
            </w:r>
          </w:p>
        </w:tc>
        <w:tc>
          <w:tcPr>
            <w:tcW w:w="709" w:type="dxa"/>
            <w:vAlign w:val="center"/>
          </w:tcPr>
          <w:p w14:paraId="1DFB3BF7"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2</w:t>
            </w:r>
          </w:p>
        </w:tc>
      </w:tr>
      <w:tr w:rsidR="00C05851" w14:paraId="091E6E1D" w14:textId="77777777" w:rsidTr="001953C7">
        <w:tc>
          <w:tcPr>
            <w:tcW w:w="885" w:type="dxa"/>
            <w:vMerge w:val="restart"/>
            <w:vAlign w:val="center"/>
          </w:tcPr>
          <w:p w14:paraId="69467818"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P2</w:t>
            </w:r>
          </w:p>
        </w:tc>
        <w:tc>
          <w:tcPr>
            <w:tcW w:w="953" w:type="dxa"/>
            <w:vAlign w:val="center"/>
          </w:tcPr>
          <w:p w14:paraId="4F7A187E"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0</w:t>
            </w:r>
          </w:p>
        </w:tc>
        <w:tc>
          <w:tcPr>
            <w:tcW w:w="5812" w:type="dxa"/>
            <w:vAlign w:val="center"/>
          </w:tcPr>
          <w:p w14:paraId="1A0A8992" w14:textId="77777777" w:rsidR="00C05851" w:rsidRPr="00DF43B7" w:rsidRDefault="00C05851" w:rsidP="001953C7">
            <w:pPr>
              <w:jc w:val="center"/>
              <w:rPr>
                <w:rFonts w:ascii="Times New Roman" w:hAnsi="Times New Roman" w:cs="Times New Roman"/>
                <w:sz w:val="18"/>
                <w:szCs w:val="18"/>
              </w:rPr>
            </w:pPr>
            <w:r w:rsidRPr="00DF43B7">
              <w:rPr>
                <w:rFonts w:ascii="Times New Roman" w:hAnsi="Times New Roman" w:cs="Times New Roman"/>
                <w:sz w:val="18"/>
                <w:szCs w:val="18"/>
              </w:rPr>
              <w:t>/</w:t>
            </w:r>
          </w:p>
        </w:tc>
        <w:tc>
          <w:tcPr>
            <w:tcW w:w="709" w:type="dxa"/>
            <w:vAlign w:val="center"/>
          </w:tcPr>
          <w:p w14:paraId="214C59D1"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0</w:t>
            </w:r>
          </w:p>
        </w:tc>
      </w:tr>
      <w:tr w:rsidR="00C05851" w14:paraId="12EA06E8" w14:textId="77777777" w:rsidTr="001953C7">
        <w:tc>
          <w:tcPr>
            <w:tcW w:w="885" w:type="dxa"/>
            <w:vMerge/>
            <w:vAlign w:val="center"/>
          </w:tcPr>
          <w:p w14:paraId="6F72F113" w14:textId="77777777" w:rsidR="00C05851" w:rsidRPr="00DF43B7" w:rsidRDefault="00C05851" w:rsidP="001953C7">
            <w:pPr>
              <w:jc w:val="center"/>
              <w:rPr>
                <w:rFonts w:ascii="Times New Roman" w:hAnsi="Times New Roman" w:cs="Times New Roman"/>
              </w:rPr>
            </w:pPr>
          </w:p>
        </w:tc>
        <w:tc>
          <w:tcPr>
            <w:tcW w:w="953" w:type="dxa"/>
            <w:vAlign w:val="center"/>
          </w:tcPr>
          <w:p w14:paraId="27975BFE"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1</w:t>
            </w:r>
          </w:p>
        </w:tc>
        <w:tc>
          <w:tcPr>
            <w:tcW w:w="5812" w:type="dxa"/>
            <w:vAlign w:val="center"/>
          </w:tcPr>
          <w:p w14:paraId="74B0DCF0" w14:textId="77777777" w:rsidR="00C05851" w:rsidRPr="00DF43B7" w:rsidRDefault="00C05851" w:rsidP="001953C7">
            <w:pPr>
              <w:jc w:val="center"/>
              <w:rPr>
                <w:rFonts w:ascii="Times New Roman" w:hAnsi="Times New Roman" w:cs="Times New Roman"/>
                <w:sz w:val="18"/>
                <w:szCs w:val="18"/>
              </w:rPr>
            </w:pPr>
            <w:r w:rsidRPr="00DF43B7">
              <w:rPr>
                <w:rFonts w:ascii="Times New Roman" w:hAnsi="Times New Roman" w:cs="Times New Roman"/>
                <w:sz w:val="18"/>
                <w:szCs w:val="18"/>
              </w:rPr>
              <w:t xml:space="preserve">"Pentose and glucuronate interconversions", "Glyoxylate and dicarboxylate metabolism", "Propanoate metabolism", "Butanoate metabolism", "Sulfur metabolism", "Fatty acid biosynthesis", "Fatty acid degradation", "Sphingolipid metabolism", "Arachidonic acid metabolism", "Tryptophan metabolism", "Mucin type O-glycan biosynthesis", "Glycosaminoglycan biosynthesis - keratan sulfate", "Glycosphingolipid biosynthesis - </w:t>
            </w:r>
            <w:proofErr w:type="spellStart"/>
            <w:r w:rsidRPr="00DF43B7">
              <w:rPr>
                <w:rFonts w:ascii="Times New Roman" w:hAnsi="Times New Roman" w:cs="Times New Roman"/>
                <w:sz w:val="18"/>
                <w:szCs w:val="18"/>
              </w:rPr>
              <w:t>ganglio</w:t>
            </w:r>
            <w:proofErr w:type="spellEnd"/>
            <w:r w:rsidRPr="00DF43B7">
              <w:rPr>
                <w:rFonts w:ascii="Times New Roman" w:hAnsi="Times New Roman" w:cs="Times New Roman"/>
                <w:sz w:val="18"/>
                <w:szCs w:val="18"/>
              </w:rPr>
              <w:t xml:space="preserve"> series", "Nicotinate and nicotinamide metabolism", "Pantothenate and CoA biosynthesis", "Porphyrin and chlorophyll metabolism", "Metabolism of xenobiotics by cytochrome P450", "Drug metabolism - cytochrome P450"</w:t>
            </w:r>
          </w:p>
        </w:tc>
        <w:tc>
          <w:tcPr>
            <w:tcW w:w="709" w:type="dxa"/>
            <w:vAlign w:val="center"/>
          </w:tcPr>
          <w:p w14:paraId="4018CFD5"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18</w:t>
            </w:r>
          </w:p>
        </w:tc>
      </w:tr>
      <w:tr w:rsidR="00C05851" w14:paraId="0E9B1A84" w14:textId="77777777" w:rsidTr="001953C7">
        <w:tc>
          <w:tcPr>
            <w:tcW w:w="885" w:type="dxa"/>
            <w:vMerge/>
            <w:vAlign w:val="center"/>
          </w:tcPr>
          <w:p w14:paraId="3717B4AB" w14:textId="77777777" w:rsidR="00C05851" w:rsidRPr="00DF43B7" w:rsidRDefault="00C05851" w:rsidP="001953C7">
            <w:pPr>
              <w:jc w:val="center"/>
              <w:rPr>
                <w:rFonts w:ascii="Times New Roman" w:hAnsi="Times New Roman" w:cs="Times New Roman"/>
              </w:rPr>
            </w:pPr>
          </w:p>
        </w:tc>
        <w:tc>
          <w:tcPr>
            <w:tcW w:w="953" w:type="dxa"/>
            <w:vAlign w:val="center"/>
          </w:tcPr>
          <w:p w14:paraId="237ADB6A"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2</w:t>
            </w:r>
          </w:p>
        </w:tc>
        <w:tc>
          <w:tcPr>
            <w:tcW w:w="5812" w:type="dxa"/>
            <w:vAlign w:val="center"/>
          </w:tcPr>
          <w:p w14:paraId="3B403C70" w14:textId="77777777" w:rsidR="00C05851" w:rsidRPr="00DF43B7" w:rsidRDefault="00C05851" w:rsidP="001953C7">
            <w:pPr>
              <w:jc w:val="center"/>
              <w:rPr>
                <w:rFonts w:ascii="Times New Roman" w:hAnsi="Times New Roman" w:cs="Times New Roman"/>
                <w:sz w:val="18"/>
                <w:szCs w:val="18"/>
              </w:rPr>
            </w:pPr>
            <w:r w:rsidRPr="00DF43B7">
              <w:rPr>
                <w:rFonts w:ascii="Times New Roman" w:hAnsi="Times New Roman" w:cs="Times New Roman"/>
                <w:sz w:val="18"/>
                <w:szCs w:val="18"/>
              </w:rPr>
              <w:t xml:space="preserve">"Glycolysis / Gluconeogenesis", "Citrate cycle (TCA cycle)", "Pentose phosphate pathway", "Starch and sucrose metabolism", "Amino sugar and nucleotide sugar metabolism", "Butanoate metabolism", "Purine metabolism", "Cysteine and methionine metabolism", "Valine, leucine and isoleucine degradation", "Glutathione metabolism", "Glycosaminoglycan biosynthesis - chondroitin sulfate / dermatan sulfate", "Glycosphingolipid biosynthesis - </w:t>
            </w:r>
            <w:proofErr w:type="spellStart"/>
            <w:r w:rsidRPr="00DF43B7">
              <w:rPr>
                <w:rFonts w:ascii="Times New Roman" w:hAnsi="Times New Roman" w:cs="Times New Roman"/>
                <w:sz w:val="18"/>
                <w:szCs w:val="18"/>
              </w:rPr>
              <w:t>lacto</w:t>
            </w:r>
            <w:proofErr w:type="spellEnd"/>
            <w:r w:rsidRPr="00DF43B7">
              <w:rPr>
                <w:rFonts w:ascii="Times New Roman" w:hAnsi="Times New Roman" w:cs="Times New Roman"/>
                <w:sz w:val="18"/>
                <w:szCs w:val="18"/>
              </w:rPr>
              <w:t xml:space="preserve"> and </w:t>
            </w:r>
            <w:proofErr w:type="spellStart"/>
            <w:r w:rsidRPr="00DF43B7">
              <w:rPr>
                <w:rFonts w:ascii="Times New Roman" w:hAnsi="Times New Roman" w:cs="Times New Roman"/>
                <w:sz w:val="18"/>
                <w:szCs w:val="18"/>
              </w:rPr>
              <w:t>neolacto</w:t>
            </w:r>
            <w:proofErr w:type="spellEnd"/>
            <w:r w:rsidRPr="00DF43B7">
              <w:rPr>
                <w:rFonts w:ascii="Times New Roman" w:hAnsi="Times New Roman" w:cs="Times New Roman"/>
                <w:sz w:val="18"/>
                <w:szCs w:val="18"/>
              </w:rPr>
              <w:t xml:space="preserve"> series", "Riboflavin metabolism",</w:t>
            </w:r>
          </w:p>
        </w:tc>
        <w:tc>
          <w:tcPr>
            <w:tcW w:w="709" w:type="dxa"/>
            <w:vAlign w:val="center"/>
          </w:tcPr>
          <w:p w14:paraId="2A5B60BE"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13</w:t>
            </w:r>
          </w:p>
        </w:tc>
      </w:tr>
      <w:tr w:rsidR="00C05851" w14:paraId="21C76729" w14:textId="77777777" w:rsidTr="001953C7">
        <w:tc>
          <w:tcPr>
            <w:tcW w:w="885" w:type="dxa"/>
            <w:vAlign w:val="center"/>
          </w:tcPr>
          <w:p w14:paraId="6F54E3FC"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P3</w:t>
            </w:r>
          </w:p>
        </w:tc>
        <w:tc>
          <w:tcPr>
            <w:tcW w:w="953" w:type="dxa"/>
            <w:vAlign w:val="center"/>
          </w:tcPr>
          <w:p w14:paraId="26BB36EE"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0</w:t>
            </w:r>
          </w:p>
        </w:tc>
        <w:tc>
          <w:tcPr>
            <w:tcW w:w="5812" w:type="dxa"/>
            <w:vAlign w:val="center"/>
          </w:tcPr>
          <w:p w14:paraId="77371004" w14:textId="77777777" w:rsidR="00C05851" w:rsidRPr="00DF43B7" w:rsidRDefault="00C05851" w:rsidP="001953C7">
            <w:pPr>
              <w:jc w:val="center"/>
              <w:rPr>
                <w:rFonts w:ascii="Times New Roman" w:hAnsi="Times New Roman" w:cs="Times New Roman"/>
                <w:sz w:val="18"/>
                <w:szCs w:val="18"/>
              </w:rPr>
            </w:pPr>
            <w:r w:rsidRPr="00DF43B7">
              <w:rPr>
                <w:rFonts w:ascii="Times New Roman" w:hAnsi="Times New Roman" w:cs="Times New Roman"/>
                <w:sz w:val="18"/>
                <w:szCs w:val="18"/>
              </w:rPr>
              <w:t>"Glycolysis / Gluconeogenesis", "Pentose phosphate pathway", "Pentose and glucuronate interconversions", "Fructose and mannose metabolism", "Starch and sucrose metabolism", "Pyruvate metabolism", "Glyoxylate and dicarboxylate metabolism", "Oxidative phosphorylation", "Fatty acid biosynthesis", "Steroid biosynthesis", "Steroid hormone biosynthesis", "</w:t>
            </w:r>
            <w:proofErr w:type="spellStart"/>
            <w:r w:rsidRPr="00DF43B7">
              <w:rPr>
                <w:rFonts w:ascii="Times New Roman" w:hAnsi="Times New Roman" w:cs="Times New Roman"/>
                <w:sz w:val="18"/>
                <w:szCs w:val="18"/>
              </w:rPr>
              <w:t>Glycerolipid</w:t>
            </w:r>
            <w:proofErr w:type="spellEnd"/>
            <w:r w:rsidRPr="00DF43B7">
              <w:rPr>
                <w:rFonts w:ascii="Times New Roman" w:hAnsi="Times New Roman" w:cs="Times New Roman"/>
                <w:sz w:val="18"/>
                <w:szCs w:val="18"/>
              </w:rPr>
              <w:t xml:space="preserve"> metabolism", "Ether lipid metabolism", "Sphingolipid metabolism", "Arachidonic acid metabolism", "Purine metabolism", "Pyrimidine metabolism", "Alanine, aspartate and glutamate metabolism", "Glycine, serine and threonine metabolism", "Cysteine and methionine metabolism", "Lysine degradation", "Glutathione metabolism", "N-Glycan biosynthesis", "Mucin type O-glycan biosynthesis", "Other types of O-glycan biosynthesis", "Glycosaminoglycan biosynthesis - keratan sulfate", "Glycosylphosphatidylinositol (GPI)-anchor biosynthesis", "Glycosphingolipid biosynthesis - </w:t>
            </w:r>
            <w:proofErr w:type="spellStart"/>
            <w:r w:rsidRPr="00DF43B7">
              <w:rPr>
                <w:rFonts w:ascii="Times New Roman" w:hAnsi="Times New Roman" w:cs="Times New Roman"/>
                <w:sz w:val="18"/>
                <w:szCs w:val="18"/>
              </w:rPr>
              <w:t>lacto</w:t>
            </w:r>
            <w:proofErr w:type="spellEnd"/>
            <w:r w:rsidRPr="00DF43B7">
              <w:rPr>
                <w:rFonts w:ascii="Times New Roman" w:hAnsi="Times New Roman" w:cs="Times New Roman"/>
                <w:sz w:val="18"/>
                <w:szCs w:val="18"/>
              </w:rPr>
              <w:t xml:space="preserve"> and </w:t>
            </w:r>
            <w:proofErr w:type="spellStart"/>
            <w:r w:rsidRPr="00DF43B7">
              <w:rPr>
                <w:rFonts w:ascii="Times New Roman" w:hAnsi="Times New Roman" w:cs="Times New Roman"/>
                <w:sz w:val="18"/>
                <w:szCs w:val="18"/>
              </w:rPr>
              <w:t>neolacto</w:t>
            </w:r>
            <w:proofErr w:type="spellEnd"/>
            <w:r w:rsidRPr="00DF43B7">
              <w:rPr>
                <w:rFonts w:ascii="Times New Roman" w:hAnsi="Times New Roman" w:cs="Times New Roman"/>
                <w:sz w:val="18"/>
                <w:szCs w:val="18"/>
              </w:rPr>
              <w:t xml:space="preserve"> series", </w:t>
            </w:r>
            <w:r w:rsidRPr="00DF43B7">
              <w:rPr>
                <w:rFonts w:ascii="Times New Roman" w:hAnsi="Times New Roman" w:cs="Times New Roman"/>
                <w:sz w:val="18"/>
                <w:szCs w:val="18"/>
              </w:rPr>
              <w:lastRenderedPageBreak/>
              <w:t xml:space="preserve">"Glycosphingolipid biosynthesis - </w:t>
            </w:r>
            <w:proofErr w:type="spellStart"/>
            <w:r w:rsidRPr="00DF43B7">
              <w:rPr>
                <w:rFonts w:ascii="Times New Roman" w:hAnsi="Times New Roman" w:cs="Times New Roman"/>
                <w:sz w:val="18"/>
                <w:szCs w:val="18"/>
              </w:rPr>
              <w:t>globo</w:t>
            </w:r>
            <w:proofErr w:type="spellEnd"/>
            <w:r w:rsidRPr="00DF43B7">
              <w:rPr>
                <w:rFonts w:ascii="Times New Roman" w:hAnsi="Times New Roman" w:cs="Times New Roman"/>
                <w:sz w:val="18"/>
                <w:szCs w:val="18"/>
              </w:rPr>
              <w:t xml:space="preserve"> and </w:t>
            </w:r>
            <w:proofErr w:type="spellStart"/>
            <w:r w:rsidRPr="00DF43B7">
              <w:rPr>
                <w:rFonts w:ascii="Times New Roman" w:hAnsi="Times New Roman" w:cs="Times New Roman"/>
                <w:sz w:val="18"/>
                <w:szCs w:val="18"/>
              </w:rPr>
              <w:t>isoglobo</w:t>
            </w:r>
            <w:proofErr w:type="spellEnd"/>
            <w:r w:rsidRPr="00DF43B7">
              <w:rPr>
                <w:rFonts w:ascii="Times New Roman" w:hAnsi="Times New Roman" w:cs="Times New Roman"/>
                <w:sz w:val="18"/>
                <w:szCs w:val="18"/>
              </w:rPr>
              <w:t xml:space="preserve"> series", "Glycosphingolipid biosynthesis - </w:t>
            </w:r>
            <w:proofErr w:type="spellStart"/>
            <w:r w:rsidRPr="00DF43B7">
              <w:rPr>
                <w:rFonts w:ascii="Times New Roman" w:hAnsi="Times New Roman" w:cs="Times New Roman"/>
                <w:sz w:val="18"/>
                <w:szCs w:val="18"/>
              </w:rPr>
              <w:t>ganglio</w:t>
            </w:r>
            <w:proofErr w:type="spellEnd"/>
            <w:r w:rsidRPr="00DF43B7">
              <w:rPr>
                <w:rFonts w:ascii="Times New Roman" w:hAnsi="Times New Roman" w:cs="Times New Roman"/>
                <w:sz w:val="18"/>
                <w:szCs w:val="18"/>
              </w:rPr>
              <w:t xml:space="preserve"> series", "Riboflavin metabolism", "Nicotinate and nicotinamide metabolism", "One carbon pool by folate", "Porphyrin and chlorophyll metabolism", "Terpenoid backbone biosynthesis", "Drug metabolism - other enzymes",</w:t>
            </w:r>
          </w:p>
        </w:tc>
        <w:tc>
          <w:tcPr>
            <w:tcW w:w="709" w:type="dxa"/>
            <w:vAlign w:val="center"/>
          </w:tcPr>
          <w:p w14:paraId="166E5534"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lastRenderedPageBreak/>
              <w:t>36</w:t>
            </w:r>
          </w:p>
        </w:tc>
      </w:tr>
      <w:tr w:rsidR="00C05851" w14:paraId="14ADDF31" w14:textId="77777777" w:rsidTr="001953C7">
        <w:tc>
          <w:tcPr>
            <w:tcW w:w="885" w:type="dxa"/>
            <w:vMerge w:val="restart"/>
            <w:vAlign w:val="center"/>
          </w:tcPr>
          <w:p w14:paraId="79CD5D5E"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P4</w:t>
            </w:r>
          </w:p>
        </w:tc>
        <w:tc>
          <w:tcPr>
            <w:tcW w:w="953" w:type="dxa"/>
            <w:vAlign w:val="center"/>
          </w:tcPr>
          <w:p w14:paraId="5683D84E"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0</w:t>
            </w:r>
          </w:p>
        </w:tc>
        <w:tc>
          <w:tcPr>
            <w:tcW w:w="5812" w:type="dxa"/>
            <w:vAlign w:val="center"/>
          </w:tcPr>
          <w:p w14:paraId="1B0E1D9A" w14:textId="77777777" w:rsidR="00C05851" w:rsidRPr="00DF43B7" w:rsidRDefault="00C05851" w:rsidP="001953C7">
            <w:pPr>
              <w:jc w:val="center"/>
              <w:rPr>
                <w:rFonts w:ascii="Times New Roman" w:hAnsi="Times New Roman" w:cs="Times New Roman"/>
                <w:sz w:val="18"/>
                <w:szCs w:val="18"/>
              </w:rPr>
            </w:pPr>
            <w:r w:rsidRPr="00DF43B7">
              <w:rPr>
                <w:rFonts w:ascii="Times New Roman" w:hAnsi="Times New Roman" w:cs="Times New Roman"/>
                <w:sz w:val="18"/>
                <w:szCs w:val="18"/>
              </w:rPr>
              <w:t>"Citrate cycle (TCA cycle)", "Pentose phosphate pathway", "Fructose and mannose metabolism", "Galactose metabolism", "Pyruvate metabolism", "Butanoate metabolism", "Fatty acid elongation", "Steroid biosynthesis", "</w:t>
            </w:r>
            <w:proofErr w:type="spellStart"/>
            <w:r w:rsidRPr="00DF43B7">
              <w:rPr>
                <w:rFonts w:ascii="Times New Roman" w:hAnsi="Times New Roman" w:cs="Times New Roman"/>
                <w:sz w:val="18"/>
                <w:szCs w:val="18"/>
              </w:rPr>
              <w:t>Glycerolipid</w:t>
            </w:r>
            <w:proofErr w:type="spellEnd"/>
            <w:r w:rsidRPr="00DF43B7">
              <w:rPr>
                <w:rFonts w:ascii="Times New Roman" w:hAnsi="Times New Roman" w:cs="Times New Roman"/>
                <w:sz w:val="18"/>
                <w:szCs w:val="18"/>
              </w:rPr>
              <w:t xml:space="preserve"> metabolism", "Glycerophospholipid metabolism", "Biosynthesis of unsaturated fatty acids", "Alanine, aspartate and glutamate metabolism", "Cysteine and methionine metabolism", "Arginine biosynthesis", "Histidine metabolism", "Glutathione metabolism", "Glycosylphosphatidylinositol (GPI)-anchor biosynthesis", "Glycosphingolipid biosynthesis - </w:t>
            </w:r>
            <w:proofErr w:type="spellStart"/>
            <w:r w:rsidRPr="00DF43B7">
              <w:rPr>
                <w:rFonts w:ascii="Times New Roman" w:hAnsi="Times New Roman" w:cs="Times New Roman"/>
                <w:sz w:val="18"/>
                <w:szCs w:val="18"/>
              </w:rPr>
              <w:t>globo</w:t>
            </w:r>
            <w:proofErr w:type="spellEnd"/>
            <w:r w:rsidRPr="00DF43B7">
              <w:rPr>
                <w:rFonts w:ascii="Times New Roman" w:hAnsi="Times New Roman" w:cs="Times New Roman"/>
                <w:sz w:val="18"/>
                <w:szCs w:val="18"/>
              </w:rPr>
              <w:t xml:space="preserve"> and </w:t>
            </w:r>
            <w:proofErr w:type="spellStart"/>
            <w:r w:rsidRPr="00DF43B7">
              <w:rPr>
                <w:rFonts w:ascii="Times New Roman" w:hAnsi="Times New Roman" w:cs="Times New Roman"/>
                <w:sz w:val="18"/>
                <w:szCs w:val="18"/>
              </w:rPr>
              <w:t>isoglobo</w:t>
            </w:r>
            <w:proofErr w:type="spellEnd"/>
            <w:r w:rsidRPr="00DF43B7">
              <w:rPr>
                <w:rFonts w:ascii="Times New Roman" w:hAnsi="Times New Roman" w:cs="Times New Roman"/>
                <w:sz w:val="18"/>
                <w:szCs w:val="18"/>
              </w:rPr>
              <w:t xml:space="preserve"> series", "Other glycan degradation", "Nicotinate and nicotinamide metabolism", "Porphyrin and chlorophyll metabolism", "Terpenoid backbone biosynthesis",</w:t>
            </w:r>
          </w:p>
        </w:tc>
        <w:tc>
          <w:tcPr>
            <w:tcW w:w="709" w:type="dxa"/>
            <w:vAlign w:val="center"/>
          </w:tcPr>
          <w:p w14:paraId="07925AB1"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22</w:t>
            </w:r>
          </w:p>
        </w:tc>
      </w:tr>
      <w:tr w:rsidR="00C05851" w14:paraId="6EF1E1D7" w14:textId="77777777" w:rsidTr="001953C7">
        <w:tc>
          <w:tcPr>
            <w:tcW w:w="885" w:type="dxa"/>
            <w:vMerge/>
            <w:vAlign w:val="center"/>
          </w:tcPr>
          <w:p w14:paraId="6D5818B0" w14:textId="77777777" w:rsidR="00C05851" w:rsidRPr="00DF43B7" w:rsidRDefault="00C05851" w:rsidP="001953C7">
            <w:pPr>
              <w:jc w:val="center"/>
              <w:rPr>
                <w:rFonts w:ascii="Times New Roman" w:hAnsi="Times New Roman" w:cs="Times New Roman"/>
              </w:rPr>
            </w:pPr>
          </w:p>
        </w:tc>
        <w:tc>
          <w:tcPr>
            <w:tcW w:w="953" w:type="dxa"/>
            <w:vAlign w:val="center"/>
          </w:tcPr>
          <w:p w14:paraId="67B8197D"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1</w:t>
            </w:r>
          </w:p>
        </w:tc>
        <w:tc>
          <w:tcPr>
            <w:tcW w:w="5812" w:type="dxa"/>
            <w:vAlign w:val="center"/>
          </w:tcPr>
          <w:p w14:paraId="1CB6AC80" w14:textId="77777777" w:rsidR="00C05851" w:rsidRPr="00DF43B7" w:rsidRDefault="00C05851" w:rsidP="001953C7">
            <w:pPr>
              <w:jc w:val="center"/>
              <w:rPr>
                <w:rFonts w:ascii="Times New Roman" w:hAnsi="Times New Roman" w:cs="Times New Roman"/>
                <w:sz w:val="18"/>
                <w:szCs w:val="18"/>
              </w:rPr>
            </w:pPr>
            <w:r w:rsidRPr="00DF43B7">
              <w:rPr>
                <w:rFonts w:ascii="Times New Roman" w:hAnsi="Times New Roman" w:cs="Times New Roman"/>
                <w:sz w:val="18"/>
                <w:szCs w:val="18"/>
              </w:rPr>
              <w:t>/</w:t>
            </w:r>
          </w:p>
        </w:tc>
        <w:tc>
          <w:tcPr>
            <w:tcW w:w="709" w:type="dxa"/>
            <w:vAlign w:val="center"/>
          </w:tcPr>
          <w:p w14:paraId="2704670B"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0</w:t>
            </w:r>
          </w:p>
        </w:tc>
      </w:tr>
      <w:tr w:rsidR="00C05851" w14:paraId="45E4C8C1" w14:textId="77777777" w:rsidTr="001953C7">
        <w:tc>
          <w:tcPr>
            <w:tcW w:w="885" w:type="dxa"/>
            <w:vMerge/>
            <w:vAlign w:val="center"/>
          </w:tcPr>
          <w:p w14:paraId="5071F4EF" w14:textId="77777777" w:rsidR="00C05851" w:rsidRPr="00DF43B7" w:rsidRDefault="00C05851" w:rsidP="001953C7">
            <w:pPr>
              <w:jc w:val="center"/>
              <w:rPr>
                <w:rFonts w:ascii="Times New Roman" w:hAnsi="Times New Roman" w:cs="Times New Roman"/>
              </w:rPr>
            </w:pPr>
          </w:p>
        </w:tc>
        <w:tc>
          <w:tcPr>
            <w:tcW w:w="953" w:type="dxa"/>
            <w:vAlign w:val="center"/>
          </w:tcPr>
          <w:p w14:paraId="3ECE4A2B"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2</w:t>
            </w:r>
          </w:p>
        </w:tc>
        <w:tc>
          <w:tcPr>
            <w:tcW w:w="5812" w:type="dxa"/>
            <w:vAlign w:val="center"/>
          </w:tcPr>
          <w:p w14:paraId="0B002931" w14:textId="77777777" w:rsidR="00C05851" w:rsidRPr="00DF43B7" w:rsidRDefault="00C05851" w:rsidP="001953C7">
            <w:pPr>
              <w:jc w:val="center"/>
              <w:rPr>
                <w:rFonts w:ascii="Times New Roman" w:hAnsi="Times New Roman" w:cs="Times New Roman"/>
                <w:sz w:val="18"/>
                <w:szCs w:val="18"/>
              </w:rPr>
            </w:pPr>
            <w:r w:rsidRPr="00DF43B7">
              <w:rPr>
                <w:rFonts w:ascii="Times New Roman" w:hAnsi="Times New Roman" w:cs="Times New Roman"/>
                <w:sz w:val="18"/>
                <w:szCs w:val="18"/>
              </w:rPr>
              <w:t>"Citrate cycle (TCA cycle)", "Pentose phosphate pathway", "Galactose metabolism", "Starch and sucrose metabolism", "Amino sugar and nucleotide sugar metabolism", "Pyruvate metabolism", "Glyoxylate and dicarboxylate metabolism", "Oxidative phosphorylation", "Fatty acid elongation", "Steroid biosynthesis", "Steroid hormone biosynthesis", "</w:t>
            </w:r>
            <w:proofErr w:type="spellStart"/>
            <w:r w:rsidRPr="00DF43B7">
              <w:rPr>
                <w:rFonts w:ascii="Times New Roman" w:hAnsi="Times New Roman" w:cs="Times New Roman"/>
                <w:sz w:val="18"/>
                <w:szCs w:val="18"/>
              </w:rPr>
              <w:t>Glycerolipid</w:t>
            </w:r>
            <w:proofErr w:type="spellEnd"/>
            <w:r w:rsidRPr="00DF43B7">
              <w:rPr>
                <w:rFonts w:ascii="Times New Roman" w:hAnsi="Times New Roman" w:cs="Times New Roman"/>
                <w:sz w:val="18"/>
                <w:szCs w:val="18"/>
              </w:rPr>
              <w:t xml:space="preserve"> metabolism", "Glycerophospholipid metabolism", "Ether lipid metabolism", "Sphingolipid metabolism", "Biosynthesis of unsaturated fatty acids", "Alanine, aspartate and glutamate metabolism", "Cysteine and methionine metabolism", "Lysine degradation", "Arginine biosynthesis", "Histidine metabolism", "Glutathione metabolism", "N-Glycan biosynthesis", "Glycosaminoglycan degradation", "Glycosylphosphatidylinositol (GPI)-anchor biosynthesis", "Nicotinate and nicotinamide metabolism", "Porphyrin and chlorophyll metabolism", "Metabolism of xenobiotics by cytochrome P450", "Drug metabolism - cytochrome P450", "Drug metabolism - other enzymes",</w:t>
            </w:r>
          </w:p>
        </w:tc>
        <w:tc>
          <w:tcPr>
            <w:tcW w:w="709" w:type="dxa"/>
            <w:vAlign w:val="center"/>
          </w:tcPr>
          <w:p w14:paraId="203900EA" w14:textId="77777777" w:rsidR="00C05851" w:rsidRPr="00DF43B7" w:rsidRDefault="00C05851" w:rsidP="001953C7">
            <w:pPr>
              <w:jc w:val="center"/>
              <w:rPr>
                <w:rFonts w:ascii="Times New Roman" w:hAnsi="Times New Roman" w:cs="Times New Roman"/>
              </w:rPr>
            </w:pPr>
            <w:r w:rsidRPr="00DF43B7">
              <w:rPr>
                <w:rFonts w:ascii="Times New Roman" w:hAnsi="Times New Roman" w:cs="Times New Roman"/>
              </w:rPr>
              <w:t>30</w:t>
            </w:r>
          </w:p>
        </w:tc>
      </w:tr>
    </w:tbl>
    <w:p w14:paraId="692AA1E0" w14:textId="5A517CE5" w:rsidR="003F0861" w:rsidRDefault="003F0861">
      <w:pPr>
        <w:rPr>
          <w:rFonts w:ascii="Times New Roman" w:hAnsi="Times New Roman" w:cs="Times New Roman"/>
          <w:b/>
          <w:bCs/>
          <w:sz w:val="28"/>
          <w:szCs w:val="28"/>
        </w:rPr>
      </w:pPr>
    </w:p>
    <w:p w14:paraId="03313D41" w14:textId="77777777" w:rsidR="003F0861" w:rsidRDefault="003F0861">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0635D5A3" w14:textId="611B33FC" w:rsidR="00C05851" w:rsidRPr="00F9018C" w:rsidRDefault="00F9018C">
      <w:pPr>
        <w:rPr>
          <w:rFonts w:ascii="Times New Roman" w:hAnsi="Times New Roman" w:cs="Times New Roman"/>
          <w:b/>
          <w:bCs/>
          <w:szCs w:val="21"/>
        </w:rPr>
      </w:pPr>
      <w:r w:rsidRPr="00A27FC1">
        <w:rPr>
          <w:rFonts w:ascii="Times New Roman" w:hAnsi="Times New Roman" w:cs="Times New Roman" w:hint="eastAsia"/>
          <w:b/>
          <w:bCs/>
          <w:szCs w:val="21"/>
        </w:rPr>
        <w:lastRenderedPageBreak/>
        <w:t>T</w:t>
      </w:r>
      <w:r w:rsidRPr="00A27FC1">
        <w:rPr>
          <w:rFonts w:ascii="Times New Roman" w:hAnsi="Times New Roman" w:cs="Times New Roman"/>
          <w:b/>
          <w:bCs/>
          <w:szCs w:val="21"/>
        </w:rPr>
        <w:t>able S</w:t>
      </w:r>
      <w:r>
        <w:rPr>
          <w:rFonts w:ascii="Times New Roman" w:hAnsi="Times New Roman" w:cs="Times New Roman"/>
          <w:b/>
          <w:bCs/>
          <w:szCs w:val="21"/>
        </w:rPr>
        <w:t>3</w:t>
      </w:r>
      <w:r w:rsidRPr="00A27FC1">
        <w:rPr>
          <w:rFonts w:ascii="Times New Roman" w:hAnsi="Times New Roman" w:cs="Times New Roman"/>
          <w:b/>
          <w:bCs/>
          <w:szCs w:val="21"/>
        </w:rPr>
        <w:t xml:space="preserve">: </w:t>
      </w:r>
      <w:r w:rsidRPr="00F9018C">
        <w:rPr>
          <w:rFonts w:ascii="Times New Roman" w:hAnsi="Times New Roman" w:cs="Times New Roman"/>
          <w:b/>
          <w:bCs/>
          <w:szCs w:val="21"/>
        </w:rPr>
        <w:t>The function of target genes positively related to the differentiation of CD4+ T cells</w:t>
      </w:r>
    </w:p>
    <w:tbl>
      <w:tblPr>
        <w:tblStyle w:val="TableGrid"/>
        <w:tblW w:w="0" w:type="auto"/>
        <w:tblLook w:val="04A0" w:firstRow="1" w:lastRow="0" w:firstColumn="1" w:lastColumn="0" w:noHBand="0" w:noVBand="1"/>
      </w:tblPr>
      <w:tblGrid>
        <w:gridCol w:w="1174"/>
        <w:gridCol w:w="3595"/>
        <w:gridCol w:w="3527"/>
      </w:tblGrid>
      <w:tr w:rsidR="003F0861" w14:paraId="6CD2B9ED" w14:textId="77777777" w:rsidTr="003F0861">
        <w:tc>
          <w:tcPr>
            <w:tcW w:w="1106" w:type="dxa"/>
            <w:tcBorders>
              <w:top w:val="single" w:sz="4" w:space="0" w:color="auto"/>
              <w:left w:val="single" w:sz="4" w:space="0" w:color="auto"/>
              <w:bottom w:val="single" w:sz="4" w:space="0" w:color="auto"/>
              <w:right w:val="single" w:sz="4" w:space="0" w:color="auto"/>
            </w:tcBorders>
            <w:vAlign w:val="center"/>
            <w:hideMark/>
          </w:tcPr>
          <w:p w14:paraId="292E71D5" w14:textId="77777777" w:rsidR="003F0861" w:rsidRDefault="003F0861">
            <w:pPr>
              <w:widowControl/>
              <w:jc w:val="center"/>
              <w:textAlignment w:val="bottom"/>
              <w:rPr>
                <w:rFonts w:ascii="Times New Roman" w:hAnsi="Times New Roman"/>
              </w:rPr>
            </w:pPr>
            <w:r>
              <w:rPr>
                <w:rFonts w:ascii="Times New Roman" w:hAnsi="Times New Roman"/>
                <w:b/>
                <w:bCs/>
                <w:color w:val="000000"/>
                <w:kern w:val="0"/>
              </w:rPr>
              <w:t>Gene Symbol</w:t>
            </w:r>
          </w:p>
        </w:tc>
        <w:tc>
          <w:tcPr>
            <w:tcW w:w="3740" w:type="dxa"/>
            <w:tcBorders>
              <w:top w:val="single" w:sz="4" w:space="0" w:color="auto"/>
              <w:left w:val="nil"/>
              <w:bottom w:val="single" w:sz="4" w:space="0" w:color="auto"/>
              <w:right w:val="single" w:sz="4" w:space="0" w:color="auto"/>
            </w:tcBorders>
            <w:vAlign w:val="center"/>
            <w:hideMark/>
          </w:tcPr>
          <w:p w14:paraId="75D1C94C" w14:textId="77777777" w:rsidR="003F0861" w:rsidRDefault="003F0861">
            <w:pPr>
              <w:widowControl/>
              <w:jc w:val="center"/>
              <w:textAlignment w:val="bottom"/>
              <w:rPr>
                <w:rFonts w:ascii="Times New Roman" w:hAnsi="Times New Roman"/>
              </w:rPr>
            </w:pPr>
            <w:r>
              <w:rPr>
                <w:rFonts w:ascii="Times New Roman" w:hAnsi="Times New Roman"/>
                <w:b/>
                <w:bCs/>
                <w:color w:val="000000"/>
                <w:kern w:val="0"/>
              </w:rPr>
              <w:t>Protein Function (Protein Atlas)</w:t>
            </w:r>
          </w:p>
        </w:tc>
        <w:tc>
          <w:tcPr>
            <w:tcW w:w="3653" w:type="dxa"/>
            <w:tcBorders>
              <w:top w:val="single" w:sz="4" w:space="0" w:color="auto"/>
              <w:left w:val="nil"/>
              <w:bottom w:val="single" w:sz="4" w:space="0" w:color="auto"/>
              <w:right w:val="single" w:sz="4" w:space="0" w:color="auto"/>
            </w:tcBorders>
            <w:vAlign w:val="center"/>
            <w:hideMark/>
          </w:tcPr>
          <w:p w14:paraId="0C246F69" w14:textId="77777777" w:rsidR="003F0861" w:rsidRDefault="003F0861">
            <w:pPr>
              <w:widowControl/>
              <w:jc w:val="center"/>
              <w:textAlignment w:val="bottom"/>
              <w:rPr>
                <w:rFonts w:ascii="Times New Roman" w:hAnsi="Times New Roman"/>
              </w:rPr>
            </w:pPr>
            <w:r>
              <w:rPr>
                <w:rFonts w:ascii="Times New Roman" w:hAnsi="Times New Roman"/>
                <w:b/>
                <w:bCs/>
                <w:color w:val="000000"/>
                <w:kern w:val="0"/>
              </w:rPr>
              <w:t>Hallmark Gene Sets</w:t>
            </w:r>
          </w:p>
        </w:tc>
      </w:tr>
      <w:tr w:rsidR="003F0861" w14:paraId="2BC1485B" w14:textId="77777777" w:rsidTr="003F0861">
        <w:tc>
          <w:tcPr>
            <w:tcW w:w="1106" w:type="dxa"/>
            <w:tcBorders>
              <w:top w:val="single" w:sz="4" w:space="0" w:color="auto"/>
              <w:left w:val="single" w:sz="4" w:space="0" w:color="auto"/>
              <w:bottom w:val="single" w:sz="4" w:space="0" w:color="auto"/>
              <w:right w:val="single" w:sz="4" w:space="0" w:color="auto"/>
            </w:tcBorders>
            <w:vAlign w:val="center"/>
            <w:hideMark/>
          </w:tcPr>
          <w:p w14:paraId="6B33AE6F" w14:textId="77777777" w:rsidR="003F0861" w:rsidRDefault="003F0861">
            <w:pPr>
              <w:widowControl/>
              <w:jc w:val="center"/>
              <w:textAlignment w:val="bottom"/>
              <w:rPr>
                <w:rFonts w:ascii="Times New Roman" w:hAnsi="Times New Roman"/>
              </w:rPr>
            </w:pPr>
            <w:r>
              <w:rPr>
                <w:rFonts w:ascii="Times New Roman" w:hAnsi="Times New Roman"/>
                <w:color w:val="000000"/>
                <w:kern w:val="0"/>
              </w:rPr>
              <w:t>PPP1R15A</w:t>
            </w:r>
          </w:p>
        </w:tc>
        <w:tc>
          <w:tcPr>
            <w:tcW w:w="3740" w:type="dxa"/>
            <w:tcBorders>
              <w:top w:val="single" w:sz="4" w:space="0" w:color="auto"/>
              <w:left w:val="nil"/>
              <w:bottom w:val="single" w:sz="4" w:space="0" w:color="auto"/>
              <w:right w:val="single" w:sz="4" w:space="0" w:color="auto"/>
            </w:tcBorders>
            <w:vAlign w:val="center"/>
            <w:hideMark/>
          </w:tcPr>
          <w:p w14:paraId="38B7C38C" w14:textId="7C1D3463" w:rsidR="003F0861" w:rsidRDefault="003F0861">
            <w:pPr>
              <w:widowControl/>
              <w:jc w:val="center"/>
              <w:textAlignment w:val="bottom"/>
              <w:rPr>
                <w:rFonts w:ascii="Times New Roman" w:hAnsi="Times New Roman"/>
              </w:rPr>
            </w:pPr>
            <w:r>
              <w:rPr>
                <w:rFonts w:ascii="Times New Roman" w:hAnsi="Times New Roman"/>
                <w:color w:val="000000"/>
                <w:kern w:val="0"/>
              </w:rPr>
              <w:t>Predicted intracellular proteins; Cancer-related genes: Candidate cancer biomarkers</w:t>
            </w:r>
          </w:p>
        </w:tc>
        <w:tc>
          <w:tcPr>
            <w:tcW w:w="3653" w:type="dxa"/>
            <w:tcBorders>
              <w:top w:val="single" w:sz="4" w:space="0" w:color="auto"/>
              <w:left w:val="nil"/>
              <w:bottom w:val="single" w:sz="4" w:space="0" w:color="auto"/>
              <w:right w:val="single" w:sz="4" w:space="0" w:color="auto"/>
            </w:tcBorders>
            <w:vAlign w:val="center"/>
            <w:hideMark/>
          </w:tcPr>
          <w:p w14:paraId="7CD5A8FF" w14:textId="6C0AF9C7" w:rsidR="003F0861" w:rsidRDefault="003F0861">
            <w:pPr>
              <w:widowControl/>
              <w:jc w:val="center"/>
              <w:textAlignment w:val="bottom"/>
              <w:rPr>
                <w:rFonts w:ascii="Times New Roman" w:hAnsi="Times New Roman"/>
              </w:rPr>
            </w:pPr>
            <w:r>
              <w:rPr>
                <w:rFonts w:ascii="Times New Roman" w:hAnsi="Times New Roman"/>
                <w:color w:val="000000"/>
                <w:kern w:val="0"/>
              </w:rPr>
              <w:t>(M5896) HALLMARK TGF BETA SIGNALING; (M5890) HALLMARK TNFA SIGNALING VIA NFKB; (M5891) HALLMARK HYPOXIA</w:t>
            </w:r>
          </w:p>
        </w:tc>
      </w:tr>
      <w:tr w:rsidR="003F0861" w14:paraId="5824957E" w14:textId="77777777" w:rsidTr="003F0861">
        <w:tc>
          <w:tcPr>
            <w:tcW w:w="1106" w:type="dxa"/>
            <w:tcBorders>
              <w:top w:val="single" w:sz="4" w:space="0" w:color="auto"/>
              <w:left w:val="single" w:sz="4" w:space="0" w:color="auto"/>
              <w:bottom w:val="single" w:sz="4" w:space="0" w:color="auto"/>
              <w:right w:val="single" w:sz="4" w:space="0" w:color="auto"/>
            </w:tcBorders>
            <w:vAlign w:val="center"/>
            <w:hideMark/>
          </w:tcPr>
          <w:p w14:paraId="31019F81" w14:textId="77777777" w:rsidR="003F0861" w:rsidRDefault="003F0861">
            <w:pPr>
              <w:widowControl/>
              <w:jc w:val="center"/>
              <w:textAlignment w:val="bottom"/>
              <w:rPr>
                <w:rFonts w:ascii="Times New Roman" w:hAnsi="Times New Roman"/>
              </w:rPr>
            </w:pPr>
            <w:r>
              <w:rPr>
                <w:rFonts w:ascii="Times New Roman" w:hAnsi="Times New Roman"/>
                <w:color w:val="000000"/>
                <w:kern w:val="0"/>
              </w:rPr>
              <w:t>DUSP1</w:t>
            </w:r>
          </w:p>
        </w:tc>
        <w:tc>
          <w:tcPr>
            <w:tcW w:w="3740" w:type="dxa"/>
            <w:tcBorders>
              <w:top w:val="single" w:sz="4" w:space="0" w:color="auto"/>
              <w:left w:val="nil"/>
              <w:bottom w:val="single" w:sz="4" w:space="0" w:color="auto"/>
              <w:right w:val="single" w:sz="4" w:space="0" w:color="auto"/>
            </w:tcBorders>
            <w:vAlign w:val="center"/>
            <w:hideMark/>
          </w:tcPr>
          <w:p w14:paraId="2650E68A" w14:textId="6137F88B" w:rsidR="003F0861" w:rsidRDefault="003F0861">
            <w:pPr>
              <w:widowControl/>
              <w:jc w:val="center"/>
              <w:textAlignment w:val="bottom"/>
              <w:rPr>
                <w:rFonts w:ascii="Times New Roman" w:hAnsi="Times New Roman"/>
              </w:rPr>
            </w:pPr>
            <w:r>
              <w:rPr>
                <w:rFonts w:ascii="Times New Roman" w:hAnsi="Times New Roman"/>
                <w:color w:val="000000"/>
                <w:kern w:val="0"/>
              </w:rPr>
              <w:t>Enzymes; Predicted intracellular proteins; ENZYME proteins: Hydrolases; Cancer-related genes: Candidate cancer biomarkers</w:t>
            </w:r>
          </w:p>
        </w:tc>
        <w:tc>
          <w:tcPr>
            <w:tcW w:w="3653" w:type="dxa"/>
            <w:tcBorders>
              <w:top w:val="single" w:sz="4" w:space="0" w:color="auto"/>
              <w:left w:val="nil"/>
              <w:bottom w:val="single" w:sz="4" w:space="0" w:color="auto"/>
              <w:right w:val="single" w:sz="4" w:space="0" w:color="auto"/>
            </w:tcBorders>
            <w:vAlign w:val="center"/>
            <w:hideMark/>
          </w:tcPr>
          <w:p w14:paraId="08A90B56" w14:textId="276FA92E" w:rsidR="003F0861" w:rsidRDefault="003F0861">
            <w:pPr>
              <w:widowControl/>
              <w:jc w:val="center"/>
              <w:textAlignment w:val="bottom"/>
              <w:rPr>
                <w:rFonts w:ascii="Times New Roman" w:hAnsi="Times New Roman"/>
              </w:rPr>
            </w:pPr>
            <w:r>
              <w:rPr>
                <w:rFonts w:ascii="Times New Roman" w:hAnsi="Times New Roman"/>
                <w:color w:val="000000"/>
                <w:kern w:val="0"/>
              </w:rPr>
              <w:t>(M5942) HALLMARK UV RESPONSE DN; (M5890) HALLMARK TNFA SIGNALING VIA NFKB; (M5891) HALLMARK HYPOXIA</w:t>
            </w:r>
          </w:p>
        </w:tc>
      </w:tr>
      <w:tr w:rsidR="003F0861" w14:paraId="0D8D0BD0" w14:textId="77777777" w:rsidTr="003F0861">
        <w:tc>
          <w:tcPr>
            <w:tcW w:w="1106" w:type="dxa"/>
            <w:tcBorders>
              <w:top w:val="single" w:sz="4" w:space="0" w:color="auto"/>
              <w:left w:val="single" w:sz="4" w:space="0" w:color="auto"/>
              <w:bottom w:val="single" w:sz="4" w:space="0" w:color="auto"/>
              <w:right w:val="single" w:sz="4" w:space="0" w:color="auto"/>
            </w:tcBorders>
            <w:vAlign w:val="center"/>
            <w:hideMark/>
          </w:tcPr>
          <w:p w14:paraId="0E87E5E8" w14:textId="77777777" w:rsidR="003F0861" w:rsidRDefault="003F0861">
            <w:pPr>
              <w:widowControl/>
              <w:jc w:val="center"/>
              <w:textAlignment w:val="bottom"/>
              <w:rPr>
                <w:rFonts w:ascii="Times New Roman" w:hAnsi="Times New Roman"/>
              </w:rPr>
            </w:pPr>
            <w:r>
              <w:rPr>
                <w:rFonts w:ascii="Times New Roman" w:hAnsi="Times New Roman"/>
                <w:color w:val="000000"/>
                <w:kern w:val="0"/>
              </w:rPr>
              <w:t>PPP4C</w:t>
            </w:r>
          </w:p>
        </w:tc>
        <w:tc>
          <w:tcPr>
            <w:tcW w:w="3740" w:type="dxa"/>
            <w:tcBorders>
              <w:top w:val="single" w:sz="4" w:space="0" w:color="auto"/>
              <w:left w:val="nil"/>
              <w:bottom w:val="single" w:sz="4" w:space="0" w:color="auto"/>
              <w:right w:val="single" w:sz="4" w:space="0" w:color="auto"/>
            </w:tcBorders>
            <w:vAlign w:val="center"/>
            <w:hideMark/>
          </w:tcPr>
          <w:p w14:paraId="0E8BB4AD" w14:textId="5AB6A3A1" w:rsidR="003F0861" w:rsidRDefault="003F0861">
            <w:pPr>
              <w:widowControl/>
              <w:jc w:val="center"/>
              <w:textAlignment w:val="bottom"/>
              <w:rPr>
                <w:rFonts w:ascii="Times New Roman" w:hAnsi="Times New Roman"/>
              </w:rPr>
            </w:pPr>
            <w:r>
              <w:rPr>
                <w:rFonts w:ascii="Times New Roman" w:hAnsi="Times New Roman"/>
                <w:color w:val="000000"/>
                <w:kern w:val="0"/>
              </w:rPr>
              <w:t>Enzymes; Predicted intracellular proteins; ENZYME proteins: Hydrolases</w:t>
            </w:r>
          </w:p>
        </w:tc>
        <w:tc>
          <w:tcPr>
            <w:tcW w:w="3653" w:type="dxa"/>
            <w:tcBorders>
              <w:top w:val="single" w:sz="4" w:space="0" w:color="auto"/>
              <w:left w:val="nil"/>
              <w:bottom w:val="single" w:sz="4" w:space="0" w:color="auto"/>
              <w:right w:val="single" w:sz="4" w:space="0" w:color="auto"/>
            </w:tcBorders>
            <w:vAlign w:val="center"/>
            <w:hideMark/>
          </w:tcPr>
          <w:p w14:paraId="209EF796" w14:textId="01BA14A5" w:rsidR="003F0861" w:rsidRDefault="003F0861">
            <w:pPr>
              <w:widowControl/>
              <w:jc w:val="center"/>
              <w:textAlignment w:val="bottom"/>
              <w:rPr>
                <w:rFonts w:ascii="Times New Roman" w:hAnsi="Times New Roman"/>
              </w:rPr>
            </w:pPr>
            <w:r>
              <w:rPr>
                <w:rFonts w:ascii="Times New Roman" w:hAnsi="Times New Roman"/>
                <w:color w:val="000000"/>
                <w:kern w:val="0"/>
              </w:rPr>
              <w:t>(M5921) HALLMARK COMPLEMENT</w:t>
            </w:r>
          </w:p>
        </w:tc>
      </w:tr>
      <w:tr w:rsidR="003F0861" w14:paraId="47473B91" w14:textId="77777777" w:rsidTr="003F0861">
        <w:tc>
          <w:tcPr>
            <w:tcW w:w="1106" w:type="dxa"/>
            <w:tcBorders>
              <w:top w:val="single" w:sz="4" w:space="0" w:color="auto"/>
              <w:left w:val="single" w:sz="4" w:space="0" w:color="auto"/>
              <w:bottom w:val="single" w:sz="4" w:space="0" w:color="auto"/>
              <w:right w:val="single" w:sz="4" w:space="0" w:color="auto"/>
            </w:tcBorders>
            <w:vAlign w:val="center"/>
            <w:hideMark/>
          </w:tcPr>
          <w:p w14:paraId="770AE7A0" w14:textId="77777777" w:rsidR="003F0861" w:rsidRDefault="003F0861">
            <w:pPr>
              <w:widowControl/>
              <w:jc w:val="center"/>
              <w:textAlignment w:val="bottom"/>
              <w:rPr>
                <w:rFonts w:ascii="Times New Roman" w:hAnsi="Times New Roman"/>
              </w:rPr>
            </w:pPr>
            <w:r>
              <w:rPr>
                <w:rFonts w:ascii="Times New Roman" w:hAnsi="Times New Roman"/>
                <w:color w:val="000000"/>
                <w:kern w:val="0"/>
              </w:rPr>
              <w:t>FAS</w:t>
            </w:r>
          </w:p>
        </w:tc>
        <w:tc>
          <w:tcPr>
            <w:tcW w:w="3740" w:type="dxa"/>
            <w:tcBorders>
              <w:top w:val="single" w:sz="4" w:space="0" w:color="auto"/>
              <w:left w:val="nil"/>
              <w:bottom w:val="single" w:sz="4" w:space="0" w:color="auto"/>
              <w:right w:val="single" w:sz="4" w:space="0" w:color="auto"/>
            </w:tcBorders>
            <w:vAlign w:val="center"/>
            <w:hideMark/>
          </w:tcPr>
          <w:p w14:paraId="7864E6BF" w14:textId="16936498" w:rsidR="003F0861" w:rsidRDefault="003F0861">
            <w:pPr>
              <w:widowControl/>
              <w:jc w:val="center"/>
              <w:textAlignment w:val="bottom"/>
              <w:rPr>
                <w:rFonts w:ascii="Times New Roman" w:hAnsi="Times New Roman"/>
              </w:rPr>
            </w:pPr>
            <w:r>
              <w:rPr>
                <w:rFonts w:ascii="Times New Roman" w:hAnsi="Times New Roman"/>
                <w:color w:val="000000"/>
                <w:kern w:val="0"/>
              </w:rPr>
              <w:t>CD markers; Disease related genes; Cancer-related genes: Candidate cancer biomarkers; Candidate cardiovascular disease genes; Predicted secreted proteins</w:t>
            </w:r>
          </w:p>
        </w:tc>
        <w:tc>
          <w:tcPr>
            <w:tcW w:w="3653" w:type="dxa"/>
            <w:tcBorders>
              <w:top w:val="single" w:sz="4" w:space="0" w:color="auto"/>
              <w:left w:val="nil"/>
              <w:bottom w:val="single" w:sz="4" w:space="0" w:color="auto"/>
              <w:right w:val="single" w:sz="4" w:space="0" w:color="auto"/>
            </w:tcBorders>
            <w:vAlign w:val="center"/>
            <w:hideMark/>
          </w:tcPr>
          <w:p w14:paraId="51F536E1" w14:textId="3A241DAE" w:rsidR="003F0861" w:rsidRDefault="003F0861">
            <w:pPr>
              <w:widowControl/>
              <w:jc w:val="center"/>
              <w:textAlignment w:val="bottom"/>
              <w:rPr>
                <w:rFonts w:ascii="Times New Roman" w:hAnsi="Times New Roman"/>
              </w:rPr>
            </w:pPr>
            <w:r>
              <w:rPr>
                <w:rFonts w:ascii="Times New Roman" w:hAnsi="Times New Roman"/>
                <w:color w:val="000000"/>
                <w:kern w:val="0"/>
              </w:rPr>
              <w:t>(M5897) HALLMARK IL6 JAK STAT3 SIGNALING; (M5902) HALLMARK APOPTOSIS; (M5913) HALLMARK INTERFERON GAMMA RESPONSE</w:t>
            </w:r>
          </w:p>
        </w:tc>
      </w:tr>
      <w:tr w:rsidR="003F0861" w14:paraId="369D4D91" w14:textId="77777777" w:rsidTr="003F0861">
        <w:tc>
          <w:tcPr>
            <w:tcW w:w="1106" w:type="dxa"/>
            <w:tcBorders>
              <w:top w:val="single" w:sz="4" w:space="0" w:color="auto"/>
              <w:left w:val="single" w:sz="4" w:space="0" w:color="auto"/>
              <w:bottom w:val="single" w:sz="4" w:space="0" w:color="auto"/>
              <w:right w:val="single" w:sz="4" w:space="0" w:color="auto"/>
            </w:tcBorders>
            <w:vAlign w:val="center"/>
            <w:hideMark/>
          </w:tcPr>
          <w:p w14:paraId="12C4FDC0" w14:textId="77777777" w:rsidR="003F0861" w:rsidRDefault="003F0861">
            <w:pPr>
              <w:widowControl/>
              <w:jc w:val="center"/>
              <w:textAlignment w:val="bottom"/>
              <w:rPr>
                <w:rFonts w:ascii="Times New Roman" w:hAnsi="Times New Roman"/>
              </w:rPr>
            </w:pPr>
            <w:r>
              <w:rPr>
                <w:rFonts w:ascii="Times New Roman" w:hAnsi="Times New Roman"/>
                <w:color w:val="000000"/>
                <w:kern w:val="0"/>
              </w:rPr>
              <w:t>PMAIP1</w:t>
            </w:r>
          </w:p>
        </w:tc>
        <w:tc>
          <w:tcPr>
            <w:tcW w:w="3740" w:type="dxa"/>
            <w:tcBorders>
              <w:top w:val="single" w:sz="4" w:space="0" w:color="auto"/>
              <w:left w:val="nil"/>
              <w:bottom w:val="single" w:sz="4" w:space="0" w:color="auto"/>
              <w:right w:val="single" w:sz="4" w:space="0" w:color="auto"/>
            </w:tcBorders>
            <w:vAlign w:val="center"/>
            <w:hideMark/>
          </w:tcPr>
          <w:p w14:paraId="2A475A96" w14:textId="77777777" w:rsidR="003F0861" w:rsidRDefault="003F0861">
            <w:pPr>
              <w:widowControl/>
              <w:jc w:val="center"/>
              <w:textAlignment w:val="bottom"/>
              <w:rPr>
                <w:rFonts w:ascii="Times New Roman" w:hAnsi="Times New Roman"/>
              </w:rPr>
            </w:pPr>
            <w:r>
              <w:rPr>
                <w:rFonts w:ascii="Times New Roman" w:hAnsi="Times New Roman"/>
                <w:color w:val="000000"/>
                <w:kern w:val="0"/>
              </w:rPr>
              <w:t>Predicted intracellular proteins</w:t>
            </w:r>
          </w:p>
        </w:tc>
        <w:tc>
          <w:tcPr>
            <w:tcW w:w="3653" w:type="dxa"/>
            <w:tcBorders>
              <w:top w:val="single" w:sz="4" w:space="0" w:color="auto"/>
              <w:left w:val="nil"/>
              <w:bottom w:val="single" w:sz="4" w:space="0" w:color="auto"/>
              <w:right w:val="single" w:sz="4" w:space="0" w:color="auto"/>
            </w:tcBorders>
            <w:vAlign w:val="center"/>
            <w:hideMark/>
          </w:tcPr>
          <w:p w14:paraId="0E6AE9F0" w14:textId="6460758E" w:rsidR="003F0861" w:rsidRDefault="003F0861">
            <w:pPr>
              <w:widowControl/>
              <w:jc w:val="center"/>
              <w:textAlignment w:val="bottom"/>
              <w:rPr>
                <w:rFonts w:ascii="Times New Roman" w:hAnsi="Times New Roman"/>
              </w:rPr>
            </w:pPr>
            <w:r>
              <w:rPr>
                <w:rFonts w:ascii="Times New Roman" w:hAnsi="Times New Roman"/>
                <w:color w:val="000000"/>
                <w:kern w:val="0"/>
              </w:rPr>
              <w:t>(M5902) HALLMARK APOPTOSIS; (M5906) HALLMARK ESTROGEN RESPONSE EARLY</w:t>
            </w:r>
          </w:p>
        </w:tc>
      </w:tr>
      <w:tr w:rsidR="003F0861" w14:paraId="02783029" w14:textId="77777777" w:rsidTr="003F0861">
        <w:trPr>
          <w:trHeight w:val="90"/>
        </w:trPr>
        <w:tc>
          <w:tcPr>
            <w:tcW w:w="1106" w:type="dxa"/>
            <w:tcBorders>
              <w:top w:val="single" w:sz="4" w:space="0" w:color="auto"/>
              <w:left w:val="single" w:sz="4" w:space="0" w:color="auto"/>
              <w:bottom w:val="single" w:sz="4" w:space="0" w:color="auto"/>
              <w:right w:val="single" w:sz="4" w:space="0" w:color="auto"/>
            </w:tcBorders>
            <w:vAlign w:val="center"/>
            <w:hideMark/>
          </w:tcPr>
          <w:p w14:paraId="4BB5820D" w14:textId="77777777" w:rsidR="003F0861" w:rsidRDefault="003F0861">
            <w:pPr>
              <w:widowControl/>
              <w:jc w:val="center"/>
              <w:textAlignment w:val="bottom"/>
              <w:rPr>
                <w:rFonts w:ascii="Times New Roman" w:hAnsi="Times New Roman"/>
              </w:rPr>
            </w:pPr>
            <w:r>
              <w:rPr>
                <w:rFonts w:ascii="Times New Roman" w:hAnsi="Times New Roman"/>
                <w:color w:val="000000"/>
                <w:kern w:val="0"/>
              </w:rPr>
              <w:t>TXNIP</w:t>
            </w:r>
          </w:p>
        </w:tc>
        <w:tc>
          <w:tcPr>
            <w:tcW w:w="3740" w:type="dxa"/>
            <w:tcBorders>
              <w:top w:val="single" w:sz="4" w:space="0" w:color="auto"/>
              <w:left w:val="nil"/>
              <w:bottom w:val="single" w:sz="4" w:space="0" w:color="auto"/>
              <w:right w:val="single" w:sz="4" w:space="0" w:color="auto"/>
            </w:tcBorders>
            <w:vAlign w:val="center"/>
            <w:hideMark/>
          </w:tcPr>
          <w:p w14:paraId="0D4B066A" w14:textId="5B023B86" w:rsidR="003F0861" w:rsidRDefault="003F0861">
            <w:pPr>
              <w:widowControl/>
              <w:jc w:val="center"/>
              <w:textAlignment w:val="bottom"/>
              <w:rPr>
                <w:rFonts w:ascii="Times New Roman" w:hAnsi="Times New Roman"/>
              </w:rPr>
            </w:pPr>
            <w:r>
              <w:rPr>
                <w:rFonts w:ascii="Times New Roman" w:hAnsi="Times New Roman"/>
                <w:color w:val="000000"/>
                <w:kern w:val="0"/>
              </w:rPr>
              <w:t>Predicted intracellular proteins; Cancer-related genes: Mutational cancer driver genes</w:t>
            </w:r>
          </w:p>
        </w:tc>
        <w:tc>
          <w:tcPr>
            <w:tcW w:w="3653" w:type="dxa"/>
            <w:tcBorders>
              <w:top w:val="single" w:sz="4" w:space="0" w:color="auto"/>
              <w:left w:val="nil"/>
              <w:bottom w:val="single" w:sz="4" w:space="0" w:color="auto"/>
              <w:right w:val="single" w:sz="4" w:space="0" w:color="auto"/>
            </w:tcBorders>
            <w:vAlign w:val="center"/>
            <w:hideMark/>
          </w:tcPr>
          <w:p w14:paraId="1241D43F" w14:textId="3354E5D7" w:rsidR="003F0861" w:rsidRDefault="003F0861">
            <w:pPr>
              <w:widowControl/>
              <w:jc w:val="center"/>
              <w:textAlignment w:val="bottom"/>
              <w:rPr>
                <w:rFonts w:ascii="Times New Roman" w:hAnsi="Times New Roman"/>
              </w:rPr>
            </w:pPr>
            <w:r>
              <w:rPr>
                <w:rFonts w:ascii="Times New Roman" w:hAnsi="Times New Roman"/>
                <w:color w:val="000000"/>
                <w:kern w:val="0"/>
              </w:rPr>
              <w:t>(M5911) HALLMARK INTERFERON ALPHA RESPONSE; (M5902) HALLMARK APOPTOSIS; (M5913) HALLMARK INTERFERON GAMMA RESPONSE</w:t>
            </w:r>
          </w:p>
        </w:tc>
      </w:tr>
    </w:tbl>
    <w:p w14:paraId="24E5FF16" w14:textId="1459A1CE" w:rsidR="00F9018C" w:rsidRDefault="00F9018C">
      <w:pPr>
        <w:rPr>
          <w:rFonts w:ascii="Times New Roman" w:hAnsi="Times New Roman" w:cs="Times New Roman"/>
          <w:b/>
          <w:bCs/>
          <w:sz w:val="28"/>
          <w:szCs w:val="28"/>
        </w:rPr>
      </w:pPr>
    </w:p>
    <w:p w14:paraId="4DA12710" w14:textId="77777777" w:rsidR="00F9018C" w:rsidRDefault="00F9018C">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641BAA1A" w14:textId="38274F01" w:rsidR="003F0861" w:rsidRPr="00F9018C" w:rsidRDefault="00F9018C">
      <w:pPr>
        <w:rPr>
          <w:rFonts w:ascii="Times New Roman" w:hAnsi="Times New Roman" w:cs="Times New Roman"/>
          <w:b/>
          <w:bCs/>
          <w:szCs w:val="21"/>
        </w:rPr>
      </w:pPr>
      <w:r w:rsidRPr="00A27FC1">
        <w:rPr>
          <w:rFonts w:ascii="Times New Roman" w:hAnsi="Times New Roman" w:cs="Times New Roman" w:hint="eastAsia"/>
          <w:b/>
          <w:bCs/>
          <w:szCs w:val="21"/>
        </w:rPr>
        <w:lastRenderedPageBreak/>
        <w:t>T</w:t>
      </w:r>
      <w:r w:rsidRPr="00A27FC1">
        <w:rPr>
          <w:rFonts w:ascii="Times New Roman" w:hAnsi="Times New Roman" w:cs="Times New Roman"/>
          <w:b/>
          <w:bCs/>
          <w:szCs w:val="21"/>
        </w:rPr>
        <w:t>able S</w:t>
      </w:r>
      <w:r>
        <w:rPr>
          <w:rFonts w:ascii="Times New Roman" w:hAnsi="Times New Roman" w:cs="Times New Roman"/>
          <w:b/>
          <w:bCs/>
          <w:szCs w:val="21"/>
        </w:rPr>
        <w:t>4</w:t>
      </w:r>
      <w:r w:rsidRPr="00A27FC1">
        <w:rPr>
          <w:rFonts w:ascii="Times New Roman" w:hAnsi="Times New Roman" w:cs="Times New Roman"/>
          <w:b/>
          <w:bCs/>
          <w:szCs w:val="21"/>
        </w:rPr>
        <w:t xml:space="preserve">: </w:t>
      </w:r>
      <w:r w:rsidRPr="00F9018C">
        <w:rPr>
          <w:rFonts w:ascii="Times New Roman" w:hAnsi="Times New Roman" w:cs="Times New Roman"/>
          <w:b/>
          <w:bCs/>
          <w:szCs w:val="21"/>
        </w:rPr>
        <w:t>The function of target genes positively related to the differentiation of CD</w:t>
      </w:r>
      <w:r>
        <w:rPr>
          <w:rFonts w:ascii="Times New Roman" w:hAnsi="Times New Roman" w:cs="Times New Roman"/>
          <w:b/>
          <w:bCs/>
          <w:szCs w:val="21"/>
        </w:rPr>
        <w:t>8</w:t>
      </w:r>
      <w:r w:rsidRPr="00F9018C">
        <w:rPr>
          <w:rFonts w:ascii="Times New Roman" w:hAnsi="Times New Roman" w:cs="Times New Roman"/>
          <w:b/>
          <w:bCs/>
          <w:szCs w:val="21"/>
        </w:rPr>
        <w:t>+ T cells</w:t>
      </w:r>
    </w:p>
    <w:tbl>
      <w:tblPr>
        <w:tblStyle w:val="TableGrid"/>
        <w:tblW w:w="8550" w:type="dxa"/>
        <w:tblLook w:val="04A0" w:firstRow="1" w:lastRow="0" w:firstColumn="1" w:lastColumn="0" w:noHBand="0" w:noVBand="1"/>
      </w:tblPr>
      <w:tblGrid>
        <w:gridCol w:w="1091"/>
        <w:gridCol w:w="3559"/>
        <w:gridCol w:w="3900"/>
      </w:tblGrid>
      <w:tr w:rsidR="00F9018C" w14:paraId="23077717" w14:textId="77777777" w:rsidTr="00F9018C">
        <w:tc>
          <w:tcPr>
            <w:tcW w:w="1091" w:type="dxa"/>
            <w:tcBorders>
              <w:top w:val="single" w:sz="4" w:space="0" w:color="auto"/>
              <w:left w:val="single" w:sz="4" w:space="0" w:color="auto"/>
              <w:bottom w:val="single" w:sz="4" w:space="0" w:color="auto"/>
              <w:right w:val="single" w:sz="4" w:space="0" w:color="auto"/>
            </w:tcBorders>
            <w:vAlign w:val="center"/>
            <w:hideMark/>
          </w:tcPr>
          <w:p w14:paraId="10649F96" w14:textId="77777777" w:rsidR="00F9018C" w:rsidRDefault="00F9018C">
            <w:pPr>
              <w:widowControl/>
              <w:jc w:val="center"/>
              <w:textAlignment w:val="bottom"/>
              <w:rPr>
                <w:rFonts w:ascii="Times New Roman" w:hAnsi="Times New Roman"/>
                <w:b/>
                <w:bCs/>
                <w:color w:val="000000"/>
                <w:kern w:val="0"/>
              </w:rPr>
            </w:pPr>
            <w:r>
              <w:rPr>
                <w:rFonts w:ascii="Times New Roman" w:hAnsi="Times New Roman" w:hint="eastAsia"/>
                <w:b/>
                <w:bCs/>
                <w:color w:val="000000"/>
                <w:kern w:val="0"/>
              </w:rPr>
              <w:t>Gene Symbol</w:t>
            </w:r>
          </w:p>
        </w:tc>
        <w:tc>
          <w:tcPr>
            <w:tcW w:w="3559" w:type="dxa"/>
            <w:tcBorders>
              <w:top w:val="single" w:sz="4" w:space="0" w:color="auto"/>
              <w:left w:val="nil"/>
              <w:bottom w:val="single" w:sz="4" w:space="0" w:color="auto"/>
              <w:right w:val="single" w:sz="4" w:space="0" w:color="auto"/>
            </w:tcBorders>
            <w:vAlign w:val="center"/>
            <w:hideMark/>
          </w:tcPr>
          <w:p w14:paraId="7F4AEFFE" w14:textId="77777777" w:rsidR="00F9018C" w:rsidRDefault="00F9018C">
            <w:pPr>
              <w:widowControl/>
              <w:jc w:val="center"/>
              <w:textAlignment w:val="bottom"/>
              <w:rPr>
                <w:rFonts w:ascii="Times New Roman" w:hAnsi="Times New Roman"/>
                <w:b/>
                <w:bCs/>
                <w:color w:val="000000"/>
                <w:kern w:val="0"/>
              </w:rPr>
            </w:pPr>
            <w:r>
              <w:rPr>
                <w:rFonts w:ascii="Times New Roman" w:hAnsi="Times New Roman" w:hint="eastAsia"/>
                <w:b/>
                <w:bCs/>
                <w:color w:val="000000"/>
                <w:kern w:val="0"/>
              </w:rPr>
              <w:t>Protein Function (Protein Atlas)</w:t>
            </w:r>
          </w:p>
        </w:tc>
        <w:tc>
          <w:tcPr>
            <w:tcW w:w="3900" w:type="dxa"/>
            <w:tcBorders>
              <w:top w:val="single" w:sz="4" w:space="0" w:color="auto"/>
              <w:left w:val="nil"/>
              <w:bottom w:val="single" w:sz="4" w:space="0" w:color="auto"/>
              <w:right w:val="single" w:sz="4" w:space="0" w:color="auto"/>
            </w:tcBorders>
            <w:vAlign w:val="center"/>
            <w:hideMark/>
          </w:tcPr>
          <w:p w14:paraId="78E5CD72" w14:textId="77777777" w:rsidR="00F9018C" w:rsidRDefault="00F9018C">
            <w:pPr>
              <w:widowControl/>
              <w:jc w:val="center"/>
              <w:textAlignment w:val="bottom"/>
              <w:rPr>
                <w:rFonts w:ascii="Times New Roman" w:hAnsi="Times New Roman"/>
                <w:b/>
                <w:bCs/>
                <w:color w:val="000000"/>
                <w:kern w:val="0"/>
              </w:rPr>
            </w:pPr>
            <w:r>
              <w:rPr>
                <w:rFonts w:ascii="Times New Roman" w:hAnsi="Times New Roman" w:hint="eastAsia"/>
                <w:b/>
                <w:bCs/>
                <w:color w:val="000000"/>
                <w:kern w:val="0"/>
              </w:rPr>
              <w:t>Hallmark Gene Sets</w:t>
            </w:r>
          </w:p>
        </w:tc>
      </w:tr>
      <w:tr w:rsidR="00F9018C" w14:paraId="18A57608" w14:textId="77777777" w:rsidTr="00F9018C">
        <w:tc>
          <w:tcPr>
            <w:tcW w:w="1091" w:type="dxa"/>
            <w:tcBorders>
              <w:top w:val="single" w:sz="4" w:space="0" w:color="auto"/>
              <w:left w:val="single" w:sz="4" w:space="0" w:color="auto"/>
              <w:bottom w:val="single" w:sz="4" w:space="0" w:color="auto"/>
              <w:right w:val="single" w:sz="4" w:space="0" w:color="auto"/>
            </w:tcBorders>
            <w:vAlign w:val="center"/>
            <w:hideMark/>
          </w:tcPr>
          <w:p w14:paraId="70707DC0" w14:textId="77777777" w:rsidR="00F9018C" w:rsidRDefault="00F9018C">
            <w:pPr>
              <w:widowControl/>
              <w:jc w:val="center"/>
              <w:textAlignment w:val="bottom"/>
              <w:rPr>
                <w:rFonts w:ascii="Times New Roman" w:hAnsi="Times New Roman"/>
                <w:color w:val="000000"/>
                <w:kern w:val="0"/>
              </w:rPr>
            </w:pPr>
            <w:r>
              <w:rPr>
                <w:rFonts w:ascii="Times New Roman" w:hAnsi="Times New Roman" w:hint="eastAsia"/>
                <w:color w:val="000000"/>
                <w:kern w:val="0"/>
              </w:rPr>
              <w:t>CCL5</w:t>
            </w:r>
          </w:p>
        </w:tc>
        <w:tc>
          <w:tcPr>
            <w:tcW w:w="3559" w:type="dxa"/>
            <w:tcBorders>
              <w:top w:val="single" w:sz="4" w:space="0" w:color="auto"/>
              <w:left w:val="nil"/>
              <w:bottom w:val="single" w:sz="4" w:space="0" w:color="auto"/>
              <w:right w:val="single" w:sz="4" w:space="0" w:color="auto"/>
            </w:tcBorders>
            <w:vAlign w:val="center"/>
            <w:hideMark/>
          </w:tcPr>
          <w:p w14:paraId="26952B22" w14:textId="5068276B" w:rsidR="00F9018C" w:rsidRDefault="00F9018C">
            <w:pPr>
              <w:widowControl/>
              <w:jc w:val="center"/>
              <w:textAlignment w:val="bottom"/>
              <w:rPr>
                <w:rFonts w:ascii="Times New Roman" w:hAnsi="Times New Roman"/>
                <w:color w:val="000000"/>
                <w:kern w:val="0"/>
              </w:rPr>
            </w:pPr>
            <w:r>
              <w:rPr>
                <w:rFonts w:ascii="Times New Roman" w:hAnsi="Times New Roman" w:hint="eastAsia"/>
                <w:color w:val="000000"/>
                <w:kern w:val="0"/>
              </w:rPr>
              <w:t>Cancer-related genes:</w:t>
            </w:r>
            <w:r>
              <w:rPr>
                <w:rFonts w:ascii="Times New Roman" w:hAnsi="Times New Roman"/>
                <w:color w:val="000000"/>
                <w:kern w:val="0"/>
              </w:rPr>
              <w:t xml:space="preserve"> </w:t>
            </w:r>
            <w:r>
              <w:rPr>
                <w:rFonts w:ascii="Times New Roman" w:hAnsi="Times New Roman" w:hint="eastAsia"/>
                <w:color w:val="000000"/>
                <w:kern w:val="0"/>
              </w:rPr>
              <w:t>Candidate cancer biomarkers; Predicted secreted proteins</w:t>
            </w:r>
          </w:p>
        </w:tc>
        <w:tc>
          <w:tcPr>
            <w:tcW w:w="3900" w:type="dxa"/>
            <w:tcBorders>
              <w:top w:val="single" w:sz="4" w:space="0" w:color="auto"/>
              <w:left w:val="nil"/>
              <w:bottom w:val="single" w:sz="4" w:space="0" w:color="auto"/>
              <w:right w:val="single" w:sz="4" w:space="0" w:color="auto"/>
            </w:tcBorders>
            <w:vAlign w:val="center"/>
            <w:hideMark/>
          </w:tcPr>
          <w:p w14:paraId="43A47EE8" w14:textId="0650BD2A" w:rsidR="00F9018C" w:rsidRDefault="00F9018C">
            <w:pPr>
              <w:widowControl/>
              <w:jc w:val="center"/>
              <w:textAlignment w:val="bottom"/>
              <w:rPr>
                <w:rFonts w:ascii="Times New Roman" w:hAnsi="Times New Roman"/>
                <w:color w:val="000000"/>
                <w:kern w:val="0"/>
              </w:rPr>
            </w:pPr>
            <w:r>
              <w:rPr>
                <w:rFonts w:ascii="Times New Roman" w:hAnsi="Times New Roman" w:hint="eastAsia"/>
                <w:color w:val="000000"/>
                <w:kern w:val="0"/>
              </w:rPr>
              <w:t>(M5890)</w:t>
            </w:r>
            <w:r>
              <w:rPr>
                <w:rFonts w:ascii="Times New Roman" w:hAnsi="Times New Roman"/>
                <w:color w:val="000000"/>
                <w:kern w:val="0"/>
              </w:rPr>
              <w:t xml:space="preserve"> </w:t>
            </w:r>
            <w:r>
              <w:rPr>
                <w:rFonts w:ascii="Times New Roman" w:hAnsi="Times New Roman" w:hint="eastAsia"/>
                <w:color w:val="000000"/>
                <w:kern w:val="0"/>
              </w:rPr>
              <w:t>HALLMARK TNFA SIGNALING VIA NFKB; (M5913)</w:t>
            </w:r>
            <w:r>
              <w:rPr>
                <w:rFonts w:ascii="Times New Roman" w:hAnsi="Times New Roman"/>
                <w:color w:val="000000"/>
                <w:kern w:val="0"/>
              </w:rPr>
              <w:t xml:space="preserve"> </w:t>
            </w:r>
            <w:r>
              <w:rPr>
                <w:rFonts w:ascii="Times New Roman" w:hAnsi="Times New Roman" w:hint="eastAsia"/>
                <w:color w:val="000000"/>
                <w:kern w:val="0"/>
              </w:rPr>
              <w:t>HALLMARK INTERFERON GAMMA RESPONSE; (M5921)</w:t>
            </w:r>
            <w:r>
              <w:rPr>
                <w:rFonts w:ascii="Times New Roman" w:hAnsi="Times New Roman"/>
                <w:color w:val="000000"/>
                <w:kern w:val="0"/>
              </w:rPr>
              <w:t xml:space="preserve"> </w:t>
            </w:r>
            <w:r>
              <w:rPr>
                <w:rFonts w:ascii="Times New Roman" w:hAnsi="Times New Roman" w:hint="eastAsia"/>
                <w:color w:val="000000"/>
                <w:kern w:val="0"/>
              </w:rPr>
              <w:t>HALLMARK COMPLEMENT</w:t>
            </w:r>
          </w:p>
        </w:tc>
      </w:tr>
      <w:tr w:rsidR="00F9018C" w14:paraId="762C9632" w14:textId="77777777" w:rsidTr="00F9018C">
        <w:tc>
          <w:tcPr>
            <w:tcW w:w="1091" w:type="dxa"/>
            <w:tcBorders>
              <w:top w:val="single" w:sz="4" w:space="0" w:color="auto"/>
              <w:left w:val="single" w:sz="4" w:space="0" w:color="auto"/>
              <w:bottom w:val="single" w:sz="4" w:space="0" w:color="auto"/>
              <w:right w:val="single" w:sz="4" w:space="0" w:color="auto"/>
            </w:tcBorders>
            <w:vAlign w:val="center"/>
            <w:hideMark/>
          </w:tcPr>
          <w:p w14:paraId="1EADCC07" w14:textId="77777777" w:rsidR="00F9018C" w:rsidRDefault="00F9018C">
            <w:pPr>
              <w:widowControl/>
              <w:jc w:val="center"/>
              <w:textAlignment w:val="bottom"/>
              <w:rPr>
                <w:rFonts w:ascii="Times New Roman" w:hAnsi="Times New Roman"/>
                <w:color w:val="000000"/>
                <w:kern w:val="0"/>
              </w:rPr>
            </w:pPr>
            <w:r>
              <w:rPr>
                <w:rFonts w:ascii="Times New Roman" w:hAnsi="Times New Roman" w:hint="eastAsia"/>
                <w:color w:val="000000"/>
                <w:kern w:val="0"/>
              </w:rPr>
              <w:t>IFNG</w:t>
            </w:r>
          </w:p>
        </w:tc>
        <w:tc>
          <w:tcPr>
            <w:tcW w:w="3559" w:type="dxa"/>
            <w:tcBorders>
              <w:top w:val="single" w:sz="4" w:space="0" w:color="auto"/>
              <w:left w:val="nil"/>
              <w:bottom w:val="single" w:sz="4" w:space="0" w:color="auto"/>
              <w:right w:val="single" w:sz="4" w:space="0" w:color="auto"/>
            </w:tcBorders>
            <w:vAlign w:val="center"/>
            <w:hideMark/>
          </w:tcPr>
          <w:p w14:paraId="0C78E816" w14:textId="2825A2AC" w:rsidR="00F9018C" w:rsidRDefault="00F9018C">
            <w:pPr>
              <w:widowControl/>
              <w:jc w:val="center"/>
              <w:textAlignment w:val="bottom"/>
              <w:rPr>
                <w:rFonts w:ascii="Times New Roman" w:hAnsi="Times New Roman"/>
                <w:color w:val="000000"/>
                <w:kern w:val="0"/>
              </w:rPr>
            </w:pPr>
            <w:r>
              <w:rPr>
                <w:rFonts w:ascii="Times New Roman" w:hAnsi="Times New Roman" w:hint="eastAsia"/>
                <w:color w:val="000000"/>
                <w:kern w:val="0"/>
              </w:rPr>
              <w:t>FDA approved drug targets:</w:t>
            </w:r>
            <w:r>
              <w:rPr>
                <w:rFonts w:ascii="Times New Roman" w:hAnsi="Times New Roman"/>
                <w:color w:val="000000"/>
                <w:kern w:val="0"/>
              </w:rPr>
              <w:t xml:space="preserve"> </w:t>
            </w:r>
            <w:proofErr w:type="gramStart"/>
            <w:r>
              <w:rPr>
                <w:rFonts w:ascii="Times New Roman" w:hAnsi="Times New Roman" w:hint="eastAsia"/>
                <w:color w:val="000000"/>
                <w:kern w:val="0"/>
              </w:rPr>
              <w:t>Small</w:t>
            </w:r>
            <w:proofErr w:type="gramEnd"/>
            <w:r>
              <w:rPr>
                <w:rFonts w:ascii="Times New Roman" w:hAnsi="Times New Roman"/>
                <w:color w:val="000000"/>
                <w:kern w:val="0"/>
              </w:rPr>
              <w:t xml:space="preserve"> </w:t>
            </w:r>
            <w:r>
              <w:rPr>
                <w:rFonts w:ascii="Times New Roman" w:hAnsi="Times New Roman" w:hint="eastAsia"/>
                <w:color w:val="000000"/>
                <w:kern w:val="0"/>
              </w:rPr>
              <w:t>molecule drugs; Disease related genes; Cancer-related genes:</w:t>
            </w:r>
            <w:r>
              <w:rPr>
                <w:rFonts w:ascii="Times New Roman" w:hAnsi="Times New Roman"/>
                <w:color w:val="000000"/>
                <w:kern w:val="0"/>
              </w:rPr>
              <w:t xml:space="preserve"> </w:t>
            </w:r>
            <w:r>
              <w:rPr>
                <w:rFonts w:ascii="Times New Roman" w:hAnsi="Times New Roman" w:hint="eastAsia"/>
                <w:color w:val="000000"/>
                <w:kern w:val="0"/>
              </w:rPr>
              <w:t>Candidate cancer biomarkers; Predicted secreted proteins</w:t>
            </w:r>
          </w:p>
        </w:tc>
        <w:tc>
          <w:tcPr>
            <w:tcW w:w="3900" w:type="dxa"/>
            <w:tcBorders>
              <w:top w:val="single" w:sz="4" w:space="0" w:color="auto"/>
              <w:left w:val="nil"/>
              <w:bottom w:val="single" w:sz="4" w:space="0" w:color="auto"/>
              <w:right w:val="single" w:sz="4" w:space="0" w:color="auto"/>
            </w:tcBorders>
            <w:vAlign w:val="center"/>
            <w:hideMark/>
          </w:tcPr>
          <w:p w14:paraId="156C48AB" w14:textId="46DE70CF" w:rsidR="00F9018C" w:rsidRDefault="00F9018C">
            <w:pPr>
              <w:widowControl/>
              <w:jc w:val="center"/>
              <w:textAlignment w:val="bottom"/>
              <w:rPr>
                <w:rFonts w:ascii="Times New Roman" w:hAnsi="Times New Roman"/>
                <w:color w:val="000000"/>
                <w:kern w:val="0"/>
              </w:rPr>
            </w:pPr>
            <w:r>
              <w:rPr>
                <w:rFonts w:ascii="Times New Roman" w:hAnsi="Times New Roman" w:hint="eastAsia"/>
                <w:color w:val="000000"/>
                <w:kern w:val="0"/>
              </w:rPr>
              <w:t>(M5950)</w:t>
            </w:r>
            <w:r>
              <w:rPr>
                <w:rFonts w:ascii="Times New Roman" w:hAnsi="Times New Roman"/>
                <w:color w:val="000000"/>
                <w:kern w:val="0"/>
              </w:rPr>
              <w:t xml:space="preserve"> </w:t>
            </w:r>
            <w:r>
              <w:rPr>
                <w:rFonts w:ascii="Times New Roman" w:hAnsi="Times New Roman" w:hint="eastAsia"/>
                <w:color w:val="000000"/>
                <w:kern w:val="0"/>
              </w:rPr>
              <w:t>HALLMARK ALLOGRAFT REJECTION; (M5956)</w:t>
            </w:r>
            <w:r>
              <w:rPr>
                <w:rFonts w:ascii="Times New Roman" w:hAnsi="Times New Roman"/>
                <w:color w:val="000000"/>
                <w:kern w:val="0"/>
              </w:rPr>
              <w:t xml:space="preserve"> </w:t>
            </w:r>
            <w:r>
              <w:rPr>
                <w:rFonts w:ascii="Times New Roman" w:hAnsi="Times New Roman" w:hint="eastAsia"/>
                <w:color w:val="000000"/>
                <w:kern w:val="0"/>
              </w:rPr>
              <w:t>HALLMARK KRAS SIGNALING DN</w:t>
            </w:r>
          </w:p>
        </w:tc>
      </w:tr>
      <w:tr w:rsidR="00F9018C" w14:paraId="3750D77E" w14:textId="77777777" w:rsidTr="00F9018C">
        <w:tc>
          <w:tcPr>
            <w:tcW w:w="1091" w:type="dxa"/>
            <w:tcBorders>
              <w:top w:val="single" w:sz="4" w:space="0" w:color="auto"/>
              <w:left w:val="single" w:sz="4" w:space="0" w:color="auto"/>
              <w:bottom w:val="single" w:sz="4" w:space="0" w:color="auto"/>
              <w:right w:val="single" w:sz="4" w:space="0" w:color="auto"/>
            </w:tcBorders>
            <w:vAlign w:val="center"/>
            <w:hideMark/>
          </w:tcPr>
          <w:p w14:paraId="278AE058" w14:textId="77777777" w:rsidR="00F9018C" w:rsidRDefault="00F9018C">
            <w:pPr>
              <w:widowControl/>
              <w:jc w:val="center"/>
              <w:textAlignment w:val="bottom"/>
              <w:rPr>
                <w:rFonts w:ascii="Times New Roman" w:hAnsi="Times New Roman"/>
                <w:color w:val="000000"/>
                <w:kern w:val="0"/>
              </w:rPr>
            </w:pPr>
            <w:r>
              <w:rPr>
                <w:rFonts w:ascii="Times New Roman" w:hAnsi="Times New Roman" w:hint="eastAsia"/>
                <w:color w:val="000000"/>
                <w:kern w:val="0"/>
              </w:rPr>
              <w:t>HSPD1</w:t>
            </w:r>
          </w:p>
        </w:tc>
        <w:tc>
          <w:tcPr>
            <w:tcW w:w="3559" w:type="dxa"/>
            <w:tcBorders>
              <w:top w:val="single" w:sz="4" w:space="0" w:color="auto"/>
              <w:left w:val="nil"/>
              <w:bottom w:val="single" w:sz="4" w:space="0" w:color="auto"/>
              <w:right w:val="single" w:sz="4" w:space="0" w:color="auto"/>
            </w:tcBorders>
            <w:vAlign w:val="center"/>
            <w:hideMark/>
          </w:tcPr>
          <w:p w14:paraId="15CD6444" w14:textId="27D6F6BA" w:rsidR="00F9018C" w:rsidRDefault="00F9018C">
            <w:pPr>
              <w:widowControl/>
              <w:jc w:val="center"/>
              <w:textAlignment w:val="bottom"/>
              <w:rPr>
                <w:rFonts w:ascii="Times New Roman" w:hAnsi="Times New Roman"/>
                <w:color w:val="000000"/>
                <w:kern w:val="0"/>
              </w:rPr>
            </w:pPr>
            <w:r>
              <w:rPr>
                <w:rFonts w:ascii="Times New Roman" w:hAnsi="Times New Roman" w:hint="eastAsia"/>
                <w:color w:val="000000"/>
                <w:kern w:val="0"/>
              </w:rPr>
              <w:t>Predicted intracellular proteins; Potential drug targets; ENZYME proteins:</w:t>
            </w:r>
            <w:r>
              <w:rPr>
                <w:rFonts w:ascii="Times New Roman" w:hAnsi="Times New Roman"/>
                <w:color w:val="000000"/>
                <w:kern w:val="0"/>
              </w:rPr>
              <w:t xml:space="preserve"> </w:t>
            </w:r>
            <w:r>
              <w:rPr>
                <w:rFonts w:ascii="Times New Roman" w:hAnsi="Times New Roman" w:hint="eastAsia"/>
                <w:color w:val="000000"/>
                <w:kern w:val="0"/>
              </w:rPr>
              <w:t>Hydrolases; Enzymes; Disease related genes; Cancer-related genes:</w:t>
            </w:r>
            <w:r>
              <w:rPr>
                <w:rFonts w:ascii="Times New Roman" w:hAnsi="Times New Roman"/>
                <w:color w:val="000000"/>
                <w:kern w:val="0"/>
              </w:rPr>
              <w:t xml:space="preserve"> </w:t>
            </w:r>
            <w:r>
              <w:rPr>
                <w:rFonts w:ascii="Times New Roman" w:hAnsi="Times New Roman" w:hint="eastAsia"/>
                <w:color w:val="000000"/>
                <w:kern w:val="0"/>
              </w:rPr>
              <w:t>Candidate cancer biomarkers</w:t>
            </w:r>
          </w:p>
        </w:tc>
        <w:tc>
          <w:tcPr>
            <w:tcW w:w="3900" w:type="dxa"/>
            <w:tcBorders>
              <w:top w:val="single" w:sz="4" w:space="0" w:color="auto"/>
              <w:left w:val="nil"/>
              <w:bottom w:val="single" w:sz="4" w:space="0" w:color="auto"/>
              <w:right w:val="single" w:sz="4" w:space="0" w:color="auto"/>
            </w:tcBorders>
            <w:vAlign w:val="center"/>
            <w:hideMark/>
          </w:tcPr>
          <w:p w14:paraId="038C4572" w14:textId="1BA3AD79" w:rsidR="00F9018C" w:rsidRDefault="00F9018C">
            <w:pPr>
              <w:widowControl/>
              <w:jc w:val="center"/>
              <w:textAlignment w:val="bottom"/>
              <w:rPr>
                <w:rFonts w:ascii="Times New Roman" w:hAnsi="Times New Roman"/>
                <w:color w:val="000000"/>
                <w:kern w:val="0"/>
              </w:rPr>
            </w:pPr>
            <w:r>
              <w:rPr>
                <w:rFonts w:ascii="Times New Roman" w:hAnsi="Times New Roman" w:hint="eastAsia"/>
                <w:color w:val="000000"/>
                <w:kern w:val="0"/>
              </w:rPr>
              <w:t>(M5928)</w:t>
            </w:r>
            <w:r>
              <w:rPr>
                <w:rFonts w:ascii="Times New Roman" w:hAnsi="Times New Roman"/>
                <w:color w:val="000000"/>
                <w:kern w:val="0"/>
              </w:rPr>
              <w:t xml:space="preserve"> </w:t>
            </w:r>
            <w:r>
              <w:rPr>
                <w:rFonts w:ascii="Times New Roman" w:hAnsi="Times New Roman" w:hint="eastAsia"/>
                <w:color w:val="000000"/>
                <w:kern w:val="0"/>
              </w:rPr>
              <w:t>HALLMARK MYC TARGETS V2; (M5924)</w:t>
            </w:r>
            <w:r>
              <w:rPr>
                <w:rFonts w:ascii="Times New Roman" w:hAnsi="Times New Roman"/>
                <w:color w:val="000000"/>
                <w:kern w:val="0"/>
              </w:rPr>
              <w:t xml:space="preserve"> </w:t>
            </w:r>
            <w:r>
              <w:rPr>
                <w:rFonts w:ascii="Times New Roman" w:hAnsi="Times New Roman" w:hint="eastAsia"/>
                <w:color w:val="000000"/>
                <w:kern w:val="0"/>
              </w:rPr>
              <w:t>HALLMARK MTORC1 SIGNALING; (M5926)</w:t>
            </w:r>
            <w:r>
              <w:rPr>
                <w:rFonts w:ascii="Times New Roman" w:hAnsi="Times New Roman"/>
                <w:color w:val="000000"/>
                <w:kern w:val="0"/>
              </w:rPr>
              <w:t xml:space="preserve"> </w:t>
            </w:r>
            <w:r>
              <w:rPr>
                <w:rFonts w:ascii="Times New Roman" w:hAnsi="Times New Roman" w:hint="eastAsia"/>
                <w:color w:val="000000"/>
                <w:kern w:val="0"/>
              </w:rPr>
              <w:t>HALLMARK MYC TARGETS V1</w:t>
            </w:r>
          </w:p>
        </w:tc>
      </w:tr>
    </w:tbl>
    <w:p w14:paraId="3B78C207" w14:textId="77777777" w:rsidR="00F9018C" w:rsidRPr="00F9018C" w:rsidRDefault="00F9018C">
      <w:pPr>
        <w:rPr>
          <w:rFonts w:ascii="Times New Roman" w:hAnsi="Times New Roman" w:cs="Times New Roman"/>
          <w:b/>
          <w:bCs/>
          <w:sz w:val="28"/>
          <w:szCs w:val="28"/>
        </w:rPr>
      </w:pPr>
    </w:p>
    <w:sectPr w:rsidR="00F9018C" w:rsidRPr="00F9018C" w:rsidSect="006F02AE">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CE952" w14:textId="77777777" w:rsidR="0027269A" w:rsidRDefault="0027269A" w:rsidP="00A64A99">
      <w:r>
        <w:separator/>
      </w:r>
    </w:p>
  </w:endnote>
  <w:endnote w:type="continuationSeparator" w:id="0">
    <w:p w14:paraId="7B9A7F25" w14:textId="77777777" w:rsidR="0027269A" w:rsidRDefault="0027269A" w:rsidP="00A6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83275" w14:textId="77777777" w:rsidR="0027269A" w:rsidRDefault="0027269A" w:rsidP="00A64A99">
      <w:r>
        <w:separator/>
      </w:r>
    </w:p>
  </w:footnote>
  <w:footnote w:type="continuationSeparator" w:id="0">
    <w:p w14:paraId="60AF6660" w14:textId="77777777" w:rsidR="0027269A" w:rsidRDefault="0027269A" w:rsidP="00A64A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234"/>
    <w:rsid w:val="000062B5"/>
    <w:rsid w:val="00027658"/>
    <w:rsid w:val="000553AF"/>
    <w:rsid w:val="0010346A"/>
    <w:rsid w:val="001953C7"/>
    <w:rsid w:val="001E7B82"/>
    <w:rsid w:val="0027269A"/>
    <w:rsid w:val="002E42AD"/>
    <w:rsid w:val="00302064"/>
    <w:rsid w:val="00315246"/>
    <w:rsid w:val="003157CF"/>
    <w:rsid w:val="003A0B02"/>
    <w:rsid w:val="003B1C53"/>
    <w:rsid w:val="003F0861"/>
    <w:rsid w:val="00420D70"/>
    <w:rsid w:val="004D25AA"/>
    <w:rsid w:val="005008D9"/>
    <w:rsid w:val="00517947"/>
    <w:rsid w:val="00554695"/>
    <w:rsid w:val="005D22ED"/>
    <w:rsid w:val="006B36E7"/>
    <w:rsid w:val="006E294C"/>
    <w:rsid w:val="006F02AE"/>
    <w:rsid w:val="0071566C"/>
    <w:rsid w:val="00756891"/>
    <w:rsid w:val="0076518D"/>
    <w:rsid w:val="00772755"/>
    <w:rsid w:val="007809EC"/>
    <w:rsid w:val="00806EF3"/>
    <w:rsid w:val="00886A55"/>
    <w:rsid w:val="008F7750"/>
    <w:rsid w:val="00964973"/>
    <w:rsid w:val="00A27FC1"/>
    <w:rsid w:val="00A64A99"/>
    <w:rsid w:val="00AA2C36"/>
    <w:rsid w:val="00B0554F"/>
    <w:rsid w:val="00B40227"/>
    <w:rsid w:val="00B5616D"/>
    <w:rsid w:val="00B81C57"/>
    <w:rsid w:val="00BF22BC"/>
    <w:rsid w:val="00BF7234"/>
    <w:rsid w:val="00C05851"/>
    <w:rsid w:val="00C14F78"/>
    <w:rsid w:val="00C30E98"/>
    <w:rsid w:val="00CB0453"/>
    <w:rsid w:val="00DE5E42"/>
    <w:rsid w:val="00F349B3"/>
    <w:rsid w:val="00F84ED9"/>
    <w:rsid w:val="00F901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518EF5"/>
  <w15:docId w15:val="{44A5AB7F-C5C0-489F-92BB-DE75D8AE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45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A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64A99"/>
    <w:rPr>
      <w:sz w:val="18"/>
      <w:szCs w:val="18"/>
    </w:rPr>
  </w:style>
  <w:style w:type="paragraph" w:styleId="Footer">
    <w:name w:val="footer"/>
    <w:basedOn w:val="Normal"/>
    <w:link w:val="FooterChar"/>
    <w:uiPriority w:val="99"/>
    <w:unhideWhenUsed/>
    <w:rsid w:val="00A64A9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64A99"/>
    <w:rPr>
      <w:sz w:val="18"/>
      <w:szCs w:val="18"/>
    </w:rPr>
  </w:style>
  <w:style w:type="paragraph" w:styleId="BalloonText">
    <w:name w:val="Balloon Text"/>
    <w:basedOn w:val="Normal"/>
    <w:link w:val="BalloonTextChar"/>
    <w:uiPriority w:val="99"/>
    <w:semiHidden/>
    <w:unhideWhenUsed/>
    <w:rsid w:val="00806EF3"/>
    <w:rPr>
      <w:sz w:val="18"/>
      <w:szCs w:val="18"/>
    </w:rPr>
  </w:style>
  <w:style w:type="character" w:customStyle="1" w:styleId="BalloonTextChar">
    <w:name w:val="Balloon Text Char"/>
    <w:basedOn w:val="DefaultParagraphFont"/>
    <w:link w:val="BalloonText"/>
    <w:uiPriority w:val="99"/>
    <w:semiHidden/>
    <w:rsid w:val="00806EF3"/>
    <w:rPr>
      <w:sz w:val="18"/>
      <w:szCs w:val="18"/>
    </w:rPr>
  </w:style>
  <w:style w:type="table" w:styleId="TableGrid">
    <w:name w:val="Table Grid"/>
    <w:basedOn w:val="TableNormal"/>
    <w:uiPriority w:val="99"/>
    <w:rsid w:val="00A27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49584">
      <w:bodyDiv w:val="1"/>
      <w:marLeft w:val="0"/>
      <w:marRight w:val="0"/>
      <w:marTop w:val="0"/>
      <w:marBottom w:val="0"/>
      <w:divBdr>
        <w:top w:val="none" w:sz="0" w:space="0" w:color="auto"/>
        <w:left w:val="none" w:sz="0" w:space="0" w:color="auto"/>
        <w:bottom w:val="none" w:sz="0" w:space="0" w:color="auto"/>
        <w:right w:val="none" w:sz="0" w:space="0" w:color="auto"/>
      </w:divBdr>
    </w:div>
    <w:div w:id="1080057397">
      <w:bodyDiv w:val="1"/>
      <w:marLeft w:val="0"/>
      <w:marRight w:val="0"/>
      <w:marTop w:val="0"/>
      <w:marBottom w:val="0"/>
      <w:divBdr>
        <w:top w:val="none" w:sz="0" w:space="0" w:color="auto"/>
        <w:left w:val="none" w:sz="0" w:space="0" w:color="auto"/>
        <w:bottom w:val="none" w:sz="0" w:space="0" w:color="auto"/>
        <w:right w:val="none" w:sz="0" w:space="0" w:color="auto"/>
      </w:divBdr>
    </w:div>
    <w:div w:id="110770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1410</Words>
  <Characters>8041</Characters>
  <Application>Microsoft Office Word</Application>
  <DocSecurity>0</DocSecurity>
  <Lines>67</Lines>
  <Paragraphs>18</Paragraphs>
  <ScaleCrop>false</ScaleCrop>
  <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creator>
  <cp:keywords/>
  <dc:description/>
  <cp:lastModifiedBy>Sandhya Patel</cp:lastModifiedBy>
  <cp:revision>2</cp:revision>
  <dcterms:created xsi:type="dcterms:W3CDTF">2021-06-16T15:47:00Z</dcterms:created>
  <dcterms:modified xsi:type="dcterms:W3CDTF">2021-06-16T15:47:00Z</dcterms:modified>
</cp:coreProperties>
</file>