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C122" w14:textId="77777777" w:rsidR="009D7C90" w:rsidRDefault="009D7C90" w:rsidP="002D716C">
      <w:pPr>
        <w:spacing w:before="240" w:line="240" w:lineRule="auto"/>
        <w:rPr>
          <w:rFonts w:ascii="Times New Roman" w:hAnsi="Times New Roman" w:cs="Times New Roman"/>
          <w:b/>
          <w:sz w:val="32"/>
          <w:szCs w:val="32"/>
          <w:lang w:val="en-US"/>
        </w:rPr>
      </w:pPr>
      <w:r w:rsidRPr="00D50C57">
        <w:rPr>
          <w:rFonts w:ascii="Times New Roman" w:hAnsi="Times New Roman" w:cs="Times New Roman"/>
          <w:b/>
          <w:sz w:val="32"/>
          <w:szCs w:val="32"/>
          <w:lang w:val="en-US"/>
        </w:rPr>
        <w:t xml:space="preserve">Barley </w:t>
      </w:r>
      <w:proofErr w:type="spellStart"/>
      <w:r w:rsidRPr="00D50C57">
        <w:rPr>
          <w:rFonts w:ascii="Times New Roman" w:hAnsi="Times New Roman" w:cs="Times New Roman"/>
          <w:b/>
          <w:sz w:val="32"/>
          <w:szCs w:val="32"/>
          <w:lang w:val="en-US"/>
        </w:rPr>
        <w:t>nepenthesin</w:t>
      </w:r>
      <w:proofErr w:type="spellEnd"/>
      <w:r w:rsidRPr="00D50C57">
        <w:rPr>
          <w:rFonts w:ascii="Times New Roman" w:hAnsi="Times New Roman" w:cs="Times New Roman"/>
          <w:b/>
          <w:sz w:val="32"/>
          <w:szCs w:val="32"/>
          <w:lang w:val="en-US"/>
        </w:rPr>
        <w:t xml:space="preserve">-like aspartic protease HvNEP-1 degrades </w:t>
      </w:r>
      <w:r w:rsidRPr="00D50C57">
        <w:rPr>
          <w:rFonts w:ascii="Times New Roman" w:hAnsi="Times New Roman" w:cs="Times New Roman"/>
          <w:b/>
          <w:i/>
          <w:sz w:val="32"/>
          <w:szCs w:val="32"/>
          <w:lang w:val="en-US"/>
        </w:rPr>
        <w:t>Fusarium</w:t>
      </w:r>
      <w:r w:rsidRPr="00D50C57">
        <w:rPr>
          <w:rFonts w:ascii="Times New Roman" w:hAnsi="Times New Roman" w:cs="Times New Roman"/>
          <w:b/>
          <w:sz w:val="32"/>
          <w:szCs w:val="32"/>
          <w:lang w:val="en-US"/>
        </w:rPr>
        <w:t xml:space="preserve"> phytase, impairs toxin production and suppresses the fungal growth</w:t>
      </w:r>
    </w:p>
    <w:p w14:paraId="2E8FF178" w14:textId="52A3C51A" w:rsidR="00B40718" w:rsidRPr="00C23B89" w:rsidRDefault="00B40718" w:rsidP="002D716C">
      <w:pPr>
        <w:spacing w:before="240" w:line="240" w:lineRule="auto"/>
        <w:rPr>
          <w:rFonts w:ascii="Times New Roman" w:hAnsi="Times New Roman" w:cs="Times New Roman"/>
          <w:sz w:val="24"/>
          <w:szCs w:val="24"/>
          <w:lang w:val="en-US"/>
        </w:rPr>
      </w:pPr>
      <w:r w:rsidRPr="00C23B89">
        <w:rPr>
          <w:rFonts w:ascii="Times New Roman" w:hAnsi="Times New Roman" w:cs="Times New Roman"/>
          <w:sz w:val="24"/>
          <w:szCs w:val="24"/>
          <w:lang w:val="en-US"/>
        </w:rPr>
        <w:t>Zelalem Eshetu Bekalu</w:t>
      </w:r>
      <w:r w:rsidRPr="00C23B89">
        <w:rPr>
          <w:rFonts w:ascii="Times New Roman" w:hAnsi="Times New Roman" w:cs="Times New Roman"/>
          <w:sz w:val="24"/>
          <w:szCs w:val="24"/>
          <w:vertAlign w:val="superscript"/>
          <w:lang w:val="en-US"/>
        </w:rPr>
        <w:t>1</w:t>
      </w:r>
      <w:r w:rsidRPr="00C23B89">
        <w:rPr>
          <w:rFonts w:ascii="Times New Roman" w:hAnsi="Times New Roman" w:cs="Times New Roman"/>
          <w:sz w:val="24"/>
          <w:szCs w:val="24"/>
          <w:lang w:val="en-US"/>
        </w:rPr>
        <w:t>, Giuseppe Dionisio</w:t>
      </w:r>
      <w:r w:rsidRPr="00C23B89">
        <w:rPr>
          <w:rFonts w:ascii="Times New Roman" w:hAnsi="Times New Roman" w:cs="Times New Roman"/>
          <w:sz w:val="24"/>
          <w:szCs w:val="24"/>
          <w:vertAlign w:val="superscript"/>
          <w:lang w:val="en-US"/>
        </w:rPr>
        <w:t>1</w:t>
      </w:r>
      <w:r w:rsidRPr="00C23B89">
        <w:rPr>
          <w:rFonts w:ascii="Times New Roman" w:hAnsi="Times New Roman" w:cs="Times New Roman"/>
          <w:sz w:val="24"/>
          <w:szCs w:val="24"/>
          <w:lang w:val="en-US"/>
        </w:rPr>
        <w:t>,</w:t>
      </w:r>
      <w:r w:rsidR="007F6EC4" w:rsidRPr="00C23B89">
        <w:rPr>
          <w:rFonts w:ascii="Times New Roman" w:hAnsi="Times New Roman" w:cs="Times New Roman"/>
          <w:sz w:val="24"/>
          <w:szCs w:val="24"/>
          <w:lang w:val="en-US"/>
        </w:rPr>
        <w:t xml:space="preserve"> Claus Krogh Madsen</w:t>
      </w:r>
      <w:r w:rsidR="007F6EC4" w:rsidRPr="00C23B89">
        <w:rPr>
          <w:rFonts w:ascii="Times New Roman" w:hAnsi="Times New Roman" w:cs="Times New Roman"/>
          <w:sz w:val="24"/>
          <w:szCs w:val="24"/>
          <w:vertAlign w:val="superscript"/>
          <w:lang w:val="en-US"/>
        </w:rPr>
        <w:t>1</w:t>
      </w:r>
      <w:r w:rsidR="007F6EC4" w:rsidRPr="00C23B89">
        <w:rPr>
          <w:rFonts w:ascii="Times New Roman" w:hAnsi="Times New Roman" w:cs="Times New Roman"/>
          <w:sz w:val="24"/>
          <w:szCs w:val="24"/>
          <w:lang w:val="en-US"/>
        </w:rPr>
        <w:t xml:space="preserve">, </w:t>
      </w:r>
      <w:r w:rsidRPr="00C23B89">
        <w:rPr>
          <w:rFonts w:ascii="Times New Roman" w:hAnsi="Times New Roman" w:cs="Times New Roman"/>
          <w:sz w:val="24"/>
          <w:szCs w:val="24"/>
          <w:lang w:val="en-US"/>
        </w:rPr>
        <w:t>Thomas Etzerodt</w:t>
      </w:r>
      <w:r w:rsidR="002D716C">
        <w:rPr>
          <w:rFonts w:ascii="Times New Roman" w:hAnsi="Times New Roman" w:cs="Times New Roman"/>
          <w:sz w:val="24"/>
          <w:szCs w:val="24"/>
          <w:vertAlign w:val="superscript"/>
          <w:lang w:val="en-US"/>
        </w:rPr>
        <w:t>1</w:t>
      </w:r>
      <w:r w:rsidRPr="00C23B89">
        <w:rPr>
          <w:rFonts w:ascii="Times New Roman" w:hAnsi="Times New Roman" w:cs="Times New Roman"/>
          <w:sz w:val="24"/>
          <w:szCs w:val="24"/>
          <w:lang w:val="en-US"/>
        </w:rPr>
        <w:t>, Inge S. Fomsgaard</w:t>
      </w:r>
      <w:r w:rsidR="002D716C">
        <w:rPr>
          <w:rFonts w:ascii="Times New Roman" w:hAnsi="Times New Roman" w:cs="Times New Roman"/>
          <w:sz w:val="24"/>
          <w:szCs w:val="24"/>
          <w:vertAlign w:val="superscript"/>
          <w:lang w:val="en-US"/>
        </w:rPr>
        <w:t>1</w:t>
      </w:r>
      <w:r w:rsidRPr="00C23B89">
        <w:rPr>
          <w:rFonts w:ascii="Times New Roman" w:hAnsi="Times New Roman" w:cs="Times New Roman"/>
          <w:sz w:val="24"/>
          <w:szCs w:val="24"/>
          <w:lang w:val="en-US"/>
        </w:rPr>
        <w:t xml:space="preserve"> and Henrik Brinch-Pedersen</w:t>
      </w:r>
      <w:r w:rsidRPr="00C23B89">
        <w:rPr>
          <w:rFonts w:ascii="Times New Roman" w:hAnsi="Times New Roman" w:cs="Times New Roman"/>
          <w:sz w:val="24"/>
          <w:szCs w:val="24"/>
          <w:vertAlign w:val="superscript"/>
          <w:lang w:val="en-US"/>
        </w:rPr>
        <w:t>1</w:t>
      </w:r>
    </w:p>
    <w:p w14:paraId="50691D8E" w14:textId="77777777" w:rsidR="008C17A2" w:rsidRPr="00C23B89" w:rsidRDefault="008C17A2" w:rsidP="002D716C">
      <w:pPr>
        <w:spacing w:before="240" w:line="240" w:lineRule="auto"/>
        <w:rPr>
          <w:rFonts w:ascii="Times New Roman" w:hAnsi="Times New Roman" w:cs="Times New Roman"/>
          <w:sz w:val="24"/>
          <w:szCs w:val="24"/>
          <w:vertAlign w:val="superscript"/>
          <w:lang w:val="en-US"/>
        </w:rPr>
      </w:pPr>
    </w:p>
    <w:p w14:paraId="632F5026" w14:textId="7BC6E725" w:rsidR="00B40718" w:rsidRPr="00C23B89" w:rsidRDefault="00B40718" w:rsidP="002D716C">
      <w:pPr>
        <w:spacing w:before="240" w:line="240" w:lineRule="auto"/>
        <w:rPr>
          <w:rFonts w:ascii="Times New Roman" w:hAnsi="Times New Roman" w:cs="Times New Roman"/>
          <w:sz w:val="24"/>
          <w:szCs w:val="24"/>
          <w:lang w:val="en-US"/>
        </w:rPr>
      </w:pPr>
      <w:r w:rsidRPr="00C23B89">
        <w:rPr>
          <w:rFonts w:ascii="Times New Roman" w:hAnsi="Times New Roman" w:cs="Times New Roman"/>
          <w:sz w:val="24"/>
          <w:szCs w:val="24"/>
          <w:vertAlign w:val="superscript"/>
          <w:lang w:val="en-US"/>
        </w:rPr>
        <w:t xml:space="preserve">1 </w:t>
      </w:r>
      <w:r w:rsidRPr="00C23B89">
        <w:rPr>
          <w:rFonts w:ascii="Times New Roman" w:hAnsi="Times New Roman" w:cs="Times New Roman"/>
          <w:sz w:val="24"/>
          <w:szCs w:val="24"/>
          <w:lang w:val="en-US"/>
        </w:rPr>
        <w:t xml:space="preserve">Department of </w:t>
      </w:r>
      <w:r w:rsidR="008C17A2" w:rsidRPr="00C23B89">
        <w:rPr>
          <w:rFonts w:ascii="Times New Roman" w:hAnsi="Times New Roman" w:cs="Times New Roman"/>
          <w:sz w:val="24"/>
          <w:szCs w:val="24"/>
          <w:lang w:val="en-US"/>
        </w:rPr>
        <w:t>Agroecology</w:t>
      </w:r>
      <w:r w:rsidRPr="00C23B89">
        <w:rPr>
          <w:rFonts w:ascii="Times New Roman" w:hAnsi="Times New Roman" w:cs="Times New Roman"/>
          <w:sz w:val="24"/>
          <w:szCs w:val="24"/>
          <w:lang w:val="en-US"/>
        </w:rPr>
        <w:t>, Research Center Flakkebjerg, Aarhus University, DK-4200 Slagelse, Denmark</w:t>
      </w:r>
    </w:p>
    <w:p w14:paraId="59B54784" w14:textId="640D31FF" w:rsidR="00530EF4" w:rsidRDefault="00530EF4" w:rsidP="00711EFA">
      <w:pPr>
        <w:spacing w:after="200" w:line="480" w:lineRule="auto"/>
        <w:rPr>
          <w:rFonts w:ascii="Times New Roman" w:eastAsia="Calibri" w:hAnsi="Times New Roman" w:cs="Times New Roman"/>
          <w:b/>
          <w:sz w:val="28"/>
          <w:szCs w:val="28"/>
          <w:lang w:val="en-US"/>
        </w:rPr>
      </w:pPr>
    </w:p>
    <w:p w14:paraId="6943E651" w14:textId="77777777" w:rsidR="001C3F0A" w:rsidRPr="00C23B89" w:rsidRDefault="001C3F0A" w:rsidP="00711EFA">
      <w:pPr>
        <w:spacing w:after="200" w:line="480" w:lineRule="auto"/>
        <w:rPr>
          <w:rFonts w:ascii="Times New Roman" w:eastAsia="Calibri" w:hAnsi="Times New Roman" w:cs="Times New Roman"/>
          <w:b/>
          <w:sz w:val="28"/>
          <w:szCs w:val="28"/>
          <w:lang w:val="en-US"/>
        </w:rPr>
      </w:pPr>
    </w:p>
    <w:p w14:paraId="7BC16E4A" w14:textId="77777777" w:rsidR="00645603" w:rsidRPr="00C23B89" w:rsidRDefault="00B40718" w:rsidP="00711EFA">
      <w:pPr>
        <w:spacing w:after="200" w:line="480" w:lineRule="auto"/>
        <w:rPr>
          <w:rFonts w:ascii="Times New Roman" w:eastAsia="Calibri" w:hAnsi="Times New Roman" w:cs="Times New Roman"/>
          <w:b/>
          <w:sz w:val="28"/>
          <w:szCs w:val="28"/>
          <w:lang w:val="en-US"/>
        </w:rPr>
      </w:pPr>
      <w:r w:rsidRPr="00C23B89">
        <w:rPr>
          <w:rFonts w:ascii="Times New Roman" w:eastAsia="Calibri" w:hAnsi="Times New Roman" w:cs="Times New Roman"/>
          <w:b/>
          <w:sz w:val="28"/>
          <w:szCs w:val="28"/>
          <w:lang w:val="en-US"/>
        </w:rPr>
        <w:t xml:space="preserve"> </w:t>
      </w:r>
    </w:p>
    <w:p w14:paraId="46B10E49" w14:textId="77777777" w:rsidR="00645603" w:rsidRPr="00C23B89" w:rsidRDefault="00645603" w:rsidP="00711EFA">
      <w:pPr>
        <w:spacing w:after="200" w:line="480" w:lineRule="auto"/>
        <w:rPr>
          <w:rFonts w:ascii="Times New Roman" w:eastAsia="Calibri" w:hAnsi="Times New Roman" w:cs="Times New Roman"/>
          <w:b/>
          <w:sz w:val="28"/>
          <w:szCs w:val="28"/>
          <w:lang w:val="en-US"/>
        </w:rPr>
      </w:pPr>
    </w:p>
    <w:p w14:paraId="117DD4AC" w14:textId="1583EEEF" w:rsidR="00645603" w:rsidRDefault="00645603" w:rsidP="00711EFA">
      <w:pPr>
        <w:spacing w:after="200" w:line="480" w:lineRule="auto"/>
        <w:rPr>
          <w:rFonts w:ascii="Times New Roman" w:eastAsia="Calibri" w:hAnsi="Times New Roman" w:cs="Times New Roman"/>
          <w:b/>
          <w:sz w:val="28"/>
          <w:szCs w:val="28"/>
          <w:lang w:val="en-US"/>
        </w:rPr>
      </w:pPr>
    </w:p>
    <w:p w14:paraId="01720744" w14:textId="77777777" w:rsidR="002D716C" w:rsidRDefault="002D716C" w:rsidP="00711EFA">
      <w:pPr>
        <w:spacing w:after="200" w:line="480" w:lineRule="auto"/>
        <w:rPr>
          <w:rFonts w:ascii="Times New Roman" w:eastAsia="Calibri" w:hAnsi="Times New Roman" w:cs="Times New Roman"/>
          <w:b/>
          <w:sz w:val="28"/>
          <w:szCs w:val="28"/>
          <w:lang w:val="en-US"/>
        </w:rPr>
      </w:pPr>
    </w:p>
    <w:p w14:paraId="3BC1DCA4" w14:textId="77777777" w:rsidR="002D716C" w:rsidRPr="00C23B89" w:rsidRDefault="002D716C" w:rsidP="00711EFA">
      <w:pPr>
        <w:spacing w:after="200" w:line="480" w:lineRule="auto"/>
        <w:rPr>
          <w:rFonts w:ascii="Times New Roman" w:eastAsia="Calibri" w:hAnsi="Times New Roman" w:cs="Times New Roman"/>
          <w:b/>
          <w:sz w:val="28"/>
          <w:szCs w:val="28"/>
          <w:lang w:val="en-US"/>
        </w:rPr>
      </w:pPr>
    </w:p>
    <w:p w14:paraId="23548F45" w14:textId="0DE582C5" w:rsidR="00645603" w:rsidRDefault="00645603" w:rsidP="00711EFA">
      <w:pPr>
        <w:spacing w:after="200" w:line="480" w:lineRule="auto"/>
        <w:rPr>
          <w:rFonts w:ascii="Times New Roman" w:eastAsia="Calibri" w:hAnsi="Times New Roman" w:cs="Times New Roman"/>
          <w:b/>
          <w:sz w:val="28"/>
          <w:szCs w:val="28"/>
          <w:lang w:val="en-US"/>
        </w:rPr>
      </w:pPr>
    </w:p>
    <w:p w14:paraId="38D66C4D" w14:textId="77777777" w:rsidR="0086460F" w:rsidRPr="00C23B89" w:rsidRDefault="0086460F" w:rsidP="00711EFA">
      <w:pPr>
        <w:spacing w:after="200" w:line="480" w:lineRule="auto"/>
        <w:rPr>
          <w:rFonts w:ascii="Times New Roman" w:eastAsia="Calibri" w:hAnsi="Times New Roman" w:cs="Times New Roman"/>
          <w:b/>
          <w:sz w:val="28"/>
          <w:szCs w:val="28"/>
          <w:lang w:val="en-US"/>
        </w:rPr>
      </w:pPr>
    </w:p>
    <w:p w14:paraId="7E091A29" w14:textId="5F37C3A7" w:rsidR="00645603" w:rsidRDefault="00645603" w:rsidP="00711EFA">
      <w:pPr>
        <w:spacing w:after="200" w:line="480" w:lineRule="auto"/>
        <w:rPr>
          <w:rFonts w:ascii="Times New Roman" w:eastAsia="Calibri" w:hAnsi="Times New Roman" w:cs="Times New Roman"/>
          <w:b/>
          <w:sz w:val="28"/>
          <w:szCs w:val="28"/>
          <w:lang w:val="en-US"/>
        </w:rPr>
      </w:pPr>
    </w:p>
    <w:p w14:paraId="7959B6AE" w14:textId="77777777" w:rsidR="00646DEA" w:rsidRPr="00C23B89" w:rsidRDefault="00646DEA" w:rsidP="00711EFA">
      <w:pPr>
        <w:spacing w:after="200" w:line="480" w:lineRule="auto"/>
        <w:rPr>
          <w:rFonts w:ascii="Times New Roman" w:eastAsia="Calibri" w:hAnsi="Times New Roman" w:cs="Times New Roman"/>
          <w:b/>
          <w:sz w:val="28"/>
          <w:szCs w:val="28"/>
          <w:lang w:val="en-US"/>
        </w:rPr>
      </w:pPr>
    </w:p>
    <w:p w14:paraId="3E3D9DC4" w14:textId="77777777" w:rsidR="00645603" w:rsidRPr="00C23B89" w:rsidRDefault="00645603" w:rsidP="00711EFA">
      <w:pPr>
        <w:spacing w:after="200" w:line="480" w:lineRule="auto"/>
        <w:rPr>
          <w:rFonts w:ascii="Times New Roman" w:eastAsia="Calibri" w:hAnsi="Times New Roman" w:cs="Times New Roman"/>
          <w:b/>
          <w:sz w:val="28"/>
          <w:szCs w:val="28"/>
          <w:lang w:val="en-US"/>
        </w:rPr>
      </w:pPr>
    </w:p>
    <w:p w14:paraId="4DF298F3" w14:textId="369B2E1F" w:rsidR="00711EFA" w:rsidRPr="00C23B89" w:rsidRDefault="00246D09" w:rsidP="00711EFA">
      <w:pPr>
        <w:spacing w:after="200" w:line="480" w:lineRule="auto"/>
        <w:rPr>
          <w:rFonts w:ascii="Times New Roman" w:eastAsia="Calibri" w:hAnsi="Times New Roman" w:cs="Times New Roman"/>
          <w:b/>
          <w:sz w:val="28"/>
          <w:szCs w:val="28"/>
          <w:lang w:val="en-US"/>
        </w:rPr>
      </w:pPr>
      <w:r w:rsidRPr="00C23B89">
        <w:rPr>
          <w:rFonts w:ascii="Times New Roman" w:eastAsia="Calibri" w:hAnsi="Times New Roman" w:cs="Times New Roman"/>
          <w:b/>
          <w:sz w:val="28"/>
          <w:szCs w:val="28"/>
          <w:lang w:val="en-US"/>
        </w:rPr>
        <w:lastRenderedPageBreak/>
        <w:t>S</w:t>
      </w:r>
      <w:r w:rsidR="0086460F" w:rsidRPr="00C23B89">
        <w:rPr>
          <w:rFonts w:ascii="Times New Roman" w:eastAsia="Calibri" w:hAnsi="Times New Roman" w:cs="Times New Roman"/>
          <w:b/>
          <w:sz w:val="28"/>
          <w:szCs w:val="28"/>
          <w:lang w:val="en-US"/>
        </w:rPr>
        <w:t xml:space="preserve">upplementary information </w:t>
      </w:r>
    </w:p>
    <w:p w14:paraId="6F87B4FE" w14:textId="77777777" w:rsidR="00711EFA" w:rsidRPr="00C23B89" w:rsidRDefault="00F212AE" w:rsidP="00F212AE">
      <w:pPr>
        <w:spacing w:after="200" w:line="276" w:lineRule="auto"/>
        <w:rPr>
          <w:rFonts w:ascii="Times New Roman" w:eastAsia="Calibri" w:hAnsi="Times New Roman" w:cs="Times New Roman"/>
          <w:b/>
          <w:sz w:val="28"/>
          <w:szCs w:val="28"/>
          <w:lang w:val="en-US"/>
        </w:rPr>
      </w:pPr>
      <w:r w:rsidRPr="00C23B89">
        <w:rPr>
          <w:rFonts w:ascii="Times New Roman" w:hAnsi="Times New Roman" w:cs="Times New Roman"/>
          <w:noProof/>
          <w:lang w:val="en-US" w:eastAsia="da-DK"/>
        </w:rPr>
        <w:t xml:space="preserve">   </w:t>
      </w:r>
      <w:r w:rsidR="008169A2" w:rsidRPr="00C23B89">
        <w:rPr>
          <w:rFonts w:ascii="Times New Roman" w:hAnsi="Times New Roman" w:cs="Times New Roman"/>
          <w:noProof/>
          <w:lang w:val="en-US" w:eastAsia="da-DK"/>
        </w:rPr>
        <w:t xml:space="preserve">           </w:t>
      </w:r>
      <w:r w:rsidR="00FB22AC" w:rsidRPr="00C23B89">
        <w:rPr>
          <w:rFonts w:ascii="Times New Roman" w:hAnsi="Times New Roman" w:cs="Times New Roman"/>
          <w:noProof/>
          <w:lang w:val="en-US" w:eastAsia="da-DK"/>
        </w:rPr>
        <w:t xml:space="preserve">          </w:t>
      </w:r>
      <w:r w:rsidR="00B72A01" w:rsidRPr="00C23B89">
        <w:rPr>
          <w:rFonts w:ascii="Times New Roman" w:hAnsi="Times New Roman" w:cs="Times New Roman"/>
          <w:noProof/>
          <w:lang w:val="en-US" w:eastAsia="da-DK"/>
        </w:rPr>
        <w:t xml:space="preserve">       </w:t>
      </w:r>
      <w:r w:rsidRPr="00C23B89">
        <w:rPr>
          <w:rFonts w:ascii="Times New Roman" w:hAnsi="Times New Roman" w:cs="Times New Roman"/>
          <w:noProof/>
          <w:lang w:val="en-US"/>
        </w:rPr>
        <w:drawing>
          <wp:inline distT="0" distB="0" distL="0" distR="0" wp14:anchorId="7CF47E5B" wp14:editId="4AA07519">
            <wp:extent cx="3065172" cy="4043419"/>
            <wp:effectExtent l="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3091196" cy="4077749"/>
                    </a:xfrm>
                    <a:prstGeom prst="rect">
                      <a:avLst/>
                    </a:prstGeom>
                  </pic:spPr>
                </pic:pic>
              </a:graphicData>
            </a:graphic>
          </wp:inline>
        </w:drawing>
      </w:r>
      <w:r w:rsidR="00FB22AC" w:rsidRPr="00C23B89">
        <w:rPr>
          <w:rFonts w:ascii="Times New Roman" w:hAnsi="Times New Roman" w:cs="Times New Roman"/>
          <w:noProof/>
          <w:lang w:val="en-US" w:eastAsia="da-DK"/>
        </w:rPr>
        <w:t xml:space="preserve">                </w:t>
      </w:r>
      <w:r w:rsidR="00FB22AC" w:rsidRPr="00C23B89">
        <w:rPr>
          <w:rFonts w:ascii="Times New Roman" w:hAnsi="Times New Roman" w:cs="Times New Roman"/>
          <w:noProof/>
          <w:lang w:val="en-US"/>
        </w:rPr>
        <w:drawing>
          <wp:inline distT="0" distB="0" distL="0" distR="0" wp14:anchorId="08B92CA8" wp14:editId="42F2E413">
            <wp:extent cx="5512158" cy="67747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01374" cy="688436"/>
                    </a:xfrm>
                    <a:prstGeom prst="rect">
                      <a:avLst/>
                    </a:prstGeom>
                  </pic:spPr>
                </pic:pic>
              </a:graphicData>
            </a:graphic>
          </wp:inline>
        </w:drawing>
      </w:r>
    </w:p>
    <w:p w14:paraId="44376BDC" w14:textId="77777777" w:rsidR="00FB22AC" w:rsidRPr="00C23B89" w:rsidRDefault="00BF33BD" w:rsidP="00F212AE">
      <w:pPr>
        <w:spacing w:before="360" w:after="200" w:line="480" w:lineRule="auto"/>
        <w:rPr>
          <w:rFonts w:ascii="Times New Roman" w:eastAsia="Calibri" w:hAnsi="Times New Roman" w:cs="Times New Roman"/>
          <w:sz w:val="24"/>
          <w:szCs w:val="24"/>
          <w:lang w:val="en-US"/>
        </w:rPr>
      </w:pPr>
      <w:bookmarkStart w:id="0" w:name="OLE_LINK2"/>
      <w:r w:rsidRPr="00C23B89">
        <w:rPr>
          <w:rFonts w:ascii="Times New Roman" w:eastAsia="Calibri" w:hAnsi="Times New Roman" w:cs="Times New Roman"/>
          <w:b/>
          <w:sz w:val="24"/>
          <w:szCs w:val="24"/>
          <w:lang w:val="en-US"/>
        </w:rPr>
        <w:t xml:space="preserve">Figure </w:t>
      </w:r>
      <w:r w:rsidR="003D3A17" w:rsidRPr="00C23B89">
        <w:rPr>
          <w:rFonts w:ascii="Times New Roman" w:eastAsia="Calibri" w:hAnsi="Times New Roman" w:cs="Times New Roman"/>
          <w:b/>
          <w:sz w:val="24"/>
          <w:szCs w:val="24"/>
          <w:lang w:val="en-US"/>
        </w:rPr>
        <w:t>1</w:t>
      </w:r>
      <w:r w:rsidR="008F64F8" w:rsidRPr="00C23B89">
        <w:rPr>
          <w:rFonts w:ascii="Times New Roman" w:eastAsia="Calibri" w:hAnsi="Times New Roman" w:cs="Times New Roman"/>
          <w:b/>
          <w:sz w:val="24"/>
          <w:szCs w:val="24"/>
          <w:lang w:val="en-US"/>
        </w:rPr>
        <w:t>:</w:t>
      </w:r>
      <w:r w:rsidR="00711EFA" w:rsidRPr="00C23B89">
        <w:rPr>
          <w:rFonts w:ascii="Times New Roman" w:eastAsia="Calibri" w:hAnsi="Times New Roman" w:cs="Times New Roman"/>
          <w:b/>
          <w:sz w:val="28"/>
          <w:szCs w:val="28"/>
          <w:lang w:val="en-US"/>
        </w:rPr>
        <w:t xml:space="preserve"> </w:t>
      </w:r>
      <w:r w:rsidR="00711EFA" w:rsidRPr="00C23B89">
        <w:rPr>
          <w:rFonts w:ascii="Times New Roman" w:eastAsia="Calibri" w:hAnsi="Times New Roman" w:cs="Times New Roman"/>
          <w:sz w:val="24"/>
          <w:szCs w:val="24"/>
          <w:lang w:val="en-US"/>
        </w:rPr>
        <w:t xml:space="preserve">The predicted </w:t>
      </w:r>
      <w:r w:rsidR="006F06C2" w:rsidRPr="00C23B89">
        <w:rPr>
          <w:rFonts w:ascii="Times New Roman" w:eastAsia="Calibri" w:hAnsi="Times New Roman" w:cs="Times New Roman"/>
          <w:sz w:val="24"/>
          <w:szCs w:val="24"/>
          <w:lang w:val="en-US"/>
        </w:rPr>
        <w:t>tertiary structure</w:t>
      </w:r>
      <w:r w:rsidR="00735F09" w:rsidRPr="00C23B89">
        <w:rPr>
          <w:rFonts w:ascii="Times New Roman" w:eastAsia="Calibri" w:hAnsi="Times New Roman" w:cs="Times New Roman"/>
          <w:sz w:val="24"/>
          <w:szCs w:val="24"/>
          <w:lang w:val="en-US"/>
        </w:rPr>
        <w:t xml:space="preserve"> of HvNEP-1. Structure prediction and annotation was performed using the Swiss-Model (</w:t>
      </w:r>
      <w:hyperlink r:id="rId8" w:history="1">
        <w:r w:rsidR="00735F09" w:rsidRPr="00C23B89">
          <w:rPr>
            <w:rStyle w:val="Hyperlink"/>
            <w:rFonts w:ascii="Times New Roman" w:hAnsi="Times New Roman" w:cs="Times New Roman"/>
            <w:sz w:val="24"/>
            <w:szCs w:val="24"/>
            <w:lang w:val="en-US"/>
          </w:rPr>
          <w:t>https://www.swissmodel.expasy.org/</w:t>
        </w:r>
      </w:hyperlink>
      <w:r w:rsidR="00735F09" w:rsidRPr="00C23B89">
        <w:rPr>
          <w:rFonts w:ascii="Times New Roman" w:hAnsi="Times New Roman" w:cs="Times New Roman"/>
          <w:sz w:val="24"/>
          <w:szCs w:val="24"/>
          <w:lang w:val="en-US"/>
        </w:rPr>
        <w:t xml:space="preserve">) and </w:t>
      </w:r>
      <w:r w:rsidR="00735F09" w:rsidRPr="00C23B89">
        <w:rPr>
          <w:rFonts w:ascii="Times New Roman" w:eastAsia="Calibri" w:hAnsi="Times New Roman" w:cs="Times New Roman"/>
          <w:sz w:val="24"/>
          <w:szCs w:val="24"/>
          <w:lang w:val="en-US"/>
        </w:rPr>
        <w:t>Swiss PDB viewer (</w:t>
      </w:r>
      <w:hyperlink r:id="rId9" w:history="1">
        <w:r w:rsidR="00735F09" w:rsidRPr="00C23B89">
          <w:rPr>
            <w:rStyle w:val="Hyperlink"/>
            <w:rFonts w:ascii="Times New Roman" w:hAnsi="Times New Roman" w:cs="Times New Roman"/>
            <w:sz w:val="24"/>
            <w:szCs w:val="24"/>
            <w:lang w:val="en-US"/>
          </w:rPr>
          <w:t>https://spdbv.vital-it.ch/</w:t>
        </w:r>
      </w:hyperlink>
      <w:r w:rsidR="00735F09" w:rsidRPr="00C23B89">
        <w:rPr>
          <w:rFonts w:ascii="Times New Roman" w:hAnsi="Times New Roman" w:cs="Times New Roman"/>
          <w:sz w:val="24"/>
          <w:szCs w:val="24"/>
          <w:lang w:val="en-US"/>
        </w:rPr>
        <w:t>)</w:t>
      </w:r>
      <w:r w:rsidR="004E0955" w:rsidRPr="00C23B89">
        <w:rPr>
          <w:rFonts w:ascii="Times New Roman" w:hAnsi="Times New Roman" w:cs="Times New Roman"/>
          <w:sz w:val="24"/>
          <w:szCs w:val="24"/>
          <w:lang w:val="en-US"/>
        </w:rPr>
        <w:t xml:space="preserve">, respectively. </w:t>
      </w:r>
      <w:r w:rsidR="003F2110" w:rsidRPr="00C23B89">
        <w:rPr>
          <w:rFonts w:ascii="Times New Roman" w:hAnsi="Times New Roman" w:cs="Times New Roman"/>
          <w:sz w:val="24"/>
          <w:szCs w:val="24"/>
          <w:lang w:val="en-US"/>
        </w:rPr>
        <w:t xml:space="preserve">The </w:t>
      </w:r>
      <w:proofErr w:type="spellStart"/>
      <w:r w:rsidR="003F2110" w:rsidRPr="00C23B89">
        <w:rPr>
          <w:rFonts w:ascii="Times New Roman" w:hAnsi="Times New Roman" w:cs="Times New Roman"/>
          <w:sz w:val="24"/>
          <w:szCs w:val="24"/>
          <w:lang w:val="en-US"/>
        </w:rPr>
        <w:t>Taxi_N</w:t>
      </w:r>
      <w:proofErr w:type="spellEnd"/>
      <w:r w:rsidR="003F2110" w:rsidRPr="00C23B89">
        <w:rPr>
          <w:rFonts w:ascii="Times New Roman" w:hAnsi="Times New Roman" w:cs="Times New Roman"/>
          <w:sz w:val="24"/>
          <w:szCs w:val="24"/>
          <w:lang w:val="en-US"/>
        </w:rPr>
        <w:t xml:space="preserve"> and </w:t>
      </w:r>
      <w:proofErr w:type="spellStart"/>
      <w:r w:rsidR="003F2110" w:rsidRPr="00C23B89">
        <w:rPr>
          <w:rFonts w:ascii="Times New Roman" w:hAnsi="Times New Roman" w:cs="Times New Roman"/>
          <w:sz w:val="24"/>
          <w:szCs w:val="24"/>
          <w:lang w:val="en-US"/>
        </w:rPr>
        <w:t>Taxi_C</w:t>
      </w:r>
      <w:proofErr w:type="spellEnd"/>
      <w:r w:rsidR="003F2110" w:rsidRPr="00C23B89">
        <w:rPr>
          <w:rFonts w:ascii="Times New Roman" w:hAnsi="Times New Roman" w:cs="Times New Roman"/>
          <w:sz w:val="24"/>
          <w:szCs w:val="24"/>
          <w:lang w:val="en-US"/>
        </w:rPr>
        <w:t xml:space="preserve"> domains from the </w:t>
      </w:r>
      <w:r w:rsidR="00372F56" w:rsidRPr="00C23B89">
        <w:rPr>
          <w:rFonts w:ascii="Times New Roman" w:hAnsi="Times New Roman" w:cs="Times New Roman"/>
          <w:sz w:val="24"/>
          <w:szCs w:val="24"/>
          <w:lang w:val="en-US"/>
        </w:rPr>
        <w:t>profile-</w:t>
      </w:r>
      <w:r w:rsidR="003F2110" w:rsidRPr="00C23B89">
        <w:rPr>
          <w:rFonts w:ascii="Times New Roman" w:hAnsi="Times New Roman" w:cs="Times New Roman"/>
          <w:sz w:val="24"/>
          <w:szCs w:val="24"/>
          <w:lang w:val="en-US"/>
        </w:rPr>
        <w:t xml:space="preserve">HMM </w:t>
      </w:r>
      <w:r w:rsidR="00372F56" w:rsidRPr="00C23B89">
        <w:rPr>
          <w:rFonts w:ascii="Times New Roman" w:hAnsi="Times New Roman" w:cs="Times New Roman"/>
          <w:sz w:val="24"/>
          <w:szCs w:val="24"/>
          <w:lang w:val="en-US"/>
        </w:rPr>
        <w:t>scan of the HvNEP-1 sequence. Both domains</w:t>
      </w:r>
      <w:r w:rsidR="004E0955" w:rsidRPr="00C23B89">
        <w:rPr>
          <w:rFonts w:ascii="Times New Roman" w:hAnsi="Times New Roman" w:cs="Times New Roman"/>
          <w:sz w:val="24"/>
          <w:szCs w:val="24"/>
          <w:lang w:val="en-US"/>
        </w:rPr>
        <w:t xml:space="preserve"> are </w:t>
      </w:r>
      <w:r w:rsidR="00372F56" w:rsidRPr="00C23B89">
        <w:rPr>
          <w:rFonts w:ascii="Times New Roman" w:hAnsi="Times New Roman" w:cs="Times New Roman"/>
          <w:sz w:val="24"/>
          <w:szCs w:val="24"/>
          <w:lang w:val="en-US"/>
        </w:rPr>
        <w:t>shown</w:t>
      </w:r>
      <w:r w:rsidR="004E0955" w:rsidRPr="00C23B89">
        <w:rPr>
          <w:rFonts w:ascii="Times New Roman" w:hAnsi="Times New Roman" w:cs="Times New Roman"/>
          <w:sz w:val="24"/>
          <w:szCs w:val="24"/>
          <w:lang w:val="en-US"/>
        </w:rPr>
        <w:t xml:space="preserve"> corresponding to the</w:t>
      </w:r>
      <w:r w:rsidR="001C0CCA" w:rsidRPr="00C23B89">
        <w:rPr>
          <w:rFonts w:ascii="Times New Roman" w:eastAsia="Calibri" w:hAnsi="Times New Roman" w:cs="Times New Roman"/>
          <w:sz w:val="24"/>
          <w:szCs w:val="24"/>
          <w:lang w:val="en-US"/>
        </w:rPr>
        <w:t xml:space="preserve"> primary structure</w:t>
      </w:r>
      <w:r w:rsidR="004E0955" w:rsidRPr="00C23B89">
        <w:rPr>
          <w:rFonts w:ascii="Times New Roman" w:eastAsia="Calibri" w:hAnsi="Times New Roman" w:cs="Times New Roman"/>
          <w:sz w:val="24"/>
          <w:szCs w:val="24"/>
          <w:lang w:val="en-US"/>
        </w:rPr>
        <w:t xml:space="preserve"> (under)</w:t>
      </w:r>
      <w:r w:rsidR="00711EFA" w:rsidRPr="00C23B89">
        <w:rPr>
          <w:rFonts w:ascii="Times New Roman" w:eastAsia="Calibri" w:hAnsi="Times New Roman" w:cs="Times New Roman"/>
          <w:sz w:val="24"/>
          <w:szCs w:val="24"/>
          <w:lang w:val="en-US"/>
        </w:rPr>
        <w:t xml:space="preserve">. </w:t>
      </w:r>
      <w:r w:rsidR="00A16AD9" w:rsidRPr="00C23B89">
        <w:rPr>
          <w:rFonts w:ascii="Times New Roman" w:eastAsia="Calibri" w:hAnsi="Times New Roman" w:cs="Times New Roman"/>
          <w:sz w:val="24"/>
          <w:szCs w:val="24"/>
          <w:lang w:val="en-US"/>
        </w:rPr>
        <w:t>Likewise</w:t>
      </w:r>
      <w:r w:rsidR="00FB22AC" w:rsidRPr="00C23B89">
        <w:rPr>
          <w:rFonts w:ascii="Times New Roman" w:eastAsia="Calibri" w:hAnsi="Times New Roman" w:cs="Times New Roman"/>
          <w:sz w:val="24"/>
          <w:szCs w:val="24"/>
          <w:lang w:val="en-US"/>
        </w:rPr>
        <w:t>, a</w:t>
      </w:r>
      <w:r w:rsidR="00434251" w:rsidRPr="00C23B89">
        <w:rPr>
          <w:rFonts w:ascii="Times New Roman" w:eastAsia="Calibri" w:hAnsi="Times New Roman" w:cs="Times New Roman"/>
          <w:sz w:val="24"/>
          <w:szCs w:val="24"/>
          <w:lang w:val="en-US"/>
        </w:rPr>
        <w:t>ctive site residues</w:t>
      </w:r>
      <w:r w:rsidR="004E0955" w:rsidRPr="00C23B89">
        <w:rPr>
          <w:rFonts w:ascii="Times New Roman" w:eastAsia="Calibri" w:hAnsi="Times New Roman" w:cs="Times New Roman"/>
          <w:sz w:val="24"/>
          <w:szCs w:val="24"/>
          <w:lang w:val="en-US"/>
        </w:rPr>
        <w:t xml:space="preserve"> (</w:t>
      </w:r>
      <w:r w:rsidR="00FB22AC" w:rsidRPr="00C23B89">
        <w:rPr>
          <w:rFonts w:ascii="Times New Roman" w:eastAsia="Calibri" w:hAnsi="Times New Roman" w:cs="Times New Roman"/>
          <w:sz w:val="24"/>
          <w:szCs w:val="24"/>
          <w:lang w:val="en-US"/>
        </w:rPr>
        <w:t xml:space="preserve">D116, Y186 and D322), the flap </w:t>
      </w:r>
      <w:r w:rsidR="00042000" w:rsidRPr="00C23B89">
        <w:rPr>
          <w:rFonts w:ascii="Times New Roman" w:eastAsia="Calibri" w:hAnsi="Times New Roman" w:cs="Times New Roman"/>
          <w:sz w:val="24"/>
          <w:szCs w:val="24"/>
          <w:lang w:val="en-US"/>
        </w:rPr>
        <w:t>Tyr</w:t>
      </w:r>
      <w:r w:rsidR="00FB22AC" w:rsidRPr="00C23B89">
        <w:rPr>
          <w:rFonts w:ascii="Times New Roman" w:eastAsia="Calibri" w:hAnsi="Times New Roman" w:cs="Times New Roman"/>
          <w:sz w:val="24"/>
          <w:szCs w:val="24"/>
          <w:lang w:val="en-US"/>
        </w:rPr>
        <w:t xml:space="preserve"> residue (Y186) and the </w:t>
      </w:r>
      <w:r w:rsidR="00711EFA" w:rsidRPr="00C23B89">
        <w:rPr>
          <w:rFonts w:ascii="Times New Roman" w:eastAsia="Calibri" w:hAnsi="Times New Roman" w:cs="Times New Roman"/>
          <w:sz w:val="24"/>
          <w:szCs w:val="24"/>
          <w:lang w:val="en-US"/>
        </w:rPr>
        <w:t>NAP-</w:t>
      </w:r>
      <w:r w:rsidR="00FB22AC" w:rsidRPr="00C23B89">
        <w:rPr>
          <w:rFonts w:ascii="Times New Roman" w:eastAsia="Calibri" w:hAnsi="Times New Roman" w:cs="Times New Roman"/>
          <w:sz w:val="24"/>
          <w:szCs w:val="24"/>
          <w:lang w:val="en-US"/>
        </w:rPr>
        <w:t xml:space="preserve">I are </w:t>
      </w:r>
      <w:r w:rsidR="00372F56" w:rsidRPr="00C23B89">
        <w:rPr>
          <w:rFonts w:ascii="Times New Roman" w:eastAsia="Calibri" w:hAnsi="Times New Roman" w:cs="Times New Roman"/>
          <w:sz w:val="24"/>
          <w:szCs w:val="24"/>
          <w:lang w:val="en-US"/>
        </w:rPr>
        <w:t>marked</w:t>
      </w:r>
      <w:r w:rsidR="00FB22AC" w:rsidRPr="00C23B89">
        <w:rPr>
          <w:rFonts w:ascii="Times New Roman" w:eastAsia="Calibri" w:hAnsi="Times New Roman" w:cs="Times New Roman"/>
          <w:sz w:val="24"/>
          <w:szCs w:val="24"/>
          <w:lang w:val="en-US"/>
        </w:rPr>
        <w:t xml:space="preserve"> with </w:t>
      </w:r>
      <w:r w:rsidR="00A16AD9" w:rsidRPr="00C23B89">
        <w:rPr>
          <w:rFonts w:ascii="Times New Roman" w:eastAsia="Calibri" w:hAnsi="Times New Roman" w:cs="Times New Roman"/>
          <w:sz w:val="24"/>
          <w:szCs w:val="24"/>
          <w:lang w:val="en-US"/>
        </w:rPr>
        <w:t>the same</w:t>
      </w:r>
      <w:r w:rsidR="00FB22AC" w:rsidRPr="00C23B89">
        <w:rPr>
          <w:rFonts w:ascii="Times New Roman" w:eastAsia="Calibri" w:hAnsi="Times New Roman" w:cs="Times New Roman"/>
          <w:sz w:val="24"/>
          <w:szCs w:val="24"/>
          <w:lang w:val="en-US"/>
        </w:rPr>
        <w:t xml:space="preserve"> color or text.</w:t>
      </w:r>
      <w:r w:rsidR="00372F56" w:rsidRPr="00C23B89">
        <w:rPr>
          <w:rFonts w:ascii="Times New Roman" w:eastAsia="Calibri" w:hAnsi="Times New Roman" w:cs="Times New Roman"/>
          <w:sz w:val="24"/>
          <w:szCs w:val="24"/>
          <w:lang w:val="en-US"/>
        </w:rPr>
        <w:t xml:space="preserve"> </w:t>
      </w:r>
    </w:p>
    <w:bookmarkEnd w:id="0"/>
    <w:p w14:paraId="1D31ACDE" w14:textId="77777777" w:rsidR="00DE22F3" w:rsidRPr="00C23B89" w:rsidRDefault="00711EFA" w:rsidP="000A0C7C">
      <w:pPr>
        <w:autoSpaceDE w:val="0"/>
        <w:autoSpaceDN w:val="0"/>
        <w:adjustRightInd w:val="0"/>
        <w:spacing w:after="200" w:line="360" w:lineRule="auto"/>
        <w:rPr>
          <w:rFonts w:ascii="Times New Roman" w:eastAsia="Times New Roman" w:hAnsi="Times New Roman" w:cs="Times New Roman"/>
          <w:b/>
          <w:sz w:val="24"/>
          <w:szCs w:val="24"/>
          <w:lang w:val="en-US"/>
        </w:rPr>
      </w:pPr>
      <w:r w:rsidRPr="00C23B89">
        <w:rPr>
          <w:rFonts w:ascii="Times New Roman" w:eastAsia="MinionPro-Regular" w:hAnsi="Times New Roman" w:cs="Times New Roman"/>
          <w:sz w:val="24"/>
          <w:szCs w:val="24"/>
          <w:lang w:val="en-US"/>
        </w:rPr>
        <w:t xml:space="preserve">          </w:t>
      </w:r>
    </w:p>
    <w:p w14:paraId="632AAF5E" w14:textId="77777777" w:rsidR="00711EFA" w:rsidRPr="00C23B89" w:rsidRDefault="00711EFA" w:rsidP="000B4676">
      <w:pPr>
        <w:spacing w:after="200" w:line="360" w:lineRule="auto"/>
        <w:rPr>
          <w:rFonts w:ascii="Times New Roman" w:eastAsia="Calibri" w:hAnsi="Times New Roman" w:cs="Times New Roman"/>
          <w:sz w:val="24"/>
          <w:szCs w:val="24"/>
          <w:lang w:val="en-US"/>
        </w:rPr>
        <w:sectPr w:rsidR="00711EFA" w:rsidRPr="00C23B89" w:rsidSect="00D50C57">
          <w:pgSz w:w="11906" w:h="16838"/>
          <w:pgMar w:top="1701" w:right="1134" w:bottom="1701" w:left="1134" w:header="708" w:footer="708" w:gutter="0"/>
          <w:cols w:space="708"/>
          <w:docGrid w:linePitch="360"/>
        </w:sectPr>
      </w:pPr>
    </w:p>
    <w:tbl>
      <w:tblPr>
        <w:tblStyle w:val="TableGrid2"/>
        <w:tblpPr w:leftFromText="141" w:rightFromText="141" w:vertAnchor="page" w:horzAnchor="margin" w:tblpXSpec="center" w:tblpY="2559"/>
        <w:tblW w:w="16443" w:type="dxa"/>
        <w:tblLook w:val="04A0" w:firstRow="1" w:lastRow="0" w:firstColumn="1" w:lastColumn="0" w:noHBand="0" w:noVBand="1"/>
      </w:tblPr>
      <w:tblGrid>
        <w:gridCol w:w="1392"/>
        <w:gridCol w:w="1274"/>
        <w:gridCol w:w="989"/>
        <w:gridCol w:w="11371"/>
        <w:gridCol w:w="1417"/>
      </w:tblGrid>
      <w:tr w:rsidR="00711EFA" w:rsidRPr="009D7C90" w14:paraId="69A1928E" w14:textId="77777777" w:rsidTr="007D0A79">
        <w:trPr>
          <w:trHeight w:val="562"/>
        </w:trPr>
        <w:tc>
          <w:tcPr>
            <w:tcW w:w="16443" w:type="dxa"/>
            <w:gridSpan w:val="5"/>
            <w:tcBorders>
              <w:top w:val="nil"/>
              <w:left w:val="nil"/>
              <w:bottom w:val="single" w:sz="4" w:space="0" w:color="auto"/>
              <w:right w:val="nil"/>
            </w:tcBorders>
            <w:vAlign w:val="bottom"/>
          </w:tcPr>
          <w:p w14:paraId="65CFA2B3" w14:textId="77777777" w:rsidR="00711EFA" w:rsidRPr="00C23B89" w:rsidRDefault="00711EFA" w:rsidP="0086460F">
            <w:pPr>
              <w:spacing w:line="360" w:lineRule="auto"/>
              <w:rPr>
                <w:rFonts w:ascii="Times New Roman" w:eastAsia="Calibri" w:hAnsi="Times New Roman" w:cs="Times New Roman"/>
                <w:b/>
                <w:sz w:val="24"/>
                <w:szCs w:val="24"/>
                <w:lang w:val="en-US"/>
              </w:rPr>
            </w:pPr>
            <w:r w:rsidRPr="00C23B89">
              <w:rPr>
                <w:rFonts w:ascii="Times New Roman" w:eastAsia="Calibri" w:hAnsi="Times New Roman" w:cs="Times New Roman"/>
                <w:b/>
                <w:sz w:val="24"/>
                <w:szCs w:val="24"/>
                <w:lang w:val="en-US"/>
              </w:rPr>
              <w:lastRenderedPageBreak/>
              <w:t xml:space="preserve">Table </w:t>
            </w:r>
            <w:r w:rsidR="000B4676" w:rsidRPr="00C23B89">
              <w:rPr>
                <w:rFonts w:ascii="Times New Roman" w:eastAsia="Calibri" w:hAnsi="Times New Roman" w:cs="Times New Roman"/>
                <w:b/>
                <w:sz w:val="24"/>
                <w:szCs w:val="24"/>
                <w:lang w:val="en-US"/>
              </w:rPr>
              <w:t>1</w:t>
            </w:r>
            <w:r w:rsidRPr="00C23B89">
              <w:rPr>
                <w:rFonts w:ascii="Times New Roman" w:eastAsia="Calibri" w:hAnsi="Times New Roman" w:cs="Times New Roman"/>
                <w:b/>
                <w:sz w:val="24"/>
                <w:szCs w:val="24"/>
                <w:lang w:val="en-US"/>
              </w:rPr>
              <w:t xml:space="preserve"> </w:t>
            </w:r>
            <w:r w:rsidRPr="00C23B89">
              <w:rPr>
                <w:rFonts w:ascii="Times New Roman" w:eastAsia="Calibri" w:hAnsi="Times New Roman" w:cs="Times New Roman"/>
                <w:sz w:val="24"/>
                <w:szCs w:val="24"/>
                <w:lang w:val="en-US"/>
              </w:rPr>
              <w:t xml:space="preserve">Primers used in PCR, Cloning and </w:t>
            </w:r>
            <w:r w:rsidR="00AC27C2" w:rsidRPr="00C23B89">
              <w:rPr>
                <w:rFonts w:ascii="Times New Roman" w:eastAsia="Calibri" w:hAnsi="Times New Roman" w:cs="Times New Roman"/>
                <w:sz w:val="24"/>
                <w:szCs w:val="24"/>
                <w:lang w:val="en-US"/>
              </w:rPr>
              <w:t>q</w:t>
            </w:r>
            <w:r w:rsidRPr="00C23B89">
              <w:rPr>
                <w:rFonts w:ascii="Times New Roman" w:eastAsia="Calibri" w:hAnsi="Times New Roman" w:cs="Times New Roman"/>
                <w:sz w:val="24"/>
                <w:szCs w:val="24"/>
                <w:lang w:val="en-US"/>
              </w:rPr>
              <w:t>PCR</w:t>
            </w:r>
          </w:p>
        </w:tc>
      </w:tr>
      <w:tr w:rsidR="007D0A79" w:rsidRPr="00C23B89" w14:paraId="3774FC4D" w14:textId="77777777" w:rsidTr="007D0A79">
        <w:trPr>
          <w:trHeight w:val="562"/>
        </w:trPr>
        <w:tc>
          <w:tcPr>
            <w:tcW w:w="1392" w:type="dxa"/>
            <w:tcBorders>
              <w:top w:val="single" w:sz="4" w:space="0" w:color="auto"/>
            </w:tcBorders>
            <w:vAlign w:val="bottom"/>
          </w:tcPr>
          <w:p w14:paraId="76803024" w14:textId="77777777" w:rsidR="00711EFA" w:rsidRPr="00C23B89" w:rsidRDefault="00711EFA" w:rsidP="0086460F">
            <w:pPr>
              <w:spacing w:line="360" w:lineRule="auto"/>
              <w:rPr>
                <w:rFonts w:ascii="Times New Roman" w:eastAsia="Calibri" w:hAnsi="Times New Roman" w:cs="Times New Roman"/>
                <w:b/>
                <w:sz w:val="24"/>
                <w:szCs w:val="24"/>
                <w:lang w:val="en-US"/>
              </w:rPr>
            </w:pPr>
            <w:r w:rsidRPr="00C23B89">
              <w:rPr>
                <w:rFonts w:ascii="Times New Roman" w:eastAsia="Calibri" w:hAnsi="Times New Roman" w:cs="Times New Roman"/>
                <w:b/>
                <w:sz w:val="24"/>
                <w:szCs w:val="24"/>
                <w:lang w:val="en-US"/>
              </w:rPr>
              <w:t>Gene name</w:t>
            </w:r>
          </w:p>
        </w:tc>
        <w:tc>
          <w:tcPr>
            <w:tcW w:w="1274" w:type="dxa"/>
            <w:tcBorders>
              <w:top w:val="single" w:sz="4" w:space="0" w:color="auto"/>
            </w:tcBorders>
            <w:vAlign w:val="bottom"/>
          </w:tcPr>
          <w:p w14:paraId="2EC3DE20" w14:textId="77777777" w:rsidR="00711EFA" w:rsidRPr="00C23B89" w:rsidRDefault="00711EFA" w:rsidP="0086460F">
            <w:pPr>
              <w:spacing w:line="360" w:lineRule="auto"/>
              <w:rPr>
                <w:rFonts w:ascii="Times New Roman" w:eastAsia="Calibri" w:hAnsi="Times New Roman" w:cs="Times New Roman"/>
                <w:b/>
                <w:sz w:val="24"/>
                <w:szCs w:val="24"/>
                <w:lang w:val="en-US"/>
              </w:rPr>
            </w:pPr>
            <w:r w:rsidRPr="00C23B89">
              <w:rPr>
                <w:rFonts w:ascii="Times New Roman" w:eastAsia="Calibri" w:hAnsi="Times New Roman" w:cs="Times New Roman"/>
                <w:b/>
                <w:sz w:val="24"/>
                <w:szCs w:val="24"/>
                <w:lang w:val="en-US"/>
              </w:rPr>
              <w:t>Usage</w:t>
            </w:r>
          </w:p>
        </w:tc>
        <w:tc>
          <w:tcPr>
            <w:tcW w:w="989" w:type="dxa"/>
            <w:tcBorders>
              <w:top w:val="single" w:sz="4" w:space="0" w:color="auto"/>
            </w:tcBorders>
            <w:vAlign w:val="bottom"/>
          </w:tcPr>
          <w:p w14:paraId="2B2D2DA5" w14:textId="77777777" w:rsidR="00711EFA" w:rsidRPr="00C23B89" w:rsidRDefault="00711EFA" w:rsidP="0086460F">
            <w:pPr>
              <w:spacing w:line="360" w:lineRule="auto"/>
              <w:rPr>
                <w:rFonts w:ascii="Times New Roman" w:eastAsia="Calibri" w:hAnsi="Times New Roman" w:cs="Times New Roman"/>
                <w:b/>
                <w:sz w:val="24"/>
                <w:szCs w:val="24"/>
                <w:lang w:val="en-US"/>
              </w:rPr>
            </w:pPr>
            <w:r w:rsidRPr="00C23B89">
              <w:rPr>
                <w:rFonts w:ascii="Times New Roman" w:eastAsia="Calibri" w:hAnsi="Times New Roman" w:cs="Times New Roman"/>
                <w:b/>
                <w:sz w:val="24"/>
                <w:szCs w:val="24"/>
                <w:lang w:val="en-US"/>
              </w:rPr>
              <w:t>Primer name</w:t>
            </w:r>
          </w:p>
        </w:tc>
        <w:tc>
          <w:tcPr>
            <w:tcW w:w="11371" w:type="dxa"/>
            <w:tcBorders>
              <w:top w:val="single" w:sz="4" w:space="0" w:color="auto"/>
            </w:tcBorders>
            <w:vAlign w:val="bottom"/>
          </w:tcPr>
          <w:p w14:paraId="7F3CD95F" w14:textId="77777777" w:rsidR="00711EFA" w:rsidRPr="00C23B89" w:rsidRDefault="00711EFA" w:rsidP="0086460F">
            <w:pPr>
              <w:spacing w:line="360" w:lineRule="auto"/>
              <w:rPr>
                <w:rFonts w:ascii="Times New Roman" w:eastAsia="Calibri" w:hAnsi="Times New Roman" w:cs="Times New Roman"/>
                <w:b/>
                <w:sz w:val="24"/>
                <w:szCs w:val="24"/>
                <w:lang w:val="en-US"/>
              </w:rPr>
            </w:pPr>
            <w:r w:rsidRPr="00C23B89">
              <w:rPr>
                <w:rFonts w:ascii="Times New Roman" w:eastAsia="Calibri" w:hAnsi="Times New Roman" w:cs="Times New Roman"/>
                <w:b/>
                <w:sz w:val="24"/>
                <w:szCs w:val="24"/>
                <w:lang w:val="en-US"/>
              </w:rPr>
              <w:t>Primer sequence (5’-3’)</w:t>
            </w:r>
          </w:p>
        </w:tc>
        <w:tc>
          <w:tcPr>
            <w:tcW w:w="1417" w:type="dxa"/>
            <w:tcBorders>
              <w:top w:val="single" w:sz="4" w:space="0" w:color="auto"/>
            </w:tcBorders>
            <w:vAlign w:val="bottom"/>
          </w:tcPr>
          <w:p w14:paraId="5C6C07D2" w14:textId="77777777" w:rsidR="00711EFA" w:rsidRPr="00C23B89" w:rsidRDefault="00711EFA" w:rsidP="0086460F">
            <w:pPr>
              <w:spacing w:line="360" w:lineRule="auto"/>
              <w:rPr>
                <w:rFonts w:ascii="Times New Roman" w:eastAsia="Calibri" w:hAnsi="Times New Roman" w:cs="Times New Roman"/>
                <w:b/>
                <w:sz w:val="24"/>
                <w:szCs w:val="24"/>
                <w:lang w:val="en-US"/>
              </w:rPr>
            </w:pPr>
            <w:r w:rsidRPr="00C23B89">
              <w:rPr>
                <w:rFonts w:ascii="Times New Roman" w:eastAsia="Calibri" w:hAnsi="Times New Roman" w:cs="Times New Roman"/>
                <w:b/>
                <w:sz w:val="24"/>
                <w:szCs w:val="24"/>
                <w:lang w:val="en-US"/>
              </w:rPr>
              <w:t>Reference</w:t>
            </w:r>
            <w:r w:rsidR="00AB4283" w:rsidRPr="00C23B89">
              <w:rPr>
                <w:rFonts w:ascii="Times New Roman" w:eastAsia="Calibri" w:hAnsi="Times New Roman" w:cs="Times New Roman"/>
                <w:b/>
                <w:sz w:val="24"/>
                <w:szCs w:val="24"/>
                <w:lang w:val="en-US"/>
              </w:rPr>
              <w:t>s</w:t>
            </w:r>
          </w:p>
        </w:tc>
      </w:tr>
      <w:tr w:rsidR="007D0A79" w:rsidRPr="00C23B89" w14:paraId="39C4B0DF" w14:textId="77777777" w:rsidTr="007D0A79">
        <w:trPr>
          <w:trHeight w:val="409"/>
        </w:trPr>
        <w:tc>
          <w:tcPr>
            <w:tcW w:w="1392" w:type="dxa"/>
            <w:vAlign w:val="bottom"/>
          </w:tcPr>
          <w:p w14:paraId="1DFFD6DD"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HvNEP-1</w:t>
            </w:r>
          </w:p>
        </w:tc>
        <w:tc>
          <w:tcPr>
            <w:tcW w:w="1274" w:type="dxa"/>
            <w:vAlign w:val="bottom"/>
          </w:tcPr>
          <w:p w14:paraId="7AE29B4C"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PCR</w:t>
            </w:r>
          </w:p>
        </w:tc>
        <w:tc>
          <w:tcPr>
            <w:tcW w:w="989" w:type="dxa"/>
            <w:vAlign w:val="bottom"/>
          </w:tcPr>
          <w:p w14:paraId="626CA998"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P1</w:t>
            </w:r>
          </w:p>
        </w:tc>
        <w:tc>
          <w:tcPr>
            <w:tcW w:w="11371" w:type="dxa"/>
            <w:vAlign w:val="bottom"/>
          </w:tcPr>
          <w:p w14:paraId="7DB31723" w14:textId="77777777" w:rsidR="00711EFA" w:rsidRPr="007D0A79" w:rsidRDefault="00711EFA" w:rsidP="00083BA4">
            <w:pPr>
              <w:spacing w:line="360" w:lineRule="auto"/>
              <w:contextualSpacing/>
              <w:rPr>
                <w:rFonts w:ascii="Times New Roman" w:eastAsia="Calibri" w:hAnsi="Times New Roman" w:cs="Times New Roman"/>
                <w:lang w:val="en-US"/>
              </w:rPr>
            </w:pPr>
            <w:proofErr w:type="spellStart"/>
            <w:r w:rsidRPr="007D0A79">
              <w:rPr>
                <w:rFonts w:ascii="Times New Roman" w:eastAsia="Calibri" w:hAnsi="Times New Roman" w:cs="Times New Roman"/>
                <w:lang w:val="en-US"/>
              </w:rPr>
              <w:t>Fw</w:t>
            </w:r>
            <w:proofErr w:type="spellEnd"/>
            <w:r w:rsidRPr="007D0A79">
              <w:rPr>
                <w:rFonts w:ascii="Times New Roman" w:eastAsia="Calibri" w:hAnsi="Times New Roman" w:cs="Times New Roman"/>
                <w:lang w:val="en-US"/>
              </w:rPr>
              <w:t xml:space="preserve">:  GCACATCAATGGCTATGGCGATCATGAACAC/ </w:t>
            </w:r>
            <w:proofErr w:type="spellStart"/>
            <w:r w:rsidRPr="007D0A79">
              <w:rPr>
                <w:rFonts w:ascii="Times New Roman" w:eastAsia="Calibri" w:hAnsi="Times New Roman" w:cs="Times New Roman"/>
                <w:lang w:val="en-US"/>
              </w:rPr>
              <w:t>Rv</w:t>
            </w:r>
            <w:proofErr w:type="spellEnd"/>
            <w:r w:rsidRPr="007D0A79">
              <w:rPr>
                <w:rFonts w:ascii="Times New Roman" w:eastAsia="Calibri" w:hAnsi="Times New Roman" w:cs="Times New Roman"/>
                <w:lang w:val="en-US"/>
              </w:rPr>
              <w:t xml:space="preserve">:  GTTCAATCCACACCGGCGGTGTCCTGAG </w:t>
            </w:r>
          </w:p>
        </w:tc>
        <w:tc>
          <w:tcPr>
            <w:tcW w:w="1417" w:type="dxa"/>
            <w:vAlign w:val="bottom"/>
          </w:tcPr>
          <w:p w14:paraId="5A8BA1A2" w14:textId="77777777" w:rsidR="00711EFA" w:rsidRPr="00C23B89" w:rsidRDefault="00711EFA" w:rsidP="0086460F">
            <w:pPr>
              <w:spacing w:line="360" w:lineRule="auto"/>
              <w:rPr>
                <w:rFonts w:ascii="Times New Roman" w:eastAsia="Calibri" w:hAnsi="Times New Roman" w:cs="Times New Roman"/>
                <w:lang w:val="en-US"/>
              </w:rPr>
            </w:pPr>
            <w:r w:rsidRPr="00C23B89">
              <w:rPr>
                <w:rFonts w:ascii="Times New Roman" w:eastAsia="Calibri" w:hAnsi="Times New Roman" w:cs="Times New Roman"/>
                <w:lang w:val="en-US"/>
              </w:rPr>
              <w:t>This study</w:t>
            </w:r>
          </w:p>
        </w:tc>
      </w:tr>
      <w:tr w:rsidR="007D0A79" w:rsidRPr="00C23B89" w14:paraId="04E7A83E" w14:textId="77777777" w:rsidTr="007D0A79">
        <w:trPr>
          <w:trHeight w:val="615"/>
        </w:trPr>
        <w:tc>
          <w:tcPr>
            <w:tcW w:w="1392" w:type="dxa"/>
            <w:vAlign w:val="bottom"/>
          </w:tcPr>
          <w:p w14:paraId="49C23FDD"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HvNEP-1</w:t>
            </w:r>
          </w:p>
        </w:tc>
        <w:tc>
          <w:tcPr>
            <w:tcW w:w="1274" w:type="dxa"/>
            <w:vAlign w:val="bottom"/>
          </w:tcPr>
          <w:p w14:paraId="3C18EDDB"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 xml:space="preserve">Cloning </w:t>
            </w:r>
          </w:p>
        </w:tc>
        <w:tc>
          <w:tcPr>
            <w:tcW w:w="989" w:type="dxa"/>
            <w:vAlign w:val="bottom"/>
          </w:tcPr>
          <w:p w14:paraId="2369CBF8"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P2</w:t>
            </w:r>
          </w:p>
        </w:tc>
        <w:tc>
          <w:tcPr>
            <w:tcW w:w="11371" w:type="dxa"/>
            <w:vAlign w:val="bottom"/>
          </w:tcPr>
          <w:p w14:paraId="2CC2A1AB" w14:textId="77777777" w:rsidR="00711EFA" w:rsidRPr="007D0A79" w:rsidRDefault="00711EFA" w:rsidP="00083BA4">
            <w:pPr>
              <w:spacing w:line="360" w:lineRule="auto"/>
              <w:contextualSpacing/>
              <w:rPr>
                <w:rFonts w:ascii="Times New Roman" w:eastAsia="Calibri" w:hAnsi="Times New Roman" w:cs="Times New Roman"/>
                <w:lang w:val="en-US"/>
              </w:rPr>
            </w:pPr>
            <w:proofErr w:type="spellStart"/>
            <w:r w:rsidRPr="007D0A79">
              <w:rPr>
                <w:rFonts w:ascii="Times New Roman" w:eastAsia="Calibri" w:hAnsi="Times New Roman" w:cs="Times New Roman"/>
                <w:lang w:val="en-US"/>
              </w:rPr>
              <w:t>Fw</w:t>
            </w:r>
            <w:proofErr w:type="spellEnd"/>
            <w:r w:rsidRPr="007D0A79">
              <w:rPr>
                <w:rFonts w:ascii="Times New Roman" w:eastAsia="Calibri" w:hAnsi="Times New Roman" w:cs="Times New Roman"/>
                <w:lang w:val="en-US"/>
              </w:rPr>
              <w:t>:  GAAGGGGTATCTCTCGAG</w:t>
            </w:r>
            <w:r w:rsidR="00EB2AB8" w:rsidRPr="007D0A79">
              <w:rPr>
                <w:rFonts w:ascii="Times New Roman" w:eastAsia="Calibri" w:hAnsi="Times New Roman" w:cs="Times New Roman"/>
                <w:lang w:val="en-US"/>
              </w:rPr>
              <w:t>AAAAGAGCTGATGCGGACACCCCAAAAGTC</w:t>
            </w:r>
          </w:p>
          <w:p w14:paraId="41C0D5EB" w14:textId="77777777" w:rsidR="00711EFA" w:rsidRPr="007D0A79" w:rsidRDefault="00711EFA" w:rsidP="00083BA4">
            <w:pPr>
              <w:spacing w:line="360" w:lineRule="auto"/>
              <w:contextualSpacing/>
              <w:rPr>
                <w:rFonts w:ascii="Times New Roman" w:eastAsia="Calibri" w:hAnsi="Times New Roman" w:cs="Times New Roman"/>
                <w:lang w:val="en-US"/>
              </w:rPr>
            </w:pPr>
            <w:proofErr w:type="spellStart"/>
            <w:r w:rsidRPr="007D0A79">
              <w:rPr>
                <w:rFonts w:ascii="Times New Roman" w:eastAsia="Calibri" w:hAnsi="Times New Roman" w:cs="Times New Roman"/>
                <w:lang w:val="en-US"/>
              </w:rPr>
              <w:t>Rv</w:t>
            </w:r>
            <w:proofErr w:type="spellEnd"/>
            <w:r w:rsidRPr="007D0A79">
              <w:rPr>
                <w:rFonts w:ascii="Times New Roman" w:eastAsia="Calibri" w:hAnsi="Times New Roman" w:cs="Times New Roman"/>
                <w:lang w:val="en-US"/>
              </w:rPr>
              <w:t xml:space="preserve">: TGATGATGATGGTCGACTTAATGATGATGATGATGATGTGGATCCACACCGGCGGTGTCCTGAG </w:t>
            </w:r>
          </w:p>
        </w:tc>
        <w:tc>
          <w:tcPr>
            <w:tcW w:w="1417" w:type="dxa"/>
            <w:vAlign w:val="bottom"/>
          </w:tcPr>
          <w:p w14:paraId="1DDB6613" w14:textId="77777777" w:rsidR="00711EFA" w:rsidRPr="00C23B89" w:rsidRDefault="00711EFA" w:rsidP="0086460F">
            <w:pPr>
              <w:spacing w:line="360" w:lineRule="auto"/>
              <w:rPr>
                <w:rFonts w:ascii="Times New Roman" w:eastAsia="Calibri" w:hAnsi="Times New Roman" w:cs="Times New Roman"/>
                <w:lang w:val="en-US"/>
              </w:rPr>
            </w:pPr>
            <w:r w:rsidRPr="00C23B89">
              <w:rPr>
                <w:rFonts w:ascii="Times New Roman" w:eastAsia="Calibri" w:hAnsi="Times New Roman" w:cs="Times New Roman"/>
                <w:lang w:val="en-US"/>
              </w:rPr>
              <w:t>This study</w:t>
            </w:r>
          </w:p>
        </w:tc>
      </w:tr>
      <w:tr w:rsidR="007D0A79" w:rsidRPr="00C23B89" w14:paraId="348A322F" w14:textId="77777777" w:rsidTr="007D0A79">
        <w:trPr>
          <w:trHeight w:val="562"/>
        </w:trPr>
        <w:tc>
          <w:tcPr>
            <w:tcW w:w="1392" w:type="dxa"/>
            <w:vAlign w:val="bottom"/>
          </w:tcPr>
          <w:p w14:paraId="462E14FC"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AOX1</w:t>
            </w:r>
          </w:p>
        </w:tc>
        <w:tc>
          <w:tcPr>
            <w:tcW w:w="1274" w:type="dxa"/>
            <w:vAlign w:val="bottom"/>
          </w:tcPr>
          <w:p w14:paraId="70E7E5CE"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Sequencing</w:t>
            </w:r>
          </w:p>
        </w:tc>
        <w:tc>
          <w:tcPr>
            <w:tcW w:w="989" w:type="dxa"/>
            <w:vAlign w:val="bottom"/>
          </w:tcPr>
          <w:p w14:paraId="0B67FD03"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P3</w:t>
            </w:r>
          </w:p>
        </w:tc>
        <w:tc>
          <w:tcPr>
            <w:tcW w:w="11371" w:type="dxa"/>
            <w:vAlign w:val="bottom"/>
          </w:tcPr>
          <w:p w14:paraId="2F62023B" w14:textId="77777777" w:rsidR="00711EFA" w:rsidRPr="007D0A79" w:rsidRDefault="00711EFA" w:rsidP="00083BA4">
            <w:pPr>
              <w:spacing w:line="360" w:lineRule="auto"/>
              <w:contextualSpacing/>
              <w:rPr>
                <w:rFonts w:ascii="Times New Roman" w:eastAsia="Calibri" w:hAnsi="Times New Roman" w:cs="Times New Roman"/>
                <w:lang w:val="en-US"/>
              </w:rPr>
            </w:pPr>
            <w:proofErr w:type="spellStart"/>
            <w:r w:rsidRPr="007D0A79">
              <w:rPr>
                <w:rFonts w:ascii="Times New Roman" w:eastAsia="Calibri" w:hAnsi="Times New Roman" w:cs="Times New Roman"/>
                <w:lang w:val="en-US"/>
              </w:rPr>
              <w:t>Fw</w:t>
            </w:r>
            <w:proofErr w:type="spellEnd"/>
            <w:r w:rsidRPr="007D0A79">
              <w:rPr>
                <w:rFonts w:ascii="Times New Roman" w:eastAsia="Calibri" w:hAnsi="Times New Roman" w:cs="Times New Roman"/>
                <w:lang w:val="en-US"/>
              </w:rPr>
              <w:t xml:space="preserve">:  GACTGGTTCCAATTGACAAGC /   </w:t>
            </w:r>
            <w:proofErr w:type="spellStart"/>
            <w:r w:rsidRPr="007D0A79">
              <w:rPr>
                <w:rFonts w:ascii="Times New Roman" w:eastAsia="Calibri" w:hAnsi="Times New Roman" w:cs="Times New Roman"/>
                <w:lang w:val="en-US"/>
              </w:rPr>
              <w:t>Rv</w:t>
            </w:r>
            <w:proofErr w:type="spellEnd"/>
            <w:r w:rsidRPr="007D0A79">
              <w:rPr>
                <w:rFonts w:ascii="Times New Roman" w:eastAsia="Calibri" w:hAnsi="Times New Roman" w:cs="Times New Roman"/>
                <w:lang w:val="en-US"/>
              </w:rPr>
              <w:t>:  GCAAATGGCATTCTGACATCC</w:t>
            </w:r>
          </w:p>
        </w:tc>
        <w:tc>
          <w:tcPr>
            <w:tcW w:w="1417" w:type="dxa"/>
            <w:vAlign w:val="bottom"/>
          </w:tcPr>
          <w:p w14:paraId="5DFC565E" w14:textId="38549230" w:rsidR="00711EFA" w:rsidRPr="00C23B89" w:rsidRDefault="00AB1769" w:rsidP="0086460F">
            <w:pPr>
              <w:spacing w:line="360" w:lineRule="auto"/>
              <w:rPr>
                <w:rFonts w:ascii="Times New Roman" w:eastAsia="Calibri" w:hAnsi="Times New Roman" w:cs="Times New Roman"/>
                <w:lang w:val="en-US"/>
              </w:rPr>
            </w:pPr>
            <w:r w:rsidRPr="00C23B89">
              <w:rPr>
                <w:rFonts w:ascii="Times New Roman" w:eastAsia="Calibri" w:hAnsi="Times New Roman" w:cs="Times New Roman"/>
                <w:lang w:val="en-US"/>
              </w:rPr>
              <w:fldChar w:fldCharType="begin" w:fldLock="1"/>
            </w:r>
            <w:r w:rsidR="004763BF" w:rsidRPr="00C23B89">
              <w:rPr>
                <w:rFonts w:ascii="Times New Roman" w:eastAsia="Calibri" w:hAnsi="Times New Roman" w:cs="Times New Roman"/>
                <w:lang w:val="en-US"/>
              </w:rPr>
              <w:instrText>ADDIN CSL_CITATION {"citationItems":[{"id":"ITEM-1","itemData":{"DOI":"10.1111/j.1567-1364.2009.00571.x","ISSN":"1567-1356","abstract":"Alcohol oxidase I gene (AOX1) promoter (P(AOX1)) is a key promoter in the methylotrophic yeast Pichia pastoris. To identify the cis-acting element in the AOX1 promoter, we constructed expression plasmids in which the green fluorescent protein (GFP) gene coding region was fused to a series of internal deletion mutants of the AOX1 promoter. By analyzing the expression and transcription level of GFP by each plasmid, we identified a positive cis-element, Region D, which is located between positions -638 and -510 of the AOX1 promoter. This region contains an invert repeat-like sequence GTGGGGTCAAATAGTTTCATGTTCCC CAA that is similar to the upstream activation sequence 1 (UAS1) of alcohol dehydrogenase II gene (ADH2) in Saccharomyces cerevisiae. The inverted repeat sequence in the UAS1 is known to contain the binding site for alcohol dehydrogenase II synthesis regulator (Adr1p). When three tandem copies of Region D were inserted into the Region D-deleted AOX1 promoter, the expression of GFP at the protein level and the mRNA level increased to 157% and 135% of the wild type, respectively. An electrophoretic mobility shift assay indicated that Region D could form a DNA-protein complex with cell extracts under methanol-induced and glucose/methanol-repressed conditions. These data suggest that Region D may function as a cis-acting regulatory element in the AOX1 promoter to positively regulate the expression of AOX1.","author":[{"dropping-particle":"","family":"Xuan","given":"Y J","non-dropping-particle":"","parse-names":false,"suffix":""},{"dropping-particle":"","family":"Zhou","given":"X S","non-dropping-particle":"","parse-names":false,"suffix":""},{"dropping-particle":"","family":"Zhang","given":"W W","non-dropping-particle":"","parse-names":false,"suffix":""},{"dropping-particle":"","family":"Zhang","given":"X","non-dropping-particle":"","parse-names":false,"suffix":""},{"dropping-particle":"","family":"Song","given":"Z W","non-dropping-particle":"","parse-names":false,"suffix":""},{"dropping-particle":"","family":"Zhang","given":"Y X","non-dropping-particle":"","parse-names":false,"suffix":""}],"container-title":"Fems Yeast Research","id":"ITEM-1","issue":"8","issued":{"date-parts":[["2009"]]},"note":"Xuan, Yaoji Zhou, Xiangshan Zhang, Wenwen Zhang, Xiao Song, Zhiwei Zhang, Yuanxing","page":"1271-1282","title":"An upstream activation sequence controls the expression of AOX1 gene in Pichia pastoris","type":"article-journal","volume":"9"},"uris":["http://www.mendeley.com/documents/?uuid=e9af7f2c-5dfd-48bf-b508-34730580f2f5"]}],"mendeley":{"formattedCitation":"&lt;sup&gt;1&lt;/sup&gt;","plainTextFormattedCitation":"1","previouslyFormattedCitation":"&lt;sup&gt;1&lt;/sup&gt;"},"properties":{"noteIndex":0},"schema":"https://github.com/citation-style-language/schema/raw/master/csl-citation.json"}</w:instrText>
            </w:r>
            <w:r w:rsidRPr="00C23B89">
              <w:rPr>
                <w:rFonts w:ascii="Times New Roman" w:eastAsia="Calibri" w:hAnsi="Times New Roman" w:cs="Times New Roman"/>
                <w:lang w:val="en-US"/>
              </w:rPr>
              <w:fldChar w:fldCharType="separate"/>
            </w:r>
            <w:r w:rsidR="00D30607" w:rsidRPr="00C23B89">
              <w:rPr>
                <w:rFonts w:ascii="Times New Roman" w:eastAsia="Calibri" w:hAnsi="Times New Roman" w:cs="Times New Roman"/>
                <w:noProof/>
                <w:vertAlign w:val="superscript"/>
                <w:lang w:val="en-US"/>
              </w:rPr>
              <w:t>1</w:t>
            </w:r>
            <w:r w:rsidRPr="00C23B89">
              <w:rPr>
                <w:rFonts w:ascii="Times New Roman" w:eastAsia="Calibri" w:hAnsi="Times New Roman" w:cs="Times New Roman"/>
                <w:lang w:val="en-US"/>
              </w:rPr>
              <w:fldChar w:fldCharType="end"/>
            </w:r>
          </w:p>
        </w:tc>
      </w:tr>
      <w:tr w:rsidR="008C04B6" w:rsidRPr="00C23B89" w14:paraId="42DAEA60" w14:textId="77777777" w:rsidTr="007D0A79">
        <w:trPr>
          <w:trHeight w:val="562"/>
        </w:trPr>
        <w:tc>
          <w:tcPr>
            <w:tcW w:w="1392" w:type="dxa"/>
            <w:vAlign w:val="bottom"/>
          </w:tcPr>
          <w:p w14:paraId="3D3E9B50" w14:textId="77777777" w:rsidR="007D0A79" w:rsidRDefault="008C04B6"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FgPHY1/</w:t>
            </w:r>
          </w:p>
          <w:p w14:paraId="1FA4D20B" w14:textId="063F1613" w:rsidR="008C04B6" w:rsidRPr="007D0A79" w:rsidRDefault="008C04B6"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FcPHY1</w:t>
            </w:r>
          </w:p>
        </w:tc>
        <w:tc>
          <w:tcPr>
            <w:tcW w:w="1274" w:type="dxa"/>
            <w:vAlign w:val="bottom"/>
          </w:tcPr>
          <w:p w14:paraId="111AB78E" w14:textId="5648A4D1" w:rsidR="008C04B6" w:rsidRPr="007D0A79" w:rsidRDefault="008C04B6"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Sequencing</w:t>
            </w:r>
          </w:p>
        </w:tc>
        <w:tc>
          <w:tcPr>
            <w:tcW w:w="989" w:type="dxa"/>
            <w:vAlign w:val="bottom"/>
          </w:tcPr>
          <w:p w14:paraId="490087F8" w14:textId="26B1C6FC" w:rsidR="008C04B6" w:rsidRPr="007D0A79" w:rsidRDefault="008C04B6"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P4</w:t>
            </w:r>
          </w:p>
        </w:tc>
        <w:tc>
          <w:tcPr>
            <w:tcW w:w="11371" w:type="dxa"/>
            <w:vAlign w:val="bottom"/>
          </w:tcPr>
          <w:p w14:paraId="346D1694" w14:textId="038EA2C6" w:rsidR="008C04B6" w:rsidRPr="007D0A79" w:rsidRDefault="008C04B6" w:rsidP="00083BA4">
            <w:pPr>
              <w:spacing w:line="360" w:lineRule="auto"/>
              <w:contextualSpacing/>
              <w:rPr>
                <w:rFonts w:ascii="Times New Roman" w:eastAsia="Calibri" w:hAnsi="Times New Roman" w:cs="Times New Roman"/>
                <w:lang w:val="en-US"/>
              </w:rPr>
            </w:pPr>
            <w:proofErr w:type="spellStart"/>
            <w:r w:rsidRPr="007D0A79">
              <w:rPr>
                <w:rFonts w:ascii="Times New Roman" w:eastAsia="Calibri" w:hAnsi="Times New Roman" w:cs="Times New Roman"/>
                <w:lang w:val="en-US"/>
              </w:rPr>
              <w:t>Fw</w:t>
            </w:r>
            <w:proofErr w:type="spellEnd"/>
            <w:r w:rsidRPr="007D0A79">
              <w:rPr>
                <w:rFonts w:ascii="Times New Roman" w:eastAsia="Calibri" w:hAnsi="Times New Roman" w:cs="Times New Roman"/>
                <w:lang w:val="en-US"/>
              </w:rPr>
              <w:t xml:space="preserve">: </w:t>
            </w:r>
            <w:r w:rsidRPr="007D0A79">
              <w:rPr>
                <w:rFonts w:ascii="Times New Roman" w:hAnsi="Times New Roman" w:cs="Times New Roman"/>
              </w:rPr>
              <w:t xml:space="preserve"> ATGATAATCAGCACCATCGCG/ </w:t>
            </w:r>
            <w:r w:rsidRPr="007D0A79">
              <w:rPr>
                <w:rFonts w:ascii="Times New Roman" w:eastAsia="Calibri" w:hAnsi="Times New Roman" w:cs="Times New Roman"/>
                <w:lang w:val="en-US"/>
              </w:rPr>
              <w:t xml:space="preserve"> </w:t>
            </w:r>
            <w:proofErr w:type="spellStart"/>
            <w:r w:rsidRPr="007D0A79">
              <w:rPr>
                <w:rFonts w:ascii="Times New Roman" w:eastAsia="Calibri" w:hAnsi="Times New Roman" w:cs="Times New Roman"/>
                <w:lang w:val="en-US"/>
              </w:rPr>
              <w:t>Rv</w:t>
            </w:r>
            <w:proofErr w:type="spellEnd"/>
            <w:r w:rsidRPr="007D0A79">
              <w:rPr>
                <w:rFonts w:ascii="Times New Roman" w:eastAsia="Calibri" w:hAnsi="Times New Roman" w:cs="Times New Roman"/>
                <w:lang w:val="en-US"/>
              </w:rPr>
              <w:t xml:space="preserve">:  </w:t>
            </w:r>
            <w:r w:rsidRPr="007D0A79">
              <w:rPr>
                <w:rFonts w:ascii="Times New Roman" w:hAnsi="Times New Roman" w:cs="Times New Roman"/>
              </w:rPr>
              <w:t xml:space="preserve"> TCATACAAAACATCGATCCCAGTGTCC</w:t>
            </w:r>
          </w:p>
        </w:tc>
        <w:tc>
          <w:tcPr>
            <w:tcW w:w="1417" w:type="dxa"/>
            <w:vAlign w:val="bottom"/>
          </w:tcPr>
          <w:p w14:paraId="5807EB4E" w14:textId="5F7C5731" w:rsidR="008C04B6" w:rsidRPr="00C23B89" w:rsidRDefault="00242686" w:rsidP="0086460F">
            <w:pPr>
              <w:spacing w:line="360" w:lineRule="auto"/>
              <w:rPr>
                <w:rFonts w:ascii="Times New Roman" w:eastAsia="Calibri" w:hAnsi="Times New Roman" w:cs="Times New Roman"/>
                <w:lang w:val="en-US"/>
              </w:rPr>
            </w:pPr>
            <w:r>
              <w:rPr>
                <w:rFonts w:ascii="Times New Roman" w:eastAsia="Calibri" w:hAnsi="Times New Roman" w:cs="Times New Roman"/>
                <w:lang w:val="en-US"/>
              </w:rPr>
              <w:t>This study</w:t>
            </w:r>
          </w:p>
        </w:tc>
      </w:tr>
      <w:tr w:rsidR="008C04B6" w:rsidRPr="00C23B89" w14:paraId="4EA6E14F" w14:textId="77777777" w:rsidTr="007D0A79">
        <w:trPr>
          <w:trHeight w:val="562"/>
        </w:trPr>
        <w:tc>
          <w:tcPr>
            <w:tcW w:w="1392" w:type="dxa"/>
            <w:vAlign w:val="bottom"/>
          </w:tcPr>
          <w:p w14:paraId="53F9714A" w14:textId="77777777" w:rsidR="007D0A79" w:rsidRDefault="008C04B6"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FgPHY1/</w:t>
            </w:r>
          </w:p>
          <w:p w14:paraId="23B4EBF5" w14:textId="20C5812D" w:rsidR="008C04B6" w:rsidRPr="007D0A79" w:rsidRDefault="008C04B6"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FcPHY1</w:t>
            </w:r>
          </w:p>
        </w:tc>
        <w:tc>
          <w:tcPr>
            <w:tcW w:w="1274" w:type="dxa"/>
            <w:vAlign w:val="bottom"/>
          </w:tcPr>
          <w:p w14:paraId="6ECCE38D" w14:textId="15455E02" w:rsidR="008C04B6" w:rsidRPr="007D0A79" w:rsidRDefault="008C04B6"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Cloning</w:t>
            </w:r>
          </w:p>
        </w:tc>
        <w:tc>
          <w:tcPr>
            <w:tcW w:w="989" w:type="dxa"/>
            <w:vAlign w:val="bottom"/>
          </w:tcPr>
          <w:p w14:paraId="4542985A" w14:textId="35329C41" w:rsidR="008C04B6" w:rsidRPr="007D0A79" w:rsidRDefault="008C04B6"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P5</w:t>
            </w:r>
          </w:p>
        </w:tc>
        <w:tc>
          <w:tcPr>
            <w:tcW w:w="11371" w:type="dxa"/>
            <w:vAlign w:val="bottom"/>
          </w:tcPr>
          <w:p w14:paraId="36D834C2" w14:textId="77777777" w:rsidR="008C04B6" w:rsidRDefault="008C04B6" w:rsidP="007D0A79">
            <w:pPr>
              <w:spacing w:line="360" w:lineRule="auto"/>
              <w:contextualSpacing/>
              <w:rPr>
                <w:rFonts w:ascii="Times New Roman" w:hAnsi="Times New Roman" w:cs="Times New Roman"/>
              </w:rPr>
            </w:pPr>
            <w:proofErr w:type="spellStart"/>
            <w:r w:rsidRPr="007D0A79">
              <w:rPr>
                <w:rFonts w:ascii="Times New Roman" w:eastAsia="Calibri" w:hAnsi="Times New Roman" w:cs="Times New Roman"/>
                <w:lang w:val="en-US"/>
              </w:rPr>
              <w:t>Fw</w:t>
            </w:r>
            <w:proofErr w:type="spellEnd"/>
            <w:r w:rsidRPr="007D0A79">
              <w:rPr>
                <w:rFonts w:ascii="Times New Roman" w:eastAsia="Calibri" w:hAnsi="Times New Roman" w:cs="Times New Roman"/>
                <w:lang w:val="en-US"/>
              </w:rPr>
              <w:t xml:space="preserve">: </w:t>
            </w:r>
            <w:r w:rsidR="007D0A79" w:rsidRPr="007D0A79">
              <w:rPr>
                <w:rFonts w:ascii="Times New Roman" w:hAnsi="Times New Roman" w:cs="Times New Roman"/>
              </w:rPr>
              <w:t>GAAGAAGGGGTATCTCTCGAGAAAAGAGAGGCTGAAGCTGAAGTCTGGGTTCACAATTACACTTTGACTTC</w:t>
            </w:r>
          </w:p>
          <w:p w14:paraId="26DB7F8D" w14:textId="28C798E5" w:rsidR="007D0A79" w:rsidRPr="007D0A79" w:rsidRDefault="007D0A79" w:rsidP="007D0A79">
            <w:pPr>
              <w:spacing w:line="360" w:lineRule="auto"/>
              <w:contextualSpacing/>
              <w:rPr>
                <w:rFonts w:ascii="Times New Roman" w:eastAsia="Calibri" w:hAnsi="Times New Roman" w:cs="Times New Roman"/>
                <w:lang w:val="en-US"/>
              </w:rPr>
            </w:pPr>
            <w:r>
              <w:rPr>
                <w:rFonts w:ascii="Times New Roman" w:hAnsi="Times New Roman" w:cs="Times New Roman"/>
              </w:rPr>
              <w:t>Rv:</w:t>
            </w:r>
            <w:r>
              <w:t xml:space="preserve"> </w:t>
            </w:r>
            <w:r w:rsidRPr="007D0A79">
              <w:rPr>
                <w:rFonts w:ascii="Times New Roman" w:hAnsi="Times New Roman" w:cs="Times New Roman"/>
              </w:rPr>
              <w:t xml:space="preserve">ATGAGTTTTTGTTCTAGATTAATGATGATGATGATGATGTGGTACAAAACATCGATCCCAGTGTCC </w:t>
            </w:r>
            <w:r>
              <w:rPr>
                <w:rFonts w:ascii="Times New Roman" w:hAnsi="Times New Roman" w:cs="Times New Roman"/>
              </w:rPr>
              <w:t xml:space="preserve"> </w:t>
            </w:r>
          </w:p>
        </w:tc>
        <w:tc>
          <w:tcPr>
            <w:tcW w:w="1417" w:type="dxa"/>
            <w:vAlign w:val="bottom"/>
          </w:tcPr>
          <w:p w14:paraId="4DB9094E" w14:textId="458529F1" w:rsidR="008C04B6" w:rsidRPr="00C23B89" w:rsidRDefault="00242686" w:rsidP="0086460F">
            <w:pPr>
              <w:spacing w:line="360" w:lineRule="auto"/>
              <w:rPr>
                <w:rFonts w:ascii="Times New Roman" w:eastAsia="Calibri" w:hAnsi="Times New Roman" w:cs="Times New Roman"/>
                <w:lang w:val="en-US"/>
              </w:rPr>
            </w:pPr>
            <w:r>
              <w:rPr>
                <w:rFonts w:ascii="Times New Roman" w:eastAsia="Calibri" w:hAnsi="Times New Roman" w:cs="Times New Roman"/>
                <w:lang w:val="en-US"/>
              </w:rPr>
              <w:t>This study</w:t>
            </w:r>
          </w:p>
        </w:tc>
      </w:tr>
      <w:tr w:rsidR="007D0A79" w:rsidRPr="00C23B89" w14:paraId="5CF0EF46" w14:textId="77777777" w:rsidTr="007D0A79">
        <w:trPr>
          <w:trHeight w:val="562"/>
        </w:trPr>
        <w:tc>
          <w:tcPr>
            <w:tcW w:w="1392" w:type="dxa"/>
            <w:vAlign w:val="bottom"/>
          </w:tcPr>
          <w:p w14:paraId="141A6129"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TRI4</w:t>
            </w:r>
          </w:p>
        </w:tc>
        <w:tc>
          <w:tcPr>
            <w:tcW w:w="1274" w:type="dxa"/>
            <w:vAlign w:val="bottom"/>
          </w:tcPr>
          <w:p w14:paraId="530E2C86"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qPCR</w:t>
            </w:r>
          </w:p>
        </w:tc>
        <w:tc>
          <w:tcPr>
            <w:tcW w:w="989" w:type="dxa"/>
            <w:vAlign w:val="bottom"/>
          </w:tcPr>
          <w:p w14:paraId="61CEE738"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Tri4</w:t>
            </w:r>
          </w:p>
        </w:tc>
        <w:tc>
          <w:tcPr>
            <w:tcW w:w="11371" w:type="dxa"/>
            <w:vAlign w:val="bottom"/>
          </w:tcPr>
          <w:p w14:paraId="598947AD" w14:textId="77777777" w:rsidR="00711EFA" w:rsidRPr="007D0A79" w:rsidRDefault="00711EFA" w:rsidP="00083BA4">
            <w:pPr>
              <w:spacing w:line="360" w:lineRule="auto"/>
              <w:contextualSpacing/>
              <w:rPr>
                <w:rFonts w:ascii="Times New Roman" w:eastAsia="Calibri" w:hAnsi="Times New Roman" w:cs="Times New Roman"/>
                <w:lang w:val="en-US"/>
              </w:rPr>
            </w:pPr>
            <w:proofErr w:type="spellStart"/>
            <w:r w:rsidRPr="007D0A79">
              <w:rPr>
                <w:rFonts w:ascii="Times New Roman" w:eastAsia="Calibri" w:hAnsi="Times New Roman" w:cs="Times New Roman"/>
                <w:lang w:val="en-US"/>
              </w:rPr>
              <w:t>Fw</w:t>
            </w:r>
            <w:proofErr w:type="spellEnd"/>
            <w:r w:rsidRPr="007D0A79">
              <w:rPr>
                <w:rFonts w:ascii="Times New Roman" w:eastAsia="Calibri" w:hAnsi="Times New Roman" w:cs="Times New Roman"/>
                <w:lang w:val="en-US"/>
              </w:rPr>
              <w:t xml:space="preserve">: TATTGTTGGCTACCCCAAGG/     </w:t>
            </w:r>
            <w:proofErr w:type="spellStart"/>
            <w:r w:rsidRPr="007D0A79">
              <w:rPr>
                <w:rFonts w:ascii="Times New Roman" w:eastAsia="Calibri" w:hAnsi="Times New Roman" w:cs="Times New Roman"/>
                <w:lang w:val="en-US"/>
              </w:rPr>
              <w:t>Rv</w:t>
            </w:r>
            <w:proofErr w:type="spellEnd"/>
            <w:r w:rsidRPr="007D0A79">
              <w:rPr>
                <w:rFonts w:ascii="Times New Roman" w:eastAsia="Calibri" w:hAnsi="Times New Roman" w:cs="Times New Roman"/>
                <w:lang w:val="en-US"/>
              </w:rPr>
              <w:t>: TGTCAGATGCGCCTTACAAA</w:t>
            </w:r>
          </w:p>
        </w:tc>
        <w:tc>
          <w:tcPr>
            <w:tcW w:w="1417" w:type="dxa"/>
            <w:vAlign w:val="bottom"/>
          </w:tcPr>
          <w:p w14:paraId="028FAD1D" w14:textId="0A0ABED0" w:rsidR="00711EFA" w:rsidRPr="00C23B89" w:rsidRDefault="0036693D" w:rsidP="0086460F">
            <w:pPr>
              <w:spacing w:line="360" w:lineRule="auto"/>
              <w:rPr>
                <w:rFonts w:ascii="Times New Roman" w:eastAsia="Calibri" w:hAnsi="Times New Roman" w:cs="Times New Roman"/>
                <w:lang w:val="en-US"/>
              </w:rPr>
            </w:pPr>
            <w:r w:rsidRPr="00C23B89">
              <w:rPr>
                <w:rFonts w:ascii="Times New Roman" w:eastAsia="Calibri" w:hAnsi="Times New Roman" w:cs="Times New Roman"/>
                <w:lang w:val="en-US"/>
              </w:rPr>
              <w:fldChar w:fldCharType="begin" w:fldLock="1"/>
            </w:r>
            <w:r w:rsidR="004763BF" w:rsidRPr="00C23B89">
              <w:rPr>
                <w:rFonts w:ascii="Times New Roman" w:eastAsia="Calibri" w:hAnsi="Times New Roman" w:cs="Times New Roman"/>
                <w:lang w:val="en-US"/>
              </w:rPr>
              <w:instrText>ADDIN CSL_CITATION {"citationItems":[{"id":"ITEM-1","itemData":{"DOI":"10.1016/j.mycres.2009.02.010","ISBN":"6-7","abstract":"The effect of ferulic acid, the most abundant phenolic acid in wheat bran, was studied in vitro on type B trichothecene biosynthesis by Fusarium. It was demonstrated that ferulic acid is an efficient inhibitor of mycotoxin production by all strains of Fusarium tested, including different chemotypes and species. To analyse the mechanism of toxin biosynthesis inhibition by ferulic acid, expression of representative Tri genes, involved in the trichothecene biosynthesis pathway, was monitored by real-time RT-PGR. A decrease in the level of Tri gene expression was measured,. suggesting that inhibition of toxin synthesis by ferulic acid could be regulated at the transcriptional level. Moreover, toxin production was shown to be reduced proportionally to the initial amount of ferulic acid added in the culture medium. Addition of ferulic acid either at the spore germination step or to a mycelial culture resulted in the same final inhibitory effect on mycotoxin accumulation. A cumulative inhibitory effect on trichothecene biosynthesis was even observed with successive supplementation of ferulic acid. Ferulic acid, which content varies among wheat varieties, could then play an important role in modulating trichothecene biosynthesis by Fusarium in some wheat varieties. (C) 2009 The British Mycological Society. Published by Elsevier Ltd. All rights reserved.","author":[{"dropping-particle":"","family":"Boutigny","given":"A L","non-dropping-particle":"","parse-names":false,"suffix":""},{"dropping-particle":"","family":"Barreau","given":"C","non-dropping-particle":"","parse-names":false,"suffix":""},{"dropping-particle":"","family":"Atanasova-Penichon","given":"V","non-dropping-particle":"","parse-names":false,"suffix":""},{"dropping-particle":"","family":"Verdal-Bonnin","given":"M N","non-dropping-particle":"","parse-names":false,"suffix":""},{"dropping-particle":"","family":"Pinson-Gadais","given":"L","non-dropping-particle":"","parse-names":false,"suffix":""},{"dropping-particle":"","family":"Richard-Forget","given":"F","non-dropping-particle":"","parse-names":false,"suffix":""}],"id":"ITEM-1","issued":{"date-parts":[["2009"]]},"note":"Boutigny, Anne-Laure Barreau, Christian Atanasova-Penichon, Vessela Verdal-Bonnin, Marie-Noelle Pinson-Gadais, Laetitia Richard-Forget, Florence\nMycological research\n0953-7562\n113","page":"746-753","title":"Ferulic acid, an efficient inhibitor of type B trichothecene biosynthesis and Tri gene expression in Fusarium liquid cultures","type":"patent"},"uris":["http://www.mendeley.com/documents/?uuid=9919835b-bbac-4866-998a-06660ff2f084"]}],"mendeley":{"formattedCitation":"&lt;sup&gt;2&lt;/sup&gt;","plainTextFormattedCitation":"2","previouslyFormattedCitation":"&lt;sup&gt;2&lt;/sup&gt;"},"properties":{"noteIndex":0},"schema":"https://github.com/citation-style-language/schema/raw/master/csl-citation.json"}</w:instrText>
            </w:r>
            <w:r w:rsidRPr="00C23B89">
              <w:rPr>
                <w:rFonts w:ascii="Times New Roman" w:eastAsia="Calibri" w:hAnsi="Times New Roman" w:cs="Times New Roman"/>
                <w:lang w:val="en-US"/>
              </w:rPr>
              <w:fldChar w:fldCharType="separate"/>
            </w:r>
            <w:r w:rsidR="00D30607" w:rsidRPr="00C23B89">
              <w:rPr>
                <w:rFonts w:ascii="Times New Roman" w:eastAsia="Calibri" w:hAnsi="Times New Roman" w:cs="Times New Roman"/>
                <w:noProof/>
                <w:vertAlign w:val="superscript"/>
                <w:lang w:val="en-US"/>
              </w:rPr>
              <w:t>2</w:t>
            </w:r>
            <w:r w:rsidRPr="00C23B89">
              <w:rPr>
                <w:rFonts w:ascii="Times New Roman" w:eastAsia="Calibri" w:hAnsi="Times New Roman" w:cs="Times New Roman"/>
                <w:lang w:val="en-US"/>
              </w:rPr>
              <w:fldChar w:fldCharType="end"/>
            </w:r>
          </w:p>
        </w:tc>
      </w:tr>
      <w:tr w:rsidR="007D0A79" w:rsidRPr="00C23B89" w14:paraId="28F7F0FC" w14:textId="77777777" w:rsidTr="007D0A79">
        <w:trPr>
          <w:trHeight w:val="562"/>
        </w:trPr>
        <w:tc>
          <w:tcPr>
            <w:tcW w:w="1392" w:type="dxa"/>
            <w:vAlign w:val="bottom"/>
          </w:tcPr>
          <w:p w14:paraId="2218440C"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TRI5</w:t>
            </w:r>
          </w:p>
        </w:tc>
        <w:tc>
          <w:tcPr>
            <w:tcW w:w="1274" w:type="dxa"/>
            <w:vAlign w:val="bottom"/>
          </w:tcPr>
          <w:p w14:paraId="17F75542"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qPCR</w:t>
            </w:r>
          </w:p>
        </w:tc>
        <w:tc>
          <w:tcPr>
            <w:tcW w:w="989" w:type="dxa"/>
            <w:vAlign w:val="bottom"/>
          </w:tcPr>
          <w:p w14:paraId="068E70BD"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Tri5</w:t>
            </w:r>
          </w:p>
        </w:tc>
        <w:tc>
          <w:tcPr>
            <w:tcW w:w="11371" w:type="dxa"/>
            <w:vAlign w:val="bottom"/>
          </w:tcPr>
          <w:p w14:paraId="2187B923" w14:textId="77777777" w:rsidR="00711EFA" w:rsidRPr="007D0A79" w:rsidRDefault="00711EFA" w:rsidP="00083BA4">
            <w:pPr>
              <w:spacing w:line="360" w:lineRule="auto"/>
              <w:contextualSpacing/>
              <w:rPr>
                <w:rFonts w:ascii="Times New Roman" w:eastAsia="Calibri" w:hAnsi="Times New Roman" w:cs="Times New Roman"/>
                <w:lang w:val="en-US"/>
              </w:rPr>
            </w:pPr>
            <w:proofErr w:type="spellStart"/>
            <w:r w:rsidRPr="007D0A79">
              <w:rPr>
                <w:rFonts w:ascii="Times New Roman" w:eastAsia="Calibri" w:hAnsi="Times New Roman" w:cs="Times New Roman"/>
                <w:lang w:val="en-US"/>
              </w:rPr>
              <w:t>Fw</w:t>
            </w:r>
            <w:proofErr w:type="spellEnd"/>
            <w:r w:rsidRPr="007D0A79">
              <w:rPr>
                <w:rFonts w:ascii="Times New Roman" w:eastAsia="Calibri" w:hAnsi="Times New Roman" w:cs="Times New Roman"/>
                <w:lang w:val="en-US"/>
              </w:rPr>
              <w:t xml:space="preserve">: TGAAAAGGTCAAGGATCAGGA/ </w:t>
            </w:r>
            <w:proofErr w:type="spellStart"/>
            <w:r w:rsidRPr="007D0A79">
              <w:rPr>
                <w:rFonts w:ascii="Times New Roman" w:eastAsia="Calibri" w:hAnsi="Times New Roman" w:cs="Times New Roman"/>
                <w:lang w:val="en-US"/>
              </w:rPr>
              <w:t>Rv</w:t>
            </w:r>
            <w:proofErr w:type="spellEnd"/>
            <w:r w:rsidRPr="007D0A79">
              <w:rPr>
                <w:rFonts w:ascii="Times New Roman" w:eastAsia="Calibri" w:hAnsi="Times New Roman" w:cs="Times New Roman"/>
                <w:lang w:val="en-US"/>
              </w:rPr>
              <w:t>: CCTGCTCAAAGAACTTGCAGA</w:t>
            </w:r>
          </w:p>
        </w:tc>
        <w:tc>
          <w:tcPr>
            <w:tcW w:w="1417" w:type="dxa"/>
            <w:vAlign w:val="bottom"/>
          </w:tcPr>
          <w:p w14:paraId="6ED62936" w14:textId="41BA1805" w:rsidR="00711EFA" w:rsidRPr="00C23B89" w:rsidRDefault="0036693D" w:rsidP="0086460F">
            <w:pPr>
              <w:spacing w:line="360" w:lineRule="auto"/>
              <w:rPr>
                <w:rFonts w:ascii="Times New Roman" w:eastAsia="Calibri" w:hAnsi="Times New Roman" w:cs="Times New Roman"/>
                <w:lang w:val="en-US"/>
              </w:rPr>
            </w:pPr>
            <w:r w:rsidRPr="00C23B89">
              <w:rPr>
                <w:rFonts w:ascii="Times New Roman" w:eastAsia="Calibri" w:hAnsi="Times New Roman" w:cs="Times New Roman"/>
                <w:lang w:val="en-US"/>
              </w:rPr>
              <w:fldChar w:fldCharType="begin" w:fldLock="1"/>
            </w:r>
            <w:r w:rsidR="004763BF" w:rsidRPr="00C23B89">
              <w:rPr>
                <w:rFonts w:ascii="Times New Roman" w:eastAsia="Calibri" w:hAnsi="Times New Roman" w:cs="Times New Roman"/>
                <w:lang w:val="en-US"/>
              </w:rPr>
              <w:instrText>ADDIN CSL_CITATION {"citationItems":[{"id":"ITEM-1","itemData":{"DOI":"10.1016/j.mycres.2009.02.010","ISBN":"6-7","abstract":"The effect of ferulic acid, the most abundant phenolic acid in wheat bran, was studied in vitro on type B trichothecene biosynthesis by Fusarium. It was demonstrated that ferulic acid is an efficient inhibitor of mycotoxin production by all strains of Fusarium tested, including different chemotypes and species. To analyse the mechanism of toxin biosynthesis inhibition by ferulic acid, expression of representative Tri genes, involved in the trichothecene biosynthesis pathway, was monitored by real-time RT-PGR. A decrease in the level of Tri gene expression was measured,. suggesting that inhibition of toxin synthesis by ferulic acid could be regulated at the transcriptional level. Moreover, toxin production was shown to be reduced proportionally to the initial amount of ferulic acid added in the culture medium. Addition of ferulic acid either at the spore germination step or to a mycelial culture resulted in the same final inhibitory effect on mycotoxin accumulation. A cumulative inhibitory effect on trichothecene biosynthesis was even observed with successive supplementation of ferulic acid. Ferulic acid, which content varies among wheat varieties, could then play an important role in modulating trichothecene biosynthesis by Fusarium in some wheat varieties. (C) 2009 The British Mycological Society. Published by Elsevier Ltd. All rights reserved.","author":[{"dropping-particle":"","family":"Boutigny","given":"A L","non-dropping-particle":"","parse-names":false,"suffix":""},{"dropping-particle":"","family":"Barreau","given":"C","non-dropping-particle":"","parse-names":false,"suffix":""},{"dropping-particle":"","family":"Atanasova-Penichon","given":"V","non-dropping-particle":"","parse-names":false,"suffix":""},{"dropping-particle":"","family":"Verdal-Bonnin","given":"M N","non-dropping-particle":"","parse-names":false,"suffix":""},{"dropping-particle":"","family":"Pinson-Gadais","given":"L","non-dropping-particle":"","parse-names":false,"suffix":""},{"dropping-particle":"","family":"Richard-Forget","given":"F","non-dropping-particle":"","parse-names":false,"suffix":""}],"id":"ITEM-1","issued":{"date-parts":[["2009"]]},"note":"Boutigny, Anne-Laure Barreau, Christian Atanasova-Penichon, Vessela Verdal-Bonnin, Marie-Noelle Pinson-Gadais, Laetitia Richard-Forget, Florence\nMycological research\n0953-7562\n113","page":"746-753","title":"Ferulic acid, an efficient inhibitor of type B trichothecene biosynthesis and Tri gene expression in Fusarium liquid cultures","type":"patent"},"uris":["http://www.mendeley.com/documents/?uuid=9919835b-bbac-4866-998a-06660ff2f084"]}],"mendeley":{"formattedCitation":"&lt;sup&gt;2&lt;/sup&gt;","plainTextFormattedCitation":"2","previouslyFormattedCitation":"&lt;sup&gt;2&lt;/sup&gt;"},"properties":{"noteIndex":0},"schema":"https://github.com/citation-style-language/schema/raw/master/csl-citation.json"}</w:instrText>
            </w:r>
            <w:r w:rsidRPr="00C23B89">
              <w:rPr>
                <w:rFonts w:ascii="Times New Roman" w:eastAsia="Calibri" w:hAnsi="Times New Roman" w:cs="Times New Roman"/>
                <w:lang w:val="en-US"/>
              </w:rPr>
              <w:fldChar w:fldCharType="separate"/>
            </w:r>
            <w:r w:rsidR="00D30607" w:rsidRPr="00C23B89">
              <w:rPr>
                <w:rFonts w:ascii="Times New Roman" w:eastAsia="Calibri" w:hAnsi="Times New Roman" w:cs="Times New Roman"/>
                <w:noProof/>
                <w:vertAlign w:val="superscript"/>
                <w:lang w:val="en-US"/>
              </w:rPr>
              <w:t>2</w:t>
            </w:r>
            <w:r w:rsidRPr="00C23B89">
              <w:rPr>
                <w:rFonts w:ascii="Times New Roman" w:eastAsia="Calibri" w:hAnsi="Times New Roman" w:cs="Times New Roman"/>
                <w:lang w:val="en-US"/>
              </w:rPr>
              <w:fldChar w:fldCharType="end"/>
            </w:r>
          </w:p>
        </w:tc>
      </w:tr>
      <w:tr w:rsidR="007D0A79" w:rsidRPr="00C23B89" w14:paraId="2C2CC313" w14:textId="77777777" w:rsidTr="007D0A79">
        <w:trPr>
          <w:trHeight w:val="562"/>
        </w:trPr>
        <w:tc>
          <w:tcPr>
            <w:tcW w:w="1392" w:type="dxa"/>
            <w:vAlign w:val="bottom"/>
          </w:tcPr>
          <w:p w14:paraId="4AE4AA78"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TRI6</w:t>
            </w:r>
          </w:p>
        </w:tc>
        <w:tc>
          <w:tcPr>
            <w:tcW w:w="1274" w:type="dxa"/>
            <w:vAlign w:val="bottom"/>
          </w:tcPr>
          <w:p w14:paraId="416C9CE7"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qPCR</w:t>
            </w:r>
          </w:p>
        </w:tc>
        <w:tc>
          <w:tcPr>
            <w:tcW w:w="989" w:type="dxa"/>
            <w:vAlign w:val="bottom"/>
          </w:tcPr>
          <w:p w14:paraId="7ECC258D"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Tri6</w:t>
            </w:r>
          </w:p>
        </w:tc>
        <w:tc>
          <w:tcPr>
            <w:tcW w:w="11371" w:type="dxa"/>
            <w:vAlign w:val="bottom"/>
          </w:tcPr>
          <w:p w14:paraId="78C9980B" w14:textId="77777777" w:rsidR="00711EFA" w:rsidRPr="007D0A79" w:rsidRDefault="00711EFA" w:rsidP="00083BA4">
            <w:pPr>
              <w:spacing w:line="360" w:lineRule="auto"/>
              <w:contextualSpacing/>
              <w:rPr>
                <w:rFonts w:ascii="Times New Roman" w:eastAsia="Calibri" w:hAnsi="Times New Roman" w:cs="Times New Roman"/>
                <w:lang w:val="en-US"/>
              </w:rPr>
            </w:pPr>
            <w:proofErr w:type="spellStart"/>
            <w:r w:rsidRPr="007D0A79">
              <w:rPr>
                <w:rFonts w:ascii="Times New Roman" w:eastAsia="Calibri" w:hAnsi="Times New Roman" w:cs="Times New Roman"/>
                <w:lang w:val="en-US"/>
              </w:rPr>
              <w:t>Fw</w:t>
            </w:r>
            <w:proofErr w:type="spellEnd"/>
            <w:r w:rsidRPr="007D0A79">
              <w:rPr>
                <w:rFonts w:ascii="Times New Roman" w:eastAsia="Calibri" w:hAnsi="Times New Roman" w:cs="Times New Roman"/>
                <w:lang w:val="en-US"/>
              </w:rPr>
              <w:t xml:space="preserve">: TTACATGGAGGCCGAATCTC/    </w:t>
            </w:r>
            <w:proofErr w:type="spellStart"/>
            <w:r w:rsidRPr="007D0A79">
              <w:rPr>
                <w:rFonts w:ascii="Times New Roman" w:eastAsia="Calibri" w:hAnsi="Times New Roman" w:cs="Times New Roman"/>
                <w:lang w:val="en-US"/>
              </w:rPr>
              <w:t>Rv</w:t>
            </w:r>
            <w:proofErr w:type="spellEnd"/>
            <w:r w:rsidRPr="007D0A79">
              <w:rPr>
                <w:rFonts w:ascii="Times New Roman" w:eastAsia="Calibri" w:hAnsi="Times New Roman" w:cs="Times New Roman"/>
                <w:lang w:val="en-US"/>
              </w:rPr>
              <w:t>:  AGACGCAACTCGATCAAAGAG</w:t>
            </w:r>
          </w:p>
        </w:tc>
        <w:tc>
          <w:tcPr>
            <w:tcW w:w="1417" w:type="dxa"/>
            <w:vAlign w:val="bottom"/>
          </w:tcPr>
          <w:p w14:paraId="68DAC7B8" w14:textId="54F36B0D" w:rsidR="00711EFA" w:rsidRPr="00C23B89" w:rsidRDefault="0036693D" w:rsidP="0086460F">
            <w:pPr>
              <w:spacing w:line="360" w:lineRule="auto"/>
              <w:rPr>
                <w:rFonts w:ascii="Times New Roman" w:eastAsia="Calibri" w:hAnsi="Times New Roman" w:cs="Times New Roman"/>
                <w:lang w:val="en-US"/>
              </w:rPr>
            </w:pPr>
            <w:r w:rsidRPr="00C23B89">
              <w:rPr>
                <w:rFonts w:ascii="Times New Roman" w:eastAsia="Calibri" w:hAnsi="Times New Roman" w:cs="Times New Roman"/>
                <w:lang w:val="en-US"/>
              </w:rPr>
              <w:fldChar w:fldCharType="begin" w:fldLock="1"/>
            </w:r>
            <w:r w:rsidR="004763BF" w:rsidRPr="00C23B89">
              <w:rPr>
                <w:rFonts w:ascii="Times New Roman" w:eastAsia="Calibri" w:hAnsi="Times New Roman" w:cs="Times New Roman"/>
                <w:lang w:val="en-US"/>
              </w:rPr>
              <w:instrText>ADDIN CSL_CITATION {"citationItems":[{"id":"ITEM-1","itemData":{"DOI":"10.1016/j.mycres.2009.02.010","ISBN":"6-7","abstract":"The effect of ferulic acid, the most abundant phenolic acid in wheat bran, was studied in vitro on type B trichothecene biosynthesis by Fusarium. It was demonstrated that ferulic acid is an efficient inhibitor of mycotoxin production by all strains of Fusarium tested, including different chemotypes and species. To analyse the mechanism of toxin biosynthesis inhibition by ferulic acid, expression of representative Tri genes, involved in the trichothecene biosynthesis pathway, was monitored by real-time RT-PGR. A decrease in the level of Tri gene expression was measured,. suggesting that inhibition of toxin synthesis by ferulic acid could be regulated at the transcriptional level. Moreover, toxin production was shown to be reduced proportionally to the initial amount of ferulic acid added in the culture medium. Addition of ferulic acid either at the spore germination step or to a mycelial culture resulted in the same final inhibitory effect on mycotoxin accumulation. A cumulative inhibitory effect on trichothecene biosynthesis was even observed with successive supplementation of ferulic acid. Ferulic acid, which content varies among wheat varieties, could then play an important role in modulating trichothecene biosynthesis by Fusarium in some wheat varieties. (C) 2009 The British Mycological Society. Published by Elsevier Ltd. All rights reserved.","author":[{"dropping-particle":"","family":"Boutigny","given":"A L","non-dropping-particle":"","parse-names":false,"suffix":""},{"dropping-particle":"","family":"Barreau","given":"C","non-dropping-particle":"","parse-names":false,"suffix":""},{"dropping-particle":"","family":"Atanasova-Penichon","given":"V","non-dropping-particle":"","parse-names":false,"suffix":""},{"dropping-particle":"","family":"Verdal-Bonnin","given":"M N","non-dropping-particle":"","parse-names":false,"suffix":""},{"dropping-particle":"","family":"Pinson-Gadais","given":"L","non-dropping-particle":"","parse-names":false,"suffix":""},{"dropping-particle":"","family":"Richard-Forget","given":"F","non-dropping-particle":"","parse-names":false,"suffix":""}],"id":"ITEM-1","issued":{"date-parts":[["2009"]]},"note":"Boutigny, Anne-Laure Barreau, Christian Atanasova-Penichon, Vessela Verdal-Bonnin, Marie-Noelle Pinson-Gadais, Laetitia Richard-Forget, Florence\nMycological research\n0953-7562\n113","page":"746-753","title":"Ferulic acid, an efficient inhibitor of type B trichothecene biosynthesis and Tri gene expression in Fusarium liquid cultures","type":"patent"},"uris":["http://www.mendeley.com/documents/?uuid=9919835b-bbac-4866-998a-06660ff2f084"]}],"mendeley":{"formattedCitation":"&lt;sup&gt;2&lt;/sup&gt;","plainTextFormattedCitation":"2","previouslyFormattedCitation":"&lt;sup&gt;2&lt;/sup&gt;"},"properties":{"noteIndex":0},"schema":"https://github.com/citation-style-language/schema/raw/master/csl-citation.json"}</w:instrText>
            </w:r>
            <w:r w:rsidRPr="00C23B89">
              <w:rPr>
                <w:rFonts w:ascii="Times New Roman" w:eastAsia="Calibri" w:hAnsi="Times New Roman" w:cs="Times New Roman"/>
                <w:lang w:val="en-US"/>
              </w:rPr>
              <w:fldChar w:fldCharType="separate"/>
            </w:r>
            <w:r w:rsidR="00D30607" w:rsidRPr="00C23B89">
              <w:rPr>
                <w:rFonts w:ascii="Times New Roman" w:eastAsia="Calibri" w:hAnsi="Times New Roman" w:cs="Times New Roman"/>
                <w:noProof/>
                <w:vertAlign w:val="superscript"/>
                <w:lang w:val="en-US"/>
              </w:rPr>
              <w:t>2</w:t>
            </w:r>
            <w:r w:rsidRPr="00C23B89">
              <w:rPr>
                <w:rFonts w:ascii="Times New Roman" w:eastAsia="Calibri" w:hAnsi="Times New Roman" w:cs="Times New Roman"/>
                <w:lang w:val="en-US"/>
              </w:rPr>
              <w:fldChar w:fldCharType="end"/>
            </w:r>
          </w:p>
        </w:tc>
      </w:tr>
      <w:tr w:rsidR="007D0A79" w:rsidRPr="00C23B89" w14:paraId="47AC3FD0" w14:textId="77777777" w:rsidTr="007D0A79">
        <w:trPr>
          <w:trHeight w:val="562"/>
        </w:trPr>
        <w:tc>
          <w:tcPr>
            <w:tcW w:w="1392" w:type="dxa"/>
            <w:vAlign w:val="bottom"/>
          </w:tcPr>
          <w:p w14:paraId="4C447297"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TRI12</w:t>
            </w:r>
          </w:p>
        </w:tc>
        <w:tc>
          <w:tcPr>
            <w:tcW w:w="1274" w:type="dxa"/>
            <w:vAlign w:val="bottom"/>
          </w:tcPr>
          <w:p w14:paraId="78ECD7A7"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qPCR</w:t>
            </w:r>
          </w:p>
        </w:tc>
        <w:tc>
          <w:tcPr>
            <w:tcW w:w="989" w:type="dxa"/>
            <w:vAlign w:val="bottom"/>
          </w:tcPr>
          <w:p w14:paraId="311A28D7"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Tri12</w:t>
            </w:r>
          </w:p>
        </w:tc>
        <w:tc>
          <w:tcPr>
            <w:tcW w:w="11371" w:type="dxa"/>
            <w:vAlign w:val="bottom"/>
          </w:tcPr>
          <w:p w14:paraId="539D8DA8" w14:textId="77777777" w:rsidR="00711EFA" w:rsidRPr="007D0A79" w:rsidRDefault="00711EFA" w:rsidP="00083BA4">
            <w:pPr>
              <w:spacing w:line="360" w:lineRule="auto"/>
              <w:contextualSpacing/>
              <w:rPr>
                <w:rFonts w:ascii="Times New Roman" w:eastAsia="Calibri" w:hAnsi="Times New Roman" w:cs="Times New Roman"/>
                <w:lang w:val="en-US"/>
              </w:rPr>
            </w:pPr>
            <w:proofErr w:type="spellStart"/>
            <w:r w:rsidRPr="007D0A79">
              <w:rPr>
                <w:rFonts w:ascii="Times New Roman" w:eastAsia="Calibri" w:hAnsi="Times New Roman" w:cs="Times New Roman"/>
                <w:lang w:val="en-US"/>
              </w:rPr>
              <w:t>Fw</w:t>
            </w:r>
            <w:proofErr w:type="spellEnd"/>
            <w:r w:rsidRPr="007D0A79">
              <w:rPr>
                <w:rFonts w:ascii="Times New Roman" w:eastAsia="Calibri" w:hAnsi="Times New Roman" w:cs="Times New Roman"/>
                <w:lang w:val="en-US"/>
              </w:rPr>
              <w:t xml:space="preserve">: ATTCGGTACATGGGCT/       </w:t>
            </w:r>
            <w:proofErr w:type="spellStart"/>
            <w:r w:rsidRPr="007D0A79">
              <w:rPr>
                <w:rFonts w:ascii="Times New Roman" w:eastAsia="Calibri" w:hAnsi="Times New Roman" w:cs="Times New Roman"/>
                <w:lang w:val="en-US"/>
              </w:rPr>
              <w:t>Rv</w:t>
            </w:r>
            <w:proofErr w:type="spellEnd"/>
            <w:r w:rsidRPr="007D0A79">
              <w:rPr>
                <w:rFonts w:ascii="Times New Roman" w:eastAsia="Calibri" w:hAnsi="Times New Roman" w:cs="Times New Roman"/>
                <w:lang w:val="en-US"/>
              </w:rPr>
              <w:t>: GCAGTGCTGTTCGTCA</w:t>
            </w:r>
          </w:p>
        </w:tc>
        <w:tc>
          <w:tcPr>
            <w:tcW w:w="1417" w:type="dxa"/>
            <w:vAlign w:val="bottom"/>
          </w:tcPr>
          <w:p w14:paraId="5E503FCB" w14:textId="71A16614" w:rsidR="00711EFA" w:rsidRPr="00C23B89" w:rsidRDefault="0036693D" w:rsidP="0086460F">
            <w:pPr>
              <w:spacing w:line="360" w:lineRule="auto"/>
              <w:rPr>
                <w:rFonts w:ascii="Times New Roman" w:eastAsia="Calibri" w:hAnsi="Times New Roman" w:cs="Times New Roman"/>
                <w:lang w:val="en-US"/>
              </w:rPr>
            </w:pPr>
            <w:r w:rsidRPr="00C23B89">
              <w:rPr>
                <w:rFonts w:ascii="Times New Roman" w:eastAsia="Calibri" w:hAnsi="Times New Roman" w:cs="Times New Roman"/>
                <w:lang w:val="en-US"/>
              </w:rPr>
              <w:fldChar w:fldCharType="begin" w:fldLock="1"/>
            </w:r>
            <w:r w:rsidR="004763BF" w:rsidRPr="00C23B89">
              <w:rPr>
                <w:rFonts w:ascii="Times New Roman" w:eastAsia="Calibri" w:hAnsi="Times New Roman" w:cs="Times New Roman"/>
                <w:lang w:val="en-US"/>
              </w:rPr>
              <w:instrText>ADDIN CSL_CITATION {"citationItems":[{"id":"ITEM-1","itemData":{"DOI":"10.1016/j.mycres.2009.02.010","ISBN":"6-7","abstract":"The effect of ferulic acid, the most abundant phenolic acid in wheat bran, was studied in vitro on type B trichothecene biosynthesis by Fusarium. It was demonstrated that ferulic acid is an efficient inhibitor of mycotoxin production by all strains of Fusarium tested, including different chemotypes and species. To analyse the mechanism of toxin biosynthesis inhibition by ferulic acid, expression of representative Tri genes, involved in the trichothecene biosynthesis pathway, was monitored by real-time RT-PGR. A decrease in the level of Tri gene expression was measured,. suggesting that inhibition of toxin synthesis by ferulic acid could be regulated at the transcriptional level. Moreover, toxin production was shown to be reduced proportionally to the initial amount of ferulic acid added in the culture medium. Addition of ferulic acid either at the spore germination step or to a mycelial culture resulted in the same final inhibitory effect on mycotoxin accumulation. A cumulative inhibitory effect on trichothecene biosynthesis was even observed with successive supplementation of ferulic acid. Ferulic acid, which content varies among wheat varieties, could then play an important role in modulating trichothecene biosynthesis by Fusarium in some wheat varieties. (C) 2009 The British Mycological Society. Published by Elsevier Ltd. All rights reserved.","author":[{"dropping-particle":"","family":"Boutigny","given":"A L","non-dropping-particle":"","parse-names":false,"suffix":""},{"dropping-particle":"","family":"Barreau","given":"C","non-dropping-particle":"","parse-names":false,"suffix":""},{"dropping-particle":"","family":"Atanasova-Penichon","given":"V","non-dropping-particle":"","parse-names":false,"suffix":""},{"dropping-particle":"","family":"Verdal-Bonnin","given":"M N","non-dropping-particle":"","parse-names":false,"suffix":""},{"dropping-particle":"","family":"Pinson-Gadais","given":"L","non-dropping-particle":"","parse-names":false,"suffix":""},{"dropping-particle":"","family":"Richard-Forget","given":"F","non-dropping-particle":"","parse-names":false,"suffix":""}],"id":"ITEM-1","issued":{"date-parts":[["2009"]]},"note":"Boutigny, Anne-Laure Barreau, Christian Atanasova-Penichon, Vessela Verdal-Bonnin, Marie-Noelle Pinson-Gadais, Laetitia Richard-Forget, Florence\nMycological research\n0953-7562\n113","page":"746-753","title":"Ferulic acid, an efficient inhibitor of type B trichothecene biosynthesis and Tri gene expression in Fusarium liquid cultures","type":"patent"},"uris":["http://www.mendeley.com/documents/?uuid=9919835b-bbac-4866-998a-06660ff2f084"]}],"mendeley":{"formattedCitation":"&lt;sup&gt;2&lt;/sup&gt;","plainTextFormattedCitation":"2","previouslyFormattedCitation":"&lt;sup&gt;2&lt;/sup&gt;"},"properties":{"noteIndex":0},"schema":"https://github.com/citation-style-language/schema/raw/master/csl-citation.json"}</w:instrText>
            </w:r>
            <w:r w:rsidRPr="00C23B89">
              <w:rPr>
                <w:rFonts w:ascii="Times New Roman" w:eastAsia="Calibri" w:hAnsi="Times New Roman" w:cs="Times New Roman"/>
                <w:lang w:val="en-US"/>
              </w:rPr>
              <w:fldChar w:fldCharType="separate"/>
            </w:r>
            <w:r w:rsidR="00D30607" w:rsidRPr="00C23B89">
              <w:rPr>
                <w:rFonts w:ascii="Times New Roman" w:eastAsia="Calibri" w:hAnsi="Times New Roman" w:cs="Times New Roman"/>
                <w:noProof/>
                <w:vertAlign w:val="superscript"/>
                <w:lang w:val="en-US"/>
              </w:rPr>
              <w:t>2</w:t>
            </w:r>
            <w:r w:rsidRPr="00C23B89">
              <w:rPr>
                <w:rFonts w:ascii="Times New Roman" w:eastAsia="Calibri" w:hAnsi="Times New Roman" w:cs="Times New Roman"/>
                <w:lang w:val="en-US"/>
              </w:rPr>
              <w:fldChar w:fldCharType="end"/>
            </w:r>
          </w:p>
        </w:tc>
      </w:tr>
      <w:tr w:rsidR="007D0A79" w:rsidRPr="00C23B89" w14:paraId="1238628F" w14:textId="77777777" w:rsidTr="007D0A79">
        <w:trPr>
          <w:trHeight w:val="328"/>
        </w:trPr>
        <w:tc>
          <w:tcPr>
            <w:tcW w:w="1392" w:type="dxa"/>
            <w:vAlign w:val="bottom"/>
          </w:tcPr>
          <w:p w14:paraId="3618EC13"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GADPH</w:t>
            </w:r>
          </w:p>
        </w:tc>
        <w:tc>
          <w:tcPr>
            <w:tcW w:w="1274" w:type="dxa"/>
            <w:vAlign w:val="bottom"/>
          </w:tcPr>
          <w:p w14:paraId="752562C0"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qPCR</w:t>
            </w:r>
          </w:p>
        </w:tc>
        <w:tc>
          <w:tcPr>
            <w:tcW w:w="989" w:type="dxa"/>
            <w:vAlign w:val="bottom"/>
          </w:tcPr>
          <w:p w14:paraId="364A5563" w14:textId="77777777" w:rsidR="00711EFA" w:rsidRPr="007D0A79" w:rsidRDefault="00711EFA" w:rsidP="00083BA4">
            <w:pPr>
              <w:spacing w:line="360" w:lineRule="auto"/>
              <w:contextualSpacing/>
              <w:rPr>
                <w:rFonts w:ascii="Times New Roman" w:eastAsia="Calibri" w:hAnsi="Times New Roman" w:cs="Times New Roman"/>
                <w:lang w:val="en-US"/>
              </w:rPr>
            </w:pPr>
            <w:r w:rsidRPr="007D0A79">
              <w:rPr>
                <w:rFonts w:ascii="Times New Roman" w:eastAsia="Calibri" w:hAnsi="Times New Roman" w:cs="Times New Roman"/>
                <w:lang w:val="en-US"/>
              </w:rPr>
              <w:t xml:space="preserve">Gpd </w:t>
            </w:r>
          </w:p>
        </w:tc>
        <w:tc>
          <w:tcPr>
            <w:tcW w:w="11371" w:type="dxa"/>
            <w:vAlign w:val="bottom"/>
          </w:tcPr>
          <w:p w14:paraId="5CBA97B2" w14:textId="77777777" w:rsidR="00711EFA" w:rsidRPr="007D0A79" w:rsidRDefault="00711EFA" w:rsidP="00083BA4">
            <w:pPr>
              <w:spacing w:line="360" w:lineRule="auto"/>
              <w:contextualSpacing/>
              <w:rPr>
                <w:rFonts w:ascii="Times New Roman" w:eastAsia="Calibri" w:hAnsi="Times New Roman" w:cs="Times New Roman"/>
                <w:lang w:val="en-US"/>
              </w:rPr>
            </w:pPr>
            <w:proofErr w:type="spellStart"/>
            <w:r w:rsidRPr="007D0A79">
              <w:rPr>
                <w:rFonts w:ascii="Times New Roman" w:eastAsia="Calibri" w:hAnsi="Times New Roman" w:cs="Times New Roman"/>
                <w:lang w:val="en-US"/>
              </w:rPr>
              <w:t>Fw</w:t>
            </w:r>
            <w:proofErr w:type="spellEnd"/>
            <w:r w:rsidRPr="007D0A79">
              <w:rPr>
                <w:rFonts w:ascii="Times New Roman" w:eastAsia="Calibri" w:hAnsi="Times New Roman" w:cs="Times New Roman"/>
                <w:lang w:val="en-US"/>
              </w:rPr>
              <w:t xml:space="preserve">: CTCCCTCAACGACAACTTCG /   </w:t>
            </w:r>
            <w:proofErr w:type="spellStart"/>
            <w:r w:rsidRPr="007D0A79">
              <w:rPr>
                <w:rFonts w:ascii="Times New Roman" w:eastAsia="Calibri" w:hAnsi="Times New Roman" w:cs="Times New Roman"/>
                <w:lang w:val="en-US"/>
              </w:rPr>
              <w:t>Rv</w:t>
            </w:r>
            <w:proofErr w:type="spellEnd"/>
            <w:r w:rsidRPr="007D0A79">
              <w:rPr>
                <w:rFonts w:ascii="Times New Roman" w:eastAsia="Calibri" w:hAnsi="Times New Roman" w:cs="Times New Roman"/>
                <w:lang w:val="en-US"/>
              </w:rPr>
              <w:t>: GGAGTAACCCCACTCGTTGTC</w:t>
            </w:r>
          </w:p>
        </w:tc>
        <w:tc>
          <w:tcPr>
            <w:tcW w:w="1417" w:type="dxa"/>
            <w:vAlign w:val="bottom"/>
          </w:tcPr>
          <w:p w14:paraId="7D5A749B" w14:textId="7602E8D5" w:rsidR="00711EFA" w:rsidRPr="00C23B89" w:rsidRDefault="0036693D" w:rsidP="0086460F">
            <w:pPr>
              <w:spacing w:line="360" w:lineRule="auto"/>
              <w:rPr>
                <w:rFonts w:ascii="Times New Roman" w:eastAsia="Calibri" w:hAnsi="Times New Roman" w:cs="Times New Roman"/>
                <w:lang w:val="en-US"/>
              </w:rPr>
            </w:pPr>
            <w:r w:rsidRPr="00C23B89">
              <w:rPr>
                <w:rFonts w:ascii="Times New Roman" w:eastAsia="Calibri" w:hAnsi="Times New Roman" w:cs="Times New Roman"/>
                <w:lang w:val="en-US"/>
              </w:rPr>
              <w:fldChar w:fldCharType="begin" w:fldLock="1"/>
            </w:r>
            <w:r w:rsidR="004763BF" w:rsidRPr="00C23B89">
              <w:rPr>
                <w:rFonts w:ascii="Times New Roman" w:eastAsia="Calibri" w:hAnsi="Times New Roman" w:cs="Times New Roman"/>
                <w:lang w:val="en-US"/>
              </w:rPr>
              <w:instrText>ADDIN CSL_CITATION {"citationItems":[{"id":"ITEM-1","itemData":{"DOI":"10.1016/j.mycres.2009.02.010","ISBN":"6-7","abstract":"The effect of ferulic acid, the most abundant phenolic acid in wheat bran, was studied in vitro on type B trichothecene biosynthesis by Fusarium. It was demonstrated that ferulic acid is an efficient inhibitor of mycotoxin production by all strains of Fusarium tested, including different chemotypes and species. To analyse the mechanism of toxin biosynthesis inhibition by ferulic acid, expression of representative Tri genes, involved in the trichothecene biosynthesis pathway, was monitored by real-time RT-PGR. A decrease in the level of Tri gene expression was measured,. suggesting that inhibition of toxin synthesis by ferulic acid could be regulated at the transcriptional level. Moreover, toxin production was shown to be reduced proportionally to the initial amount of ferulic acid added in the culture medium. Addition of ferulic acid either at the spore germination step or to a mycelial culture resulted in the same final inhibitory effect on mycotoxin accumulation. A cumulative inhibitory effect on trichothecene biosynthesis was even observed with successive supplementation of ferulic acid. Ferulic acid, which content varies among wheat varieties, could then play an important role in modulating trichothecene biosynthesis by Fusarium in some wheat varieties. (C) 2009 The British Mycological Society. Published by Elsevier Ltd. All rights reserved.","author":[{"dropping-particle":"","family":"Boutigny","given":"A L","non-dropping-particle":"","parse-names":false,"suffix":""},{"dropping-particle":"","family":"Barreau","given":"C","non-dropping-particle":"","parse-names":false,"suffix":""},{"dropping-particle":"","family":"Atanasova-Penichon","given":"V","non-dropping-particle":"","parse-names":false,"suffix":""},{"dropping-particle":"","family":"Verdal-Bonnin","given":"M N","non-dropping-particle":"","parse-names":false,"suffix":""},{"dropping-particle":"","family":"Pinson-Gadais","given":"L","non-dropping-particle":"","parse-names":false,"suffix":""},{"dropping-particle":"","family":"Richard-Forget","given":"F","non-dropping-particle":"","parse-names":false,"suffix":""}],"id":"ITEM-1","issued":{"date-parts":[["2009"]]},"note":"Boutigny, Anne-Laure Barreau, Christian Atanasova-Penichon, Vessela Verdal-Bonnin, Marie-Noelle Pinson-Gadais, Laetitia Richard-Forget, Florence\nMycological research\n0953-7562\n113","page":"746-753","title":"Ferulic acid, an efficient inhibitor of type B trichothecene biosynthesis and Tri gene expression in Fusarium liquid cultures","type":"patent"},"uris":["http://www.mendeley.com/documents/?uuid=9919835b-bbac-4866-998a-06660ff2f084"]}],"mendeley":{"formattedCitation":"&lt;sup&gt;2&lt;/sup&gt;","plainTextFormattedCitation":"2","previouslyFormattedCitation":"&lt;sup&gt;2&lt;/sup&gt;"},"properties":{"noteIndex":0},"schema":"https://github.com/citation-style-language/schema/raw/master/csl-citation.json"}</w:instrText>
            </w:r>
            <w:r w:rsidRPr="00C23B89">
              <w:rPr>
                <w:rFonts w:ascii="Times New Roman" w:eastAsia="Calibri" w:hAnsi="Times New Roman" w:cs="Times New Roman"/>
                <w:lang w:val="en-US"/>
              </w:rPr>
              <w:fldChar w:fldCharType="separate"/>
            </w:r>
            <w:r w:rsidR="00D30607" w:rsidRPr="00C23B89">
              <w:rPr>
                <w:rFonts w:ascii="Times New Roman" w:eastAsia="Calibri" w:hAnsi="Times New Roman" w:cs="Times New Roman"/>
                <w:noProof/>
                <w:vertAlign w:val="superscript"/>
                <w:lang w:val="en-US"/>
              </w:rPr>
              <w:t>2</w:t>
            </w:r>
            <w:r w:rsidRPr="00C23B89">
              <w:rPr>
                <w:rFonts w:ascii="Times New Roman" w:eastAsia="Calibri" w:hAnsi="Times New Roman" w:cs="Times New Roman"/>
                <w:lang w:val="en-US"/>
              </w:rPr>
              <w:fldChar w:fldCharType="end"/>
            </w:r>
          </w:p>
        </w:tc>
      </w:tr>
    </w:tbl>
    <w:p w14:paraId="1829D25B" w14:textId="77777777" w:rsidR="00711EFA" w:rsidRPr="00C23B89" w:rsidRDefault="00711EFA" w:rsidP="00711EFA">
      <w:pPr>
        <w:spacing w:after="200" w:line="480" w:lineRule="auto"/>
        <w:rPr>
          <w:rFonts w:ascii="Times New Roman" w:eastAsia="Calibri" w:hAnsi="Times New Roman" w:cs="Times New Roman"/>
          <w:sz w:val="24"/>
          <w:szCs w:val="24"/>
          <w:lang w:val="en-US"/>
        </w:rPr>
        <w:sectPr w:rsidR="00711EFA" w:rsidRPr="00C23B89" w:rsidSect="00711EFA">
          <w:pgSz w:w="16838" w:h="11906" w:orient="landscape"/>
          <w:pgMar w:top="1134" w:right="1701" w:bottom="1134" w:left="1701" w:header="709" w:footer="709" w:gutter="0"/>
          <w:lnNumType w:countBy="1" w:restart="continuous"/>
          <w:cols w:space="708"/>
          <w:docGrid w:linePitch="360"/>
        </w:sectPr>
      </w:pPr>
    </w:p>
    <w:p w14:paraId="1777AEB3" w14:textId="770F5B16" w:rsidR="00711EFA" w:rsidRPr="00BF71AA" w:rsidRDefault="00476D9A" w:rsidP="00017586">
      <w:pPr>
        <w:spacing w:after="0" w:line="480" w:lineRule="auto"/>
        <w:ind w:left="720" w:hanging="720"/>
        <w:rPr>
          <w:rFonts w:ascii="Times New Roman" w:eastAsia="Calibri" w:hAnsi="Times New Roman" w:cs="Times New Roman"/>
          <w:b/>
          <w:noProof/>
          <w:sz w:val="28"/>
          <w:szCs w:val="28"/>
          <w:lang w:val="en-US"/>
        </w:rPr>
      </w:pPr>
      <w:r w:rsidRPr="00BF71AA">
        <w:rPr>
          <w:rFonts w:ascii="Times New Roman" w:eastAsia="Calibri" w:hAnsi="Times New Roman" w:cs="Times New Roman"/>
          <w:b/>
          <w:noProof/>
          <w:sz w:val="28"/>
          <w:szCs w:val="28"/>
          <w:lang w:val="en-US"/>
        </w:rPr>
        <w:lastRenderedPageBreak/>
        <w:t>R</w:t>
      </w:r>
      <w:r w:rsidR="00AA06B1" w:rsidRPr="00BF71AA">
        <w:rPr>
          <w:rFonts w:ascii="Times New Roman" w:eastAsia="Calibri" w:hAnsi="Times New Roman" w:cs="Times New Roman"/>
          <w:b/>
          <w:noProof/>
          <w:sz w:val="28"/>
          <w:szCs w:val="28"/>
          <w:lang w:val="en-US"/>
        </w:rPr>
        <w:t>eferences</w:t>
      </w:r>
    </w:p>
    <w:p w14:paraId="6B8D7973" w14:textId="57F290BA" w:rsidR="004763BF" w:rsidRDefault="004314AA" w:rsidP="00AA06B1">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sidRPr="00C23B89">
        <w:rPr>
          <w:rFonts w:ascii="Times New Roman" w:eastAsia="Calibri" w:hAnsi="Times New Roman" w:cs="Times New Roman"/>
          <w:b/>
          <w:noProof/>
          <w:sz w:val="24"/>
          <w:szCs w:val="24"/>
          <w:lang w:val="en-US"/>
        </w:rPr>
        <w:fldChar w:fldCharType="begin" w:fldLock="1"/>
      </w:r>
      <w:r w:rsidRPr="00C23B89">
        <w:rPr>
          <w:rFonts w:ascii="Times New Roman" w:eastAsia="Calibri" w:hAnsi="Times New Roman" w:cs="Times New Roman"/>
          <w:b/>
          <w:noProof/>
          <w:sz w:val="24"/>
          <w:szCs w:val="24"/>
          <w:lang w:val="en-US"/>
        </w:rPr>
        <w:instrText xml:space="preserve">ADDIN Mendeley Bibliography CSL_BIBLIOGRAPHY </w:instrText>
      </w:r>
      <w:r w:rsidRPr="00C23B89">
        <w:rPr>
          <w:rFonts w:ascii="Times New Roman" w:eastAsia="Calibri" w:hAnsi="Times New Roman" w:cs="Times New Roman"/>
          <w:b/>
          <w:noProof/>
          <w:sz w:val="24"/>
          <w:szCs w:val="24"/>
          <w:lang w:val="en-US"/>
        </w:rPr>
        <w:fldChar w:fldCharType="separate"/>
      </w:r>
      <w:r w:rsidR="004763BF" w:rsidRPr="00C23B89">
        <w:rPr>
          <w:rFonts w:ascii="Times New Roman" w:hAnsi="Times New Roman" w:cs="Times New Roman"/>
          <w:noProof/>
          <w:sz w:val="24"/>
          <w:szCs w:val="24"/>
          <w:lang w:val="en-US"/>
        </w:rPr>
        <w:t xml:space="preserve">(1) </w:t>
      </w:r>
      <w:r w:rsidR="004763BF" w:rsidRPr="00C23B89">
        <w:rPr>
          <w:rFonts w:ascii="Times New Roman" w:hAnsi="Times New Roman" w:cs="Times New Roman"/>
          <w:noProof/>
          <w:sz w:val="24"/>
          <w:szCs w:val="24"/>
          <w:lang w:val="en-US"/>
        </w:rPr>
        <w:tab/>
        <w:t xml:space="preserve">Xuan, Y. J.; Zhou, X. S.; Zhang, W. W.; Zhang, X.; Song, Z. W.; Zhang, Y. X. An Upstream Activation Sequence Controls the Expression of AOX1 Gene in Pichia Pastoris. </w:t>
      </w:r>
      <w:r w:rsidR="004763BF" w:rsidRPr="00C23B89">
        <w:rPr>
          <w:rFonts w:ascii="Times New Roman" w:hAnsi="Times New Roman" w:cs="Times New Roman"/>
          <w:i/>
          <w:iCs/>
          <w:noProof/>
          <w:sz w:val="24"/>
          <w:szCs w:val="24"/>
          <w:lang w:val="en-US"/>
        </w:rPr>
        <w:t>FEMS Yeast Res.</w:t>
      </w:r>
      <w:r w:rsidR="004763BF" w:rsidRPr="00C23B89">
        <w:rPr>
          <w:rFonts w:ascii="Times New Roman" w:hAnsi="Times New Roman" w:cs="Times New Roman"/>
          <w:noProof/>
          <w:sz w:val="24"/>
          <w:szCs w:val="24"/>
          <w:lang w:val="en-US"/>
        </w:rPr>
        <w:t xml:space="preserve"> </w:t>
      </w:r>
      <w:r w:rsidR="004763BF" w:rsidRPr="00C23B89">
        <w:rPr>
          <w:rFonts w:ascii="Times New Roman" w:hAnsi="Times New Roman" w:cs="Times New Roman"/>
          <w:b/>
          <w:bCs/>
          <w:noProof/>
          <w:sz w:val="24"/>
          <w:szCs w:val="24"/>
          <w:lang w:val="en-US"/>
        </w:rPr>
        <w:t>2009</w:t>
      </w:r>
      <w:r w:rsidR="004763BF" w:rsidRPr="00C23B89">
        <w:rPr>
          <w:rFonts w:ascii="Times New Roman" w:hAnsi="Times New Roman" w:cs="Times New Roman"/>
          <w:noProof/>
          <w:sz w:val="24"/>
          <w:szCs w:val="24"/>
          <w:lang w:val="en-US"/>
        </w:rPr>
        <w:t xml:space="preserve">, </w:t>
      </w:r>
      <w:r w:rsidR="004763BF" w:rsidRPr="00C23B89">
        <w:rPr>
          <w:rFonts w:ascii="Times New Roman" w:hAnsi="Times New Roman" w:cs="Times New Roman"/>
          <w:i/>
          <w:iCs/>
          <w:noProof/>
          <w:sz w:val="24"/>
          <w:szCs w:val="24"/>
          <w:lang w:val="en-US"/>
        </w:rPr>
        <w:t>9</w:t>
      </w:r>
      <w:r w:rsidR="004763BF" w:rsidRPr="00C23B89">
        <w:rPr>
          <w:rFonts w:ascii="Times New Roman" w:hAnsi="Times New Roman" w:cs="Times New Roman"/>
          <w:noProof/>
          <w:sz w:val="24"/>
          <w:szCs w:val="24"/>
          <w:lang w:val="en-US"/>
        </w:rPr>
        <w:t xml:space="preserve"> (8), 1271–1282. https://doi.org/10.1111/j.1567-1364.2009.00571.x.</w:t>
      </w:r>
    </w:p>
    <w:p w14:paraId="0FA7031E" w14:textId="77777777" w:rsidR="00AA06B1" w:rsidRPr="00C23B89" w:rsidRDefault="00AA06B1" w:rsidP="00AA06B1">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p>
    <w:p w14:paraId="2D7933AE" w14:textId="77777777" w:rsidR="004763BF" w:rsidRPr="00C23B89" w:rsidRDefault="004763BF" w:rsidP="00AA06B1">
      <w:pPr>
        <w:widowControl w:val="0"/>
        <w:autoSpaceDE w:val="0"/>
        <w:autoSpaceDN w:val="0"/>
        <w:adjustRightInd w:val="0"/>
        <w:spacing w:after="0" w:line="240" w:lineRule="auto"/>
        <w:ind w:left="640" w:hanging="640"/>
        <w:rPr>
          <w:rFonts w:ascii="Times New Roman" w:hAnsi="Times New Roman" w:cs="Times New Roman"/>
          <w:noProof/>
          <w:sz w:val="24"/>
          <w:lang w:val="en-US"/>
        </w:rPr>
      </w:pPr>
      <w:r w:rsidRPr="00C23B89">
        <w:rPr>
          <w:rFonts w:ascii="Times New Roman" w:hAnsi="Times New Roman" w:cs="Times New Roman"/>
          <w:noProof/>
          <w:sz w:val="24"/>
          <w:szCs w:val="24"/>
          <w:lang w:val="en-US"/>
        </w:rPr>
        <w:t xml:space="preserve">(2) </w:t>
      </w:r>
      <w:r w:rsidRPr="00C23B89">
        <w:rPr>
          <w:rFonts w:ascii="Times New Roman" w:hAnsi="Times New Roman" w:cs="Times New Roman"/>
          <w:noProof/>
          <w:sz w:val="24"/>
          <w:szCs w:val="24"/>
          <w:lang w:val="en-US"/>
        </w:rPr>
        <w:tab/>
        <w:t xml:space="preserve">Boutigny, A. L.; Barreau, C.; Atanasova-Penichon, V.; Verdal-Bonnin, M. N.; Pinson-Gadais, L.; Richard-Forget, F. Ferulic Acid, an Efficient Inhibitor of Type B Trichothecene Biosynthesis and Tri Gene Expression in Fusarium Liquid Cultures, </w:t>
      </w:r>
      <w:r w:rsidRPr="00C23B89">
        <w:rPr>
          <w:rFonts w:ascii="Times New Roman" w:hAnsi="Times New Roman" w:cs="Times New Roman"/>
          <w:b/>
          <w:noProof/>
          <w:sz w:val="24"/>
          <w:szCs w:val="24"/>
          <w:lang w:val="en-US"/>
        </w:rPr>
        <w:t>2009</w:t>
      </w:r>
      <w:r w:rsidRPr="00C23B89">
        <w:rPr>
          <w:rFonts w:ascii="Times New Roman" w:hAnsi="Times New Roman" w:cs="Times New Roman"/>
          <w:noProof/>
          <w:sz w:val="24"/>
          <w:szCs w:val="24"/>
          <w:lang w:val="en-US"/>
        </w:rPr>
        <w:t>. https://doi.org/10.1016/j.mycres.2009.02.010.</w:t>
      </w:r>
    </w:p>
    <w:p w14:paraId="6D309C99" w14:textId="77777777" w:rsidR="004314AA" w:rsidRPr="00C23B89" w:rsidRDefault="004314AA" w:rsidP="00AA06B1">
      <w:pPr>
        <w:spacing w:after="0" w:line="240" w:lineRule="auto"/>
        <w:ind w:left="720" w:hanging="720"/>
        <w:rPr>
          <w:rFonts w:ascii="Times New Roman" w:eastAsia="Calibri" w:hAnsi="Times New Roman" w:cs="Times New Roman"/>
          <w:b/>
          <w:noProof/>
          <w:sz w:val="24"/>
          <w:szCs w:val="24"/>
          <w:lang w:val="en-US"/>
        </w:rPr>
      </w:pPr>
      <w:r w:rsidRPr="00C23B89">
        <w:rPr>
          <w:rFonts w:ascii="Times New Roman" w:eastAsia="Calibri" w:hAnsi="Times New Roman" w:cs="Times New Roman"/>
          <w:b/>
          <w:noProof/>
          <w:sz w:val="24"/>
          <w:szCs w:val="24"/>
          <w:lang w:val="en-US"/>
        </w:rPr>
        <w:fldChar w:fldCharType="end"/>
      </w:r>
    </w:p>
    <w:sectPr w:rsidR="004314AA" w:rsidRPr="00C23B89" w:rsidSect="00D50C57">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BE464D4"/>
    <w:lvl w:ilvl="0">
      <w:start w:val="1"/>
      <w:numFmt w:val="decimal"/>
      <w:lvlText w:val="%1."/>
      <w:lvlJc w:val="left"/>
      <w:pPr>
        <w:tabs>
          <w:tab w:val="num" w:pos="360"/>
        </w:tabs>
        <w:ind w:left="360" w:hanging="360"/>
      </w:pPr>
    </w:lvl>
  </w:abstractNum>
  <w:abstractNum w:abstractNumId="1" w15:restartNumberingAfterBreak="0">
    <w:nsid w:val="28CE2F6F"/>
    <w:multiLevelType w:val="hybridMultilevel"/>
    <w:tmpl w:val="DEA4FEC2"/>
    <w:lvl w:ilvl="0" w:tplc="90A6C5E2">
      <w:start w:val="1"/>
      <w:numFmt w:val="bullet"/>
      <w:lvlText w:val=""/>
      <w:lvlJc w:val="left"/>
      <w:pPr>
        <w:ind w:left="720" w:hanging="360"/>
      </w:pPr>
      <w:rPr>
        <w:rFonts w:ascii="Symbol" w:hAnsi="Symbol" w:hint="default"/>
        <w:b/>
        <w:i w:val="0"/>
        <w:sz w:val="3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436A5A"/>
    <w:multiLevelType w:val="hybridMultilevel"/>
    <w:tmpl w:val="BAA8738A"/>
    <w:lvl w:ilvl="0" w:tplc="90A6C5E2">
      <w:start w:val="1"/>
      <w:numFmt w:val="bullet"/>
      <w:lvlText w:val=""/>
      <w:lvlJc w:val="left"/>
      <w:pPr>
        <w:ind w:left="720" w:hanging="360"/>
      </w:pPr>
      <w:rPr>
        <w:rFonts w:ascii="Symbol" w:hAnsi="Symbol" w:hint="default"/>
        <w:b/>
        <w:i w:val="0"/>
        <w:sz w:val="3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1C905C5"/>
    <w:multiLevelType w:val="hybridMultilevel"/>
    <w:tmpl w:val="2F7CF6D2"/>
    <w:lvl w:ilvl="0" w:tplc="90A6C5E2">
      <w:start w:val="1"/>
      <w:numFmt w:val="bullet"/>
      <w:pStyle w:val="ListNumber"/>
      <w:lvlText w:val=""/>
      <w:lvlJc w:val="left"/>
      <w:pPr>
        <w:ind w:left="720" w:hanging="360"/>
      </w:pPr>
      <w:rPr>
        <w:rFonts w:ascii="Symbol" w:hAnsi="Symbol" w:hint="default"/>
        <w:b/>
        <w:i w:val="0"/>
        <w:sz w:val="3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Nature Biotechn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tf9aswg2fwzme2fw7pxts72dswspwtf5x0&quot;&gt;My EndNote Library&lt;record-ids&gt;&lt;item&gt;356&lt;/item&gt;&lt;item&gt;532&lt;/item&gt;&lt;item&gt;533&lt;/item&gt;&lt;/record-ids&gt;&lt;/item&gt;&lt;/Libraries&gt;"/>
  </w:docVars>
  <w:rsids>
    <w:rsidRoot w:val="00711EFA"/>
    <w:rsid w:val="00002910"/>
    <w:rsid w:val="000109DD"/>
    <w:rsid w:val="00015235"/>
    <w:rsid w:val="00017586"/>
    <w:rsid w:val="00042000"/>
    <w:rsid w:val="000804D2"/>
    <w:rsid w:val="000817A6"/>
    <w:rsid w:val="00083BA4"/>
    <w:rsid w:val="00084470"/>
    <w:rsid w:val="0009517B"/>
    <w:rsid w:val="000A0C7C"/>
    <w:rsid w:val="000A5462"/>
    <w:rsid w:val="000B4676"/>
    <w:rsid w:val="000E3C8E"/>
    <w:rsid w:val="000E4C02"/>
    <w:rsid w:val="001004FA"/>
    <w:rsid w:val="001368AF"/>
    <w:rsid w:val="00153C90"/>
    <w:rsid w:val="00164D0C"/>
    <w:rsid w:val="00175115"/>
    <w:rsid w:val="001A6104"/>
    <w:rsid w:val="001C0CCA"/>
    <w:rsid w:val="001C3F0A"/>
    <w:rsid w:val="001D2578"/>
    <w:rsid w:val="001D7489"/>
    <w:rsid w:val="002064BA"/>
    <w:rsid w:val="00207A97"/>
    <w:rsid w:val="002130EE"/>
    <w:rsid w:val="00232D84"/>
    <w:rsid w:val="00237BF6"/>
    <w:rsid w:val="00242686"/>
    <w:rsid w:val="00244114"/>
    <w:rsid w:val="00246D09"/>
    <w:rsid w:val="002566D6"/>
    <w:rsid w:val="002573E2"/>
    <w:rsid w:val="002707FF"/>
    <w:rsid w:val="002752D7"/>
    <w:rsid w:val="00275DFB"/>
    <w:rsid w:val="00287387"/>
    <w:rsid w:val="002A541E"/>
    <w:rsid w:val="002B2F4C"/>
    <w:rsid w:val="002C02AF"/>
    <w:rsid w:val="002C31FC"/>
    <w:rsid w:val="002D53A5"/>
    <w:rsid w:val="002D716C"/>
    <w:rsid w:val="002E5F8D"/>
    <w:rsid w:val="002F03C6"/>
    <w:rsid w:val="002F2FFA"/>
    <w:rsid w:val="002F766F"/>
    <w:rsid w:val="00312CB8"/>
    <w:rsid w:val="0036693D"/>
    <w:rsid w:val="00372F56"/>
    <w:rsid w:val="00386F56"/>
    <w:rsid w:val="003B6B89"/>
    <w:rsid w:val="003D3A17"/>
    <w:rsid w:val="003F2110"/>
    <w:rsid w:val="00413A4C"/>
    <w:rsid w:val="00414781"/>
    <w:rsid w:val="00421439"/>
    <w:rsid w:val="004314AA"/>
    <w:rsid w:val="00434251"/>
    <w:rsid w:val="0045600B"/>
    <w:rsid w:val="00467FF7"/>
    <w:rsid w:val="0047554C"/>
    <w:rsid w:val="004763BF"/>
    <w:rsid w:val="00476D9A"/>
    <w:rsid w:val="00480A1A"/>
    <w:rsid w:val="004A3478"/>
    <w:rsid w:val="004B219F"/>
    <w:rsid w:val="004B507B"/>
    <w:rsid w:val="004C39E2"/>
    <w:rsid w:val="004C45BD"/>
    <w:rsid w:val="004D3CA9"/>
    <w:rsid w:val="004E0955"/>
    <w:rsid w:val="00505D46"/>
    <w:rsid w:val="00521779"/>
    <w:rsid w:val="00530EF4"/>
    <w:rsid w:val="00544742"/>
    <w:rsid w:val="00547275"/>
    <w:rsid w:val="005A7453"/>
    <w:rsid w:val="005B16B6"/>
    <w:rsid w:val="005C69E7"/>
    <w:rsid w:val="005E7F8C"/>
    <w:rsid w:val="006147D7"/>
    <w:rsid w:val="00615FED"/>
    <w:rsid w:val="006223F3"/>
    <w:rsid w:val="00624EB9"/>
    <w:rsid w:val="00626108"/>
    <w:rsid w:val="0062747B"/>
    <w:rsid w:val="0064210F"/>
    <w:rsid w:val="00645603"/>
    <w:rsid w:val="00646DEA"/>
    <w:rsid w:val="006542F2"/>
    <w:rsid w:val="006563F2"/>
    <w:rsid w:val="00685D44"/>
    <w:rsid w:val="00687ECB"/>
    <w:rsid w:val="00687F49"/>
    <w:rsid w:val="006B18D1"/>
    <w:rsid w:val="006E749A"/>
    <w:rsid w:val="006F06C2"/>
    <w:rsid w:val="006F4C87"/>
    <w:rsid w:val="007018AC"/>
    <w:rsid w:val="00702784"/>
    <w:rsid w:val="00711EFA"/>
    <w:rsid w:val="00735F09"/>
    <w:rsid w:val="00737BC7"/>
    <w:rsid w:val="00752612"/>
    <w:rsid w:val="007729BA"/>
    <w:rsid w:val="00774DB8"/>
    <w:rsid w:val="007A3C9F"/>
    <w:rsid w:val="007B3788"/>
    <w:rsid w:val="007B664A"/>
    <w:rsid w:val="007C2362"/>
    <w:rsid w:val="007C3D64"/>
    <w:rsid w:val="007C69D8"/>
    <w:rsid w:val="007D0A79"/>
    <w:rsid w:val="007E4706"/>
    <w:rsid w:val="007F3766"/>
    <w:rsid w:val="007F6EC4"/>
    <w:rsid w:val="00803C5D"/>
    <w:rsid w:val="008169A2"/>
    <w:rsid w:val="00850B20"/>
    <w:rsid w:val="0086460F"/>
    <w:rsid w:val="00871D6A"/>
    <w:rsid w:val="00872779"/>
    <w:rsid w:val="00893405"/>
    <w:rsid w:val="008A1588"/>
    <w:rsid w:val="008C04B6"/>
    <w:rsid w:val="008C17A2"/>
    <w:rsid w:val="008C7324"/>
    <w:rsid w:val="008D00B9"/>
    <w:rsid w:val="008D2F6F"/>
    <w:rsid w:val="008D3C17"/>
    <w:rsid w:val="008F5CFB"/>
    <w:rsid w:val="008F64F8"/>
    <w:rsid w:val="009110B0"/>
    <w:rsid w:val="009145CA"/>
    <w:rsid w:val="00917354"/>
    <w:rsid w:val="00930101"/>
    <w:rsid w:val="009501A7"/>
    <w:rsid w:val="009A4B6F"/>
    <w:rsid w:val="009C55D8"/>
    <w:rsid w:val="009D7C90"/>
    <w:rsid w:val="009E50BE"/>
    <w:rsid w:val="00A0790C"/>
    <w:rsid w:val="00A16AD9"/>
    <w:rsid w:val="00A77038"/>
    <w:rsid w:val="00A842EE"/>
    <w:rsid w:val="00AA06B1"/>
    <w:rsid w:val="00AB1769"/>
    <w:rsid w:val="00AB4283"/>
    <w:rsid w:val="00AC27C2"/>
    <w:rsid w:val="00AE1BCF"/>
    <w:rsid w:val="00B01BD1"/>
    <w:rsid w:val="00B0200B"/>
    <w:rsid w:val="00B179DD"/>
    <w:rsid w:val="00B206DA"/>
    <w:rsid w:val="00B33545"/>
    <w:rsid w:val="00B377A8"/>
    <w:rsid w:val="00B40718"/>
    <w:rsid w:val="00B500A8"/>
    <w:rsid w:val="00B51361"/>
    <w:rsid w:val="00B51378"/>
    <w:rsid w:val="00B72A01"/>
    <w:rsid w:val="00B91D8F"/>
    <w:rsid w:val="00BA2E0C"/>
    <w:rsid w:val="00BC27FD"/>
    <w:rsid w:val="00BC600B"/>
    <w:rsid w:val="00BF33BD"/>
    <w:rsid w:val="00BF71AA"/>
    <w:rsid w:val="00C04B88"/>
    <w:rsid w:val="00C129BF"/>
    <w:rsid w:val="00C14933"/>
    <w:rsid w:val="00C16324"/>
    <w:rsid w:val="00C227CF"/>
    <w:rsid w:val="00C23B89"/>
    <w:rsid w:val="00C26DDA"/>
    <w:rsid w:val="00C356AA"/>
    <w:rsid w:val="00C539A0"/>
    <w:rsid w:val="00C65947"/>
    <w:rsid w:val="00C7008B"/>
    <w:rsid w:val="00C778D5"/>
    <w:rsid w:val="00C93BBE"/>
    <w:rsid w:val="00CA687D"/>
    <w:rsid w:val="00CB3510"/>
    <w:rsid w:val="00CC523A"/>
    <w:rsid w:val="00CD7B3F"/>
    <w:rsid w:val="00CE0022"/>
    <w:rsid w:val="00CF13B0"/>
    <w:rsid w:val="00CF5785"/>
    <w:rsid w:val="00D30607"/>
    <w:rsid w:val="00D44300"/>
    <w:rsid w:val="00D50C57"/>
    <w:rsid w:val="00D56558"/>
    <w:rsid w:val="00D70759"/>
    <w:rsid w:val="00D74341"/>
    <w:rsid w:val="00D81DF4"/>
    <w:rsid w:val="00DA4ED9"/>
    <w:rsid w:val="00DE22F3"/>
    <w:rsid w:val="00DE4920"/>
    <w:rsid w:val="00DF350B"/>
    <w:rsid w:val="00E00321"/>
    <w:rsid w:val="00E54D23"/>
    <w:rsid w:val="00E63098"/>
    <w:rsid w:val="00E678AE"/>
    <w:rsid w:val="00E9626D"/>
    <w:rsid w:val="00EA0406"/>
    <w:rsid w:val="00EA6466"/>
    <w:rsid w:val="00EB1EE1"/>
    <w:rsid w:val="00EB2AB8"/>
    <w:rsid w:val="00EC320A"/>
    <w:rsid w:val="00EE01C1"/>
    <w:rsid w:val="00EF77C0"/>
    <w:rsid w:val="00F1786B"/>
    <w:rsid w:val="00F212AE"/>
    <w:rsid w:val="00F50390"/>
    <w:rsid w:val="00F64E48"/>
    <w:rsid w:val="00F971BE"/>
    <w:rsid w:val="00FB22AC"/>
    <w:rsid w:val="00FB6349"/>
    <w:rsid w:val="00FE70BC"/>
    <w:rsid w:val="00FF37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47E0"/>
  <w15:chartTrackingRefBased/>
  <w15:docId w15:val="{D90A9D00-189F-46ED-BD2D-AA93AFF0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11EFA"/>
  </w:style>
  <w:style w:type="character" w:customStyle="1" w:styleId="Hyperlink1">
    <w:name w:val="Hyperlink1"/>
    <w:basedOn w:val="DefaultParagraphFont"/>
    <w:uiPriority w:val="99"/>
    <w:unhideWhenUsed/>
    <w:rsid w:val="00711EFA"/>
    <w:rPr>
      <w:color w:val="0000FF"/>
      <w:u w:val="single"/>
    </w:rPr>
  </w:style>
  <w:style w:type="character" w:styleId="LineNumber">
    <w:name w:val="line number"/>
    <w:basedOn w:val="DefaultParagraphFont"/>
    <w:uiPriority w:val="99"/>
    <w:semiHidden/>
    <w:unhideWhenUsed/>
    <w:rsid w:val="00711EFA"/>
  </w:style>
  <w:style w:type="character" w:customStyle="1" w:styleId="apple-converted-space">
    <w:name w:val="apple-converted-space"/>
    <w:basedOn w:val="DefaultParagraphFont"/>
    <w:rsid w:val="00711EFA"/>
  </w:style>
  <w:style w:type="paragraph" w:customStyle="1" w:styleId="EndNoteBibliography">
    <w:name w:val="EndNote Bibliography"/>
    <w:basedOn w:val="Normal"/>
    <w:link w:val="EndNoteBibliographyChar"/>
    <w:rsid w:val="00711EFA"/>
    <w:pPr>
      <w:spacing w:after="20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11EFA"/>
    <w:rPr>
      <w:rFonts w:ascii="Calibri" w:hAnsi="Calibri" w:cs="Calibri"/>
      <w:noProof/>
      <w:lang w:val="en-US"/>
    </w:rPr>
  </w:style>
  <w:style w:type="character" w:styleId="Emphasis">
    <w:name w:val="Emphasis"/>
    <w:basedOn w:val="DefaultParagraphFont"/>
    <w:uiPriority w:val="20"/>
    <w:qFormat/>
    <w:rsid w:val="00711EFA"/>
    <w:rPr>
      <w:i/>
      <w:iCs/>
    </w:rPr>
  </w:style>
  <w:style w:type="paragraph" w:customStyle="1" w:styleId="ListParagraph1">
    <w:name w:val="List Paragraph1"/>
    <w:basedOn w:val="Normal"/>
    <w:next w:val="ListParagraph"/>
    <w:uiPriority w:val="34"/>
    <w:qFormat/>
    <w:rsid w:val="00711EFA"/>
    <w:pPr>
      <w:spacing w:after="200" w:line="276" w:lineRule="auto"/>
      <w:ind w:left="720"/>
      <w:contextualSpacing/>
    </w:pPr>
    <w:rPr>
      <w:lang w:val="en-US"/>
    </w:rPr>
  </w:style>
  <w:style w:type="paragraph" w:customStyle="1" w:styleId="BalloonText1">
    <w:name w:val="Balloon Text1"/>
    <w:basedOn w:val="Normal"/>
    <w:next w:val="BalloonText"/>
    <w:link w:val="BalloonTextChar"/>
    <w:uiPriority w:val="99"/>
    <w:semiHidden/>
    <w:unhideWhenUsed/>
    <w:rsid w:val="00711EFA"/>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1"/>
    <w:uiPriority w:val="99"/>
    <w:semiHidden/>
    <w:rsid w:val="00711EFA"/>
    <w:rPr>
      <w:rFonts w:ascii="Tahoma" w:hAnsi="Tahoma" w:cs="Tahoma"/>
      <w:sz w:val="16"/>
      <w:szCs w:val="16"/>
      <w:lang w:val="en-US"/>
    </w:rPr>
  </w:style>
  <w:style w:type="paragraph" w:customStyle="1" w:styleId="EndNoteBibliographyTitle">
    <w:name w:val="EndNote Bibliography Title"/>
    <w:basedOn w:val="Normal"/>
    <w:link w:val="EndNoteBibliographyTitleChar"/>
    <w:rsid w:val="00711EFA"/>
    <w:pPr>
      <w:spacing w:after="0" w:line="276"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11EFA"/>
    <w:rPr>
      <w:rFonts w:ascii="Calibri" w:hAnsi="Calibri" w:cs="Calibri"/>
      <w:noProof/>
      <w:lang w:val="en-US"/>
    </w:rPr>
  </w:style>
  <w:style w:type="character" w:styleId="PlaceholderText">
    <w:name w:val="Placeholder Text"/>
    <w:basedOn w:val="DefaultParagraphFont"/>
    <w:uiPriority w:val="99"/>
    <w:semiHidden/>
    <w:rsid w:val="00711EFA"/>
    <w:rPr>
      <w:color w:val="808080"/>
    </w:rPr>
  </w:style>
  <w:style w:type="paragraph" w:customStyle="1" w:styleId="ListNumber1">
    <w:name w:val="List Number1"/>
    <w:basedOn w:val="Normal"/>
    <w:next w:val="ListNumber"/>
    <w:uiPriority w:val="99"/>
    <w:unhideWhenUsed/>
    <w:rsid w:val="00711EFA"/>
    <w:pPr>
      <w:spacing w:after="200" w:line="276" w:lineRule="auto"/>
      <w:contextualSpacing/>
    </w:pPr>
    <w:rPr>
      <w:lang w:val="en-US"/>
    </w:rPr>
  </w:style>
  <w:style w:type="table" w:customStyle="1" w:styleId="TableGrid1">
    <w:name w:val="Table Grid1"/>
    <w:basedOn w:val="TableNormal"/>
    <w:next w:val="TableGrid"/>
    <w:uiPriority w:val="59"/>
    <w:rsid w:val="00711E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1EFA"/>
    <w:pPr>
      <w:spacing w:before="100" w:beforeAutospacing="1" w:after="100" w:afterAutospacing="1" w:line="240" w:lineRule="auto"/>
    </w:pPr>
    <w:rPr>
      <w:rFonts w:ascii="Times New Roman" w:eastAsia="Times New Roman" w:hAnsi="Times New Roman" w:cs="Times New Roman"/>
      <w:sz w:val="24"/>
      <w:szCs w:val="24"/>
      <w:lang w:eastAsia="da-DK"/>
    </w:rPr>
  </w:style>
  <w:style w:type="numbering" w:customStyle="1" w:styleId="NoList11">
    <w:name w:val="No List11"/>
    <w:next w:val="NoList"/>
    <w:uiPriority w:val="99"/>
    <w:semiHidden/>
    <w:unhideWhenUsed/>
    <w:rsid w:val="00711EFA"/>
  </w:style>
  <w:style w:type="table" w:customStyle="1" w:styleId="TableGrid2">
    <w:name w:val="Table Grid2"/>
    <w:basedOn w:val="TableNormal"/>
    <w:next w:val="TableGrid"/>
    <w:uiPriority w:val="59"/>
    <w:rsid w:val="0071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711EFA"/>
    <w:pPr>
      <w:tabs>
        <w:tab w:val="center" w:pos="4819"/>
        <w:tab w:val="right" w:pos="9638"/>
      </w:tabs>
      <w:spacing w:after="0" w:line="240" w:lineRule="auto"/>
    </w:pPr>
    <w:rPr>
      <w:lang w:val="en-US"/>
    </w:rPr>
  </w:style>
  <w:style w:type="character" w:customStyle="1" w:styleId="HeaderChar">
    <w:name w:val="Header Char"/>
    <w:basedOn w:val="DefaultParagraphFont"/>
    <w:link w:val="Header1"/>
    <w:uiPriority w:val="99"/>
    <w:rsid w:val="00711EFA"/>
    <w:rPr>
      <w:lang w:val="en-US"/>
    </w:rPr>
  </w:style>
  <w:style w:type="paragraph" w:customStyle="1" w:styleId="Footer1">
    <w:name w:val="Footer1"/>
    <w:basedOn w:val="Normal"/>
    <w:next w:val="Footer"/>
    <w:link w:val="FooterChar"/>
    <w:uiPriority w:val="99"/>
    <w:unhideWhenUsed/>
    <w:rsid w:val="00711EFA"/>
    <w:pPr>
      <w:tabs>
        <w:tab w:val="center" w:pos="4819"/>
        <w:tab w:val="right" w:pos="9638"/>
      </w:tabs>
      <w:spacing w:after="0" w:line="240" w:lineRule="auto"/>
    </w:pPr>
    <w:rPr>
      <w:lang w:val="en-US"/>
    </w:rPr>
  </w:style>
  <w:style w:type="character" w:customStyle="1" w:styleId="FooterChar">
    <w:name w:val="Footer Char"/>
    <w:basedOn w:val="DefaultParagraphFont"/>
    <w:link w:val="Footer1"/>
    <w:uiPriority w:val="99"/>
    <w:rsid w:val="00711EFA"/>
    <w:rPr>
      <w:lang w:val="en-US"/>
    </w:rPr>
  </w:style>
  <w:style w:type="table" w:customStyle="1" w:styleId="LightShading1">
    <w:name w:val="Light Shading1"/>
    <w:basedOn w:val="TableNormal"/>
    <w:next w:val="LightShading"/>
    <w:uiPriority w:val="60"/>
    <w:rsid w:val="00711EFA"/>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711EFA"/>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711EFA"/>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711EFA"/>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uiPriority w:val="60"/>
    <w:rsid w:val="00711EFA"/>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TableNormal"/>
    <w:uiPriority w:val="60"/>
    <w:rsid w:val="00711EFA"/>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6">
    <w:name w:val="Light Shading6"/>
    <w:basedOn w:val="TableNormal"/>
    <w:uiPriority w:val="60"/>
    <w:rsid w:val="00711EFA"/>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7">
    <w:name w:val="Light Shading7"/>
    <w:basedOn w:val="TableNormal"/>
    <w:uiPriority w:val="60"/>
    <w:rsid w:val="00711EFA"/>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8">
    <w:name w:val="Light Shading8"/>
    <w:basedOn w:val="TableNormal"/>
    <w:uiPriority w:val="60"/>
    <w:rsid w:val="00711EFA"/>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9">
    <w:name w:val="Light Shading9"/>
    <w:basedOn w:val="TableNormal"/>
    <w:uiPriority w:val="60"/>
    <w:rsid w:val="00711EFA"/>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0">
    <w:name w:val="Light Shading10"/>
    <w:basedOn w:val="TableNormal"/>
    <w:uiPriority w:val="60"/>
    <w:rsid w:val="00711EFA"/>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711EFA"/>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TableNormal"/>
    <w:uiPriority w:val="60"/>
    <w:rsid w:val="00711EFA"/>
    <w:pPr>
      <w:spacing w:after="0" w:line="240" w:lineRule="auto"/>
    </w:pPr>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711EFA"/>
    <w:rPr>
      <w:sz w:val="16"/>
      <w:szCs w:val="16"/>
    </w:rPr>
  </w:style>
  <w:style w:type="paragraph" w:customStyle="1" w:styleId="CommentText1">
    <w:name w:val="Comment Text1"/>
    <w:basedOn w:val="Normal"/>
    <w:next w:val="CommentText"/>
    <w:link w:val="CommentTextChar"/>
    <w:uiPriority w:val="99"/>
    <w:semiHidden/>
    <w:unhideWhenUsed/>
    <w:rsid w:val="00711EFA"/>
    <w:pPr>
      <w:spacing w:after="200" w:line="240" w:lineRule="auto"/>
    </w:pPr>
    <w:rPr>
      <w:sz w:val="20"/>
      <w:szCs w:val="20"/>
      <w:lang w:val="en-US"/>
    </w:rPr>
  </w:style>
  <w:style w:type="character" w:customStyle="1" w:styleId="CommentTextChar">
    <w:name w:val="Comment Text Char"/>
    <w:basedOn w:val="DefaultParagraphFont"/>
    <w:link w:val="CommentText1"/>
    <w:uiPriority w:val="99"/>
    <w:semiHidden/>
    <w:rsid w:val="00711EFA"/>
    <w:rPr>
      <w:sz w:val="20"/>
      <w:szCs w:val="20"/>
      <w:lang w:val="en-US"/>
    </w:rPr>
  </w:style>
  <w:style w:type="paragraph" w:customStyle="1" w:styleId="CommentSubject1">
    <w:name w:val="Comment Subject1"/>
    <w:basedOn w:val="CommentText"/>
    <w:next w:val="CommentText"/>
    <w:uiPriority w:val="99"/>
    <w:semiHidden/>
    <w:unhideWhenUsed/>
    <w:rsid w:val="00711EFA"/>
    <w:pPr>
      <w:spacing w:after="200"/>
    </w:pPr>
    <w:rPr>
      <w:b/>
      <w:bCs/>
      <w:lang w:val="en-US"/>
    </w:rPr>
  </w:style>
  <w:style w:type="character" w:customStyle="1" w:styleId="CommentSubjectChar">
    <w:name w:val="Comment Subject Char"/>
    <w:basedOn w:val="CommentTextChar"/>
    <w:link w:val="CommentSubject"/>
    <w:uiPriority w:val="99"/>
    <w:semiHidden/>
    <w:rsid w:val="00711EFA"/>
    <w:rPr>
      <w:b/>
      <w:bCs/>
      <w:sz w:val="20"/>
      <w:szCs w:val="20"/>
      <w:lang w:val="en-US"/>
    </w:rPr>
  </w:style>
  <w:style w:type="paragraph" w:customStyle="1" w:styleId="Revision1">
    <w:name w:val="Revision1"/>
    <w:next w:val="Revision"/>
    <w:hidden/>
    <w:uiPriority w:val="99"/>
    <w:semiHidden/>
    <w:rsid w:val="00711EFA"/>
    <w:pPr>
      <w:spacing w:after="0" w:line="240" w:lineRule="auto"/>
    </w:pPr>
    <w:rPr>
      <w:lang w:val="en-US"/>
    </w:rPr>
  </w:style>
  <w:style w:type="character" w:styleId="Hyperlink">
    <w:name w:val="Hyperlink"/>
    <w:basedOn w:val="DefaultParagraphFont"/>
    <w:uiPriority w:val="99"/>
    <w:semiHidden/>
    <w:unhideWhenUsed/>
    <w:rsid w:val="00711EFA"/>
    <w:rPr>
      <w:color w:val="0563C1" w:themeColor="hyperlink"/>
      <w:u w:val="single"/>
    </w:rPr>
  </w:style>
  <w:style w:type="paragraph" w:styleId="ListParagraph">
    <w:name w:val="List Paragraph"/>
    <w:basedOn w:val="Normal"/>
    <w:uiPriority w:val="34"/>
    <w:qFormat/>
    <w:rsid w:val="00711EFA"/>
    <w:pPr>
      <w:ind w:left="720"/>
      <w:contextualSpacing/>
    </w:pPr>
  </w:style>
  <w:style w:type="paragraph" w:styleId="BalloonText">
    <w:name w:val="Balloon Text"/>
    <w:basedOn w:val="Normal"/>
    <w:link w:val="BalloonTextChar1"/>
    <w:uiPriority w:val="99"/>
    <w:semiHidden/>
    <w:unhideWhenUsed/>
    <w:rsid w:val="00711EF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711EFA"/>
    <w:rPr>
      <w:rFonts w:ascii="Segoe UI" w:hAnsi="Segoe UI" w:cs="Segoe UI"/>
      <w:sz w:val="18"/>
      <w:szCs w:val="18"/>
    </w:rPr>
  </w:style>
  <w:style w:type="paragraph" w:styleId="ListNumber">
    <w:name w:val="List Number"/>
    <w:basedOn w:val="Normal"/>
    <w:uiPriority w:val="99"/>
    <w:semiHidden/>
    <w:unhideWhenUsed/>
    <w:rsid w:val="00711EFA"/>
    <w:pPr>
      <w:numPr>
        <w:numId w:val="1"/>
      </w:numPr>
      <w:contextualSpacing/>
    </w:pPr>
  </w:style>
  <w:style w:type="table" w:styleId="TableGrid">
    <w:name w:val="Table Grid"/>
    <w:basedOn w:val="TableNormal"/>
    <w:uiPriority w:val="39"/>
    <w:rsid w:val="0071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711EFA"/>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711EFA"/>
  </w:style>
  <w:style w:type="paragraph" w:styleId="Footer">
    <w:name w:val="footer"/>
    <w:basedOn w:val="Normal"/>
    <w:link w:val="FooterChar1"/>
    <w:uiPriority w:val="99"/>
    <w:semiHidden/>
    <w:unhideWhenUsed/>
    <w:rsid w:val="00711EFA"/>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711EFA"/>
  </w:style>
  <w:style w:type="table" w:styleId="LightShading">
    <w:name w:val="Light Shading"/>
    <w:basedOn w:val="TableNormal"/>
    <w:uiPriority w:val="60"/>
    <w:semiHidden/>
    <w:unhideWhenUsed/>
    <w:rsid w:val="00711E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link w:val="CommentTextChar1"/>
    <w:uiPriority w:val="99"/>
    <w:semiHidden/>
    <w:unhideWhenUsed/>
    <w:rsid w:val="00711EFA"/>
    <w:pPr>
      <w:spacing w:line="240" w:lineRule="auto"/>
    </w:pPr>
    <w:rPr>
      <w:sz w:val="20"/>
      <w:szCs w:val="20"/>
    </w:rPr>
  </w:style>
  <w:style w:type="character" w:customStyle="1" w:styleId="CommentTextChar1">
    <w:name w:val="Comment Text Char1"/>
    <w:basedOn w:val="DefaultParagraphFont"/>
    <w:link w:val="CommentText"/>
    <w:uiPriority w:val="99"/>
    <w:semiHidden/>
    <w:rsid w:val="00711EFA"/>
    <w:rPr>
      <w:sz w:val="20"/>
      <w:szCs w:val="20"/>
    </w:rPr>
  </w:style>
  <w:style w:type="paragraph" w:styleId="CommentSubject">
    <w:name w:val="annotation subject"/>
    <w:basedOn w:val="CommentText"/>
    <w:next w:val="CommentText"/>
    <w:link w:val="CommentSubjectChar"/>
    <w:uiPriority w:val="99"/>
    <w:semiHidden/>
    <w:unhideWhenUsed/>
    <w:rsid w:val="00711EFA"/>
    <w:rPr>
      <w:b/>
      <w:bCs/>
      <w:lang w:val="en-US"/>
    </w:rPr>
  </w:style>
  <w:style w:type="character" w:customStyle="1" w:styleId="CommentSubjectChar1">
    <w:name w:val="Comment Subject Char1"/>
    <w:basedOn w:val="CommentTextChar1"/>
    <w:uiPriority w:val="99"/>
    <w:semiHidden/>
    <w:rsid w:val="00711EFA"/>
    <w:rPr>
      <w:b/>
      <w:bCs/>
      <w:sz w:val="20"/>
      <w:szCs w:val="20"/>
    </w:rPr>
  </w:style>
  <w:style w:type="paragraph" w:styleId="Revision">
    <w:name w:val="Revision"/>
    <w:hidden/>
    <w:uiPriority w:val="99"/>
    <w:semiHidden/>
    <w:rsid w:val="00711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model.expasy.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dbv.vital-i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C755B-908E-41AB-838A-F5926B45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Zelalem Eshetu Bekalu</dc:creator>
  <cp:keywords/>
  <dc:description/>
  <cp:lastModifiedBy>Michael Cunningham</cp:lastModifiedBy>
  <cp:revision>4</cp:revision>
  <cp:lastPrinted>2019-05-29T13:19:00Z</cp:lastPrinted>
  <dcterms:created xsi:type="dcterms:W3CDTF">2021-06-22T16:20:00Z</dcterms:created>
  <dcterms:modified xsi:type="dcterms:W3CDTF">2021-06-24T17:39:00Z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http://www.zotero.org/styles/acs-synthetic-biology</vt:lpwstr>
  </property>
  <property fmtid="{D5CDD505-2E9C-101B-9397-08002B2CF9AE}" pid="3" name="Mendeley Recent Style Name 0_1">
    <vt:lpwstr>ACS Synthetic Biology</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http://www.zotero.org/styles/frontiers</vt:lpwstr>
  </property>
  <property fmtid="{D5CDD505-2E9C-101B-9397-08002B2CF9AE}" pid="13" name="Mendeley Recent Style Name 5_1">
    <vt:lpwstr>Frontiers journals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http://www.zotero.org/styles/plos-one</vt:lpwstr>
  </property>
  <property fmtid="{D5CDD505-2E9C-101B-9397-08002B2CF9AE}" pid="19" name="Mendeley Recent Style Name 8_1">
    <vt:lpwstr>PLOS ONE</vt:lpwstr>
  </property>
  <property fmtid="{D5CDD505-2E9C-101B-9397-08002B2CF9AE}" pid="20" name="Mendeley Recent Style Id 9_1">
    <vt:lpwstr>http://www.zotero.org/styles/plant-science</vt:lpwstr>
  </property>
  <property fmtid="{D5CDD505-2E9C-101B-9397-08002B2CF9AE}" pid="21" name="Mendeley Recent Style Name 9_1">
    <vt:lpwstr>Plant Science</vt:lpwstr>
  </property>
  <property fmtid="{D5CDD505-2E9C-101B-9397-08002B2CF9AE}" pid="22" name="Mendeley Document_1">
    <vt:lpwstr>True</vt:lpwstr>
  </property>
  <property fmtid="{D5CDD505-2E9C-101B-9397-08002B2CF9AE}" pid="23" name="Mendeley Unique User Id_1">
    <vt:lpwstr>cd261fda-c833-3ee3-81bf-765ce1e08887</vt:lpwstr>
  </property>
  <property fmtid="{D5CDD505-2E9C-101B-9397-08002B2CF9AE}" pid="24" name="Mendeley Citation Style_1">
    <vt:lpwstr>http://www.zotero.org/styles/acs-synthetic-biology</vt:lpwstr>
  </property>
</Properties>
</file>