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675DF1B3" w:rsidR="00654E8F" w:rsidRDefault="00654E8F" w:rsidP="0001436A">
      <w:pPr>
        <w:pStyle w:val="SupplementaryMaterial"/>
      </w:pPr>
      <w:r w:rsidRPr="001549D3">
        <w:t>Supplementary Material</w:t>
      </w:r>
    </w:p>
    <w:p w14:paraId="33B6F2CE" w14:textId="3A56DCA0" w:rsidR="00ED3344" w:rsidRPr="00376CC5" w:rsidRDefault="00ED3344" w:rsidP="00ED3344">
      <w:pPr>
        <w:pStyle w:val="Title"/>
      </w:pPr>
      <w:r w:rsidRPr="00DE47F2">
        <w:t xml:space="preserve">Controllable </w:t>
      </w:r>
      <w:r w:rsidR="00FB40AB">
        <w:t>S</w:t>
      </w:r>
      <w:r w:rsidRPr="00DE47F2">
        <w:t xml:space="preserve">ynthesis of 2D </w:t>
      </w:r>
      <w:r w:rsidR="00FB40AB">
        <w:t>N</w:t>
      </w:r>
      <w:r w:rsidRPr="00DE47F2">
        <w:t>on-layered Cr</w:t>
      </w:r>
      <w:r w:rsidRPr="007C10E4">
        <w:rPr>
          <w:vertAlign w:val="subscript"/>
        </w:rPr>
        <w:t>2</w:t>
      </w:r>
      <w:r w:rsidRPr="00DE47F2">
        <w:t>S</w:t>
      </w:r>
      <w:r w:rsidRPr="007C10E4">
        <w:rPr>
          <w:vertAlign w:val="subscript"/>
        </w:rPr>
        <w:t>3</w:t>
      </w:r>
      <w:r w:rsidRPr="00DE47F2">
        <w:t xml:space="preserve"> </w:t>
      </w:r>
      <w:r w:rsidR="00FB40AB">
        <w:t>N</w:t>
      </w:r>
      <w:r w:rsidRPr="00DE47F2">
        <w:t xml:space="preserve">anosheets and their </w:t>
      </w:r>
      <w:r w:rsidR="00FB40AB">
        <w:t>E</w:t>
      </w:r>
      <w:r w:rsidRPr="00DE47F2">
        <w:t xml:space="preserve">lectrocatalytic </w:t>
      </w:r>
      <w:r w:rsidR="00FB40AB">
        <w:t>A</w:t>
      </w:r>
      <w:r w:rsidRPr="00DE47F2">
        <w:t xml:space="preserve">ctivity </w:t>
      </w:r>
      <w:r w:rsidR="00FB40AB">
        <w:t>T</w:t>
      </w:r>
      <w:r w:rsidRPr="00DE47F2">
        <w:t xml:space="preserve">oward Oxygen </w:t>
      </w:r>
      <w:r w:rsidR="00FB40AB">
        <w:t>E</w:t>
      </w:r>
      <w:r w:rsidRPr="00DE47F2">
        <w:t xml:space="preserve">volution </w:t>
      </w:r>
      <w:r w:rsidR="00FB40AB">
        <w:t>R</w:t>
      </w:r>
      <w:r w:rsidRPr="00DE47F2">
        <w:t>eaction</w:t>
      </w:r>
    </w:p>
    <w:p w14:paraId="341856CE" w14:textId="3F985F75" w:rsidR="00ED3344" w:rsidRPr="0019510D" w:rsidRDefault="00ED3344" w:rsidP="00ED3344">
      <w:pPr>
        <w:pStyle w:val="AuthorList"/>
        <w:rPr>
          <w:lang w:val="it-IT"/>
        </w:rPr>
      </w:pPr>
      <w:r w:rsidRPr="0019510D">
        <w:rPr>
          <w:lang w:val="it-IT"/>
        </w:rPr>
        <w:t xml:space="preserve">Tofik Ahmed Shifa </w:t>
      </w:r>
      <w:r w:rsidRPr="0019510D">
        <w:rPr>
          <w:vertAlign w:val="superscript"/>
          <w:lang w:val="it-IT"/>
        </w:rPr>
        <w:t>*1</w:t>
      </w:r>
      <w:r w:rsidRPr="0019510D">
        <w:rPr>
          <w:lang w:val="it-IT"/>
        </w:rPr>
        <w:t xml:space="preserve">, Raffaello Mazzaro </w:t>
      </w:r>
      <w:r w:rsidRPr="0019510D">
        <w:rPr>
          <w:vertAlign w:val="superscript"/>
          <w:lang w:val="it-IT"/>
        </w:rPr>
        <w:t>2</w:t>
      </w:r>
      <w:r w:rsidRPr="0019510D">
        <w:rPr>
          <w:lang w:val="it-IT"/>
        </w:rPr>
        <w:t>,</w:t>
      </w:r>
      <w:r w:rsidR="00143667">
        <w:rPr>
          <w:lang w:val="it-IT"/>
        </w:rPr>
        <w:t xml:space="preserve"> Vittorio Morandi </w:t>
      </w:r>
      <w:r w:rsidR="00143667" w:rsidRPr="00D75FE8">
        <w:rPr>
          <w:vertAlign w:val="superscript"/>
          <w:lang w:val="it-IT"/>
        </w:rPr>
        <w:t>2</w:t>
      </w:r>
      <w:r w:rsidR="00143667">
        <w:rPr>
          <w:lang w:val="it-IT"/>
        </w:rPr>
        <w:t>,</w:t>
      </w:r>
      <w:r w:rsidRPr="0019510D">
        <w:rPr>
          <w:lang w:val="it-IT"/>
        </w:rPr>
        <w:t xml:space="preserve"> Alberto Vomiero </w:t>
      </w:r>
      <w:r w:rsidRPr="0019510D">
        <w:rPr>
          <w:vertAlign w:val="superscript"/>
          <w:lang w:val="it-IT"/>
        </w:rPr>
        <w:t>*1,3</w:t>
      </w:r>
    </w:p>
    <w:p w14:paraId="2062F901" w14:textId="77777777" w:rsidR="00ED3344" w:rsidRPr="00376CC5" w:rsidRDefault="00ED3344" w:rsidP="00ED3344">
      <w:pPr>
        <w:spacing w:before="240" w:after="0"/>
        <w:rPr>
          <w:rFonts w:cs="Times New Roman"/>
          <w:b/>
          <w:szCs w:val="24"/>
        </w:rPr>
      </w:pPr>
      <w:r w:rsidRPr="00376CC5">
        <w:rPr>
          <w:rFonts w:cs="Times New Roman"/>
          <w:szCs w:val="24"/>
          <w:vertAlign w:val="superscript"/>
        </w:rPr>
        <w:t>1</w:t>
      </w:r>
      <w:r w:rsidRPr="00DE47F2">
        <w:rPr>
          <w:rFonts w:cs="Times New Roman"/>
          <w:szCs w:val="24"/>
        </w:rPr>
        <w:t xml:space="preserve">Division of Materials Science, Department of Engineering Sciences and Mathematics, </w:t>
      </w:r>
      <w:proofErr w:type="spellStart"/>
      <w:r w:rsidRPr="00DE47F2">
        <w:rPr>
          <w:rFonts w:cs="Times New Roman"/>
          <w:szCs w:val="24"/>
        </w:rPr>
        <w:t>Luleå</w:t>
      </w:r>
      <w:proofErr w:type="spellEnd"/>
      <w:r w:rsidRPr="00DE47F2">
        <w:rPr>
          <w:rFonts w:cs="Times New Roman"/>
          <w:szCs w:val="24"/>
        </w:rPr>
        <w:t xml:space="preserve"> University of Technology, 97187 </w:t>
      </w:r>
      <w:proofErr w:type="spellStart"/>
      <w:r w:rsidRPr="00DE47F2">
        <w:rPr>
          <w:rFonts w:cs="Times New Roman"/>
          <w:szCs w:val="24"/>
        </w:rPr>
        <w:t>Luleå</w:t>
      </w:r>
      <w:proofErr w:type="spellEnd"/>
      <w:r w:rsidRPr="00DE47F2">
        <w:rPr>
          <w:rFonts w:cs="Times New Roman"/>
          <w:szCs w:val="24"/>
        </w:rPr>
        <w:t>, Sweden</w:t>
      </w:r>
    </w:p>
    <w:p w14:paraId="0FF76ED6" w14:textId="77777777" w:rsidR="00ED3344" w:rsidRDefault="00ED3344" w:rsidP="00ED3344">
      <w:pPr>
        <w:spacing w:after="0"/>
        <w:rPr>
          <w:rFonts w:cs="Times New Roman"/>
          <w:szCs w:val="24"/>
          <w:lang w:val="sv-FI"/>
        </w:rPr>
      </w:pPr>
      <w:r w:rsidRPr="00DE47F2">
        <w:rPr>
          <w:rFonts w:cs="Times New Roman"/>
          <w:szCs w:val="24"/>
          <w:vertAlign w:val="superscript"/>
          <w:lang w:val="sv-FI"/>
        </w:rPr>
        <w:t>2</w:t>
      </w:r>
      <w:r w:rsidRPr="00DE47F2">
        <w:rPr>
          <w:rFonts w:cs="Times New Roman"/>
          <w:szCs w:val="24"/>
          <w:lang w:val="sv-FI"/>
        </w:rPr>
        <w:t>CNR-IMM Bologna Section, 40129, Bologna, Italy</w:t>
      </w:r>
    </w:p>
    <w:p w14:paraId="2263C88F" w14:textId="77777777" w:rsidR="00ED3344" w:rsidRPr="00DE47F2" w:rsidRDefault="00ED3344" w:rsidP="00ED3344">
      <w:pPr>
        <w:spacing w:after="0"/>
        <w:rPr>
          <w:rFonts w:cs="Times New Roman"/>
          <w:b/>
          <w:szCs w:val="24"/>
        </w:rPr>
      </w:pPr>
      <w:r>
        <w:rPr>
          <w:rFonts w:cs="Times New Roman"/>
          <w:szCs w:val="24"/>
          <w:vertAlign w:val="superscript"/>
        </w:rPr>
        <w:t>3</w:t>
      </w:r>
      <w:r w:rsidRPr="00DE47F2">
        <w:rPr>
          <w:rFonts w:cs="Times New Roman"/>
          <w:szCs w:val="24"/>
        </w:rPr>
        <w:t xml:space="preserve">Department of Molecular Sciences and </w:t>
      </w:r>
      <w:proofErr w:type="spellStart"/>
      <w:r w:rsidRPr="00DE47F2">
        <w:rPr>
          <w:rFonts w:cs="Times New Roman"/>
          <w:szCs w:val="24"/>
        </w:rPr>
        <w:t>Nanosystems</w:t>
      </w:r>
      <w:proofErr w:type="spellEnd"/>
      <w:r w:rsidRPr="00DE47F2">
        <w:rPr>
          <w:rFonts w:cs="Times New Roman"/>
          <w:szCs w:val="24"/>
        </w:rPr>
        <w:t xml:space="preserve">, Ca’ Foscari University of Venice, 30172 Venezia, Italy </w:t>
      </w:r>
    </w:p>
    <w:p w14:paraId="6911CDFE" w14:textId="77777777" w:rsidR="00ED3344" w:rsidRPr="00DE47F2" w:rsidRDefault="00ED3344" w:rsidP="00ED3344">
      <w:pPr>
        <w:spacing w:after="0"/>
        <w:rPr>
          <w:rFonts w:cs="Times New Roman"/>
          <w:b/>
          <w:szCs w:val="24"/>
        </w:rPr>
      </w:pPr>
      <w:r w:rsidRPr="00DE47F2">
        <w:rPr>
          <w:rFonts w:cs="Times New Roman"/>
          <w:szCs w:val="24"/>
        </w:rPr>
        <w:t xml:space="preserve"> </w:t>
      </w:r>
    </w:p>
    <w:p w14:paraId="6B188461" w14:textId="77777777" w:rsidR="00ED3344" w:rsidRDefault="00ED3344" w:rsidP="00ED3344">
      <w:pPr>
        <w:spacing w:before="240" w:after="0"/>
        <w:rPr>
          <w:rStyle w:val="Hyperlink"/>
          <w:rFonts w:cs="Times New Roman"/>
          <w:szCs w:val="24"/>
        </w:rPr>
      </w:pPr>
      <w:r w:rsidRPr="00376CC5">
        <w:rPr>
          <w:rFonts w:cs="Times New Roman"/>
          <w:b/>
          <w:szCs w:val="24"/>
        </w:rPr>
        <w:t xml:space="preserve">* Correspondence: </w:t>
      </w:r>
      <w:r w:rsidRPr="00376CC5">
        <w:rPr>
          <w:rFonts w:cs="Times New Roman"/>
          <w:b/>
          <w:szCs w:val="24"/>
        </w:rPr>
        <w:br/>
      </w:r>
      <w:r w:rsidRPr="00376CC5">
        <w:rPr>
          <w:rFonts w:cs="Times New Roman"/>
          <w:szCs w:val="24"/>
        </w:rPr>
        <w:t>Corresponding Author</w:t>
      </w:r>
      <w:r>
        <w:rPr>
          <w:rFonts w:cs="Times New Roman"/>
          <w:szCs w:val="24"/>
        </w:rPr>
        <w:t>s</w:t>
      </w:r>
      <w:r w:rsidRPr="00376CC5">
        <w:rPr>
          <w:rFonts w:cs="Times New Roman"/>
          <w:szCs w:val="24"/>
        </w:rPr>
        <w:br/>
      </w:r>
      <w:hyperlink r:id="rId8" w:history="1">
        <w:r w:rsidRPr="006F58F0">
          <w:rPr>
            <w:rStyle w:val="Hyperlink"/>
          </w:rPr>
          <w:t>alberto.vomiero@ltu.se</w:t>
        </w:r>
      </w:hyperlink>
    </w:p>
    <w:p w14:paraId="269B67CA" w14:textId="77777777" w:rsidR="00ED3344" w:rsidRPr="00376CC5" w:rsidRDefault="009E0D51" w:rsidP="00ED3344">
      <w:pPr>
        <w:spacing w:before="240" w:after="0"/>
        <w:rPr>
          <w:rFonts w:cs="Times New Roman"/>
          <w:b/>
          <w:szCs w:val="24"/>
        </w:rPr>
      </w:pPr>
      <w:hyperlink r:id="rId9" w:history="1">
        <w:r w:rsidR="00ED3344" w:rsidRPr="006F58F0">
          <w:rPr>
            <w:rStyle w:val="Hyperlink"/>
          </w:rPr>
          <w:t>tofik.ahmed.shifa@ltu.se</w:t>
        </w:r>
      </w:hyperlink>
    </w:p>
    <w:p w14:paraId="32E96F40" w14:textId="77777777" w:rsidR="00ED3344" w:rsidRPr="00376CC5" w:rsidRDefault="00ED3344" w:rsidP="00ED3344">
      <w:pPr>
        <w:pStyle w:val="AuthorList"/>
      </w:pPr>
      <w:r w:rsidRPr="00376CC5">
        <w:t xml:space="preserve">Keywords: </w:t>
      </w:r>
      <w:r>
        <w:rPr>
          <w:bCs/>
        </w:rPr>
        <w:t>2D materials, non-Layered materials, metal sulfides, chemical vapor deposition, oxygen evolution reaction</w:t>
      </w:r>
    </w:p>
    <w:p w14:paraId="1A0E5A9D" w14:textId="78A99B40" w:rsidR="00ED3344" w:rsidRDefault="0019510D" w:rsidP="00ED3344">
      <w:pPr>
        <w:pStyle w:val="Title"/>
      </w:pPr>
      <w:r>
        <w:rPr>
          <w:noProof/>
        </w:rPr>
        <w:lastRenderedPageBreak/>
        <w:drawing>
          <wp:inline distT="0" distB="0" distL="0" distR="0" wp14:anchorId="62CE8189" wp14:editId="5B6D8853">
            <wp:extent cx="5324475" cy="5445520"/>
            <wp:effectExtent l="0" t="0" r="0"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fik_CrO_CrS.png"/>
                    <pic:cNvPicPr/>
                  </pic:nvPicPr>
                  <pic:blipFill rotWithShape="1">
                    <a:blip r:embed="rId10" cstate="print">
                      <a:extLst>
                        <a:ext uri="{28A0092B-C50C-407E-A947-70E740481C1C}">
                          <a14:useLocalDpi xmlns:a14="http://schemas.microsoft.com/office/drawing/2010/main" val="0"/>
                        </a:ext>
                      </a:extLst>
                    </a:blip>
                    <a:srcRect l="13501" r="13163"/>
                    <a:stretch/>
                  </pic:blipFill>
                  <pic:spPr bwMode="auto">
                    <a:xfrm>
                      <a:off x="0" y="0"/>
                      <a:ext cx="5332528" cy="5453756"/>
                    </a:xfrm>
                    <a:prstGeom prst="rect">
                      <a:avLst/>
                    </a:prstGeom>
                    <a:ln>
                      <a:noFill/>
                    </a:ln>
                    <a:extLst>
                      <a:ext uri="{53640926-AAD7-44D8-BBD7-CCE9431645EC}">
                        <a14:shadowObscured xmlns:a14="http://schemas.microsoft.com/office/drawing/2010/main"/>
                      </a:ext>
                    </a:extLst>
                  </pic:spPr>
                </pic:pic>
              </a:graphicData>
            </a:graphic>
          </wp:inline>
        </w:drawing>
      </w:r>
    </w:p>
    <w:p w14:paraId="109F97BE" w14:textId="42410E5C" w:rsidR="00ED3344" w:rsidRDefault="00ED3344" w:rsidP="007C10E4">
      <w:pPr>
        <w:jc w:val="both"/>
        <w:rPr>
          <w:rFonts w:cs="Times New Roman"/>
          <w:szCs w:val="24"/>
        </w:rPr>
      </w:pPr>
      <w:r w:rsidRPr="005A66F1">
        <w:rPr>
          <w:rFonts w:cs="Times New Roman"/>
          <w:b/>
          <w:bCs/>
          <w:szCs w:val="24"/>
        </w:rPr>
        <w:t xml:space="preserve">FIGURE </w:t>
      </w:r>
      <w:r>
        <w:rPr>
          <w:rFonts w:cs="Times New Roman"/>
          <w:b/>
          <w:bCs/>
          <w:szCs w:val="24"/>
        </w:rPr>
        <w:t xml:space="preserve">S1: </w:t>
      </w:r>
      <w:r>
        <w:rPr>
          <w:rFonts w:cs="Times New Roman"/>
          <w:szCs w:val="24"/>
        </w:rPr>
        <w:t xml:space="preserve"> </w:t>
      </w:r>
      <w:r w:rsidR="0019510D">
        <w:rPr>
          <w:rFonts w:cs="Times New Roman"/>
          <w:szCs w:val="24"/>
        </w:rPr>
        <w:t xml:space="preserve">a) low magnification </w:t>
      </w:r>
      <w:r>
        <w:rPr>
          <w:rFonts w:cs="Times New Roman"/>
          <w:szCs w:val="24"/>
        </w:rPr>
        <w:t>HR</w:t>
      </w:r>
      <w:r w:rsidR="0019510D">
        <w:rPr>
          <w:rFonts w:cs="Times New Roman"/>
          <w:szCs w:val="24"/>
        </w:rPr>
        <w:t>-</w:t>
      </w:r>
      <w:r>
        <w:rPr>
          <w:rFonts w:cs="Times New Roman"/>
          <w:szCs w:val="24"/>
        </w:rPr>
        <w:t xml:space="preserve">TEM </w:t>
      </w:r>
      <w:r w:rsidR="0019510D">
        <w:rPr>
          <w:rFonts w:cs="Times New Roman"/>
          <w:szCs w:val="24"/>
        </w:rPr>
        <w:t xml:space="preserve">micrograph </w:t>
      </w:r>
      <w:r>
        <w:rPr>
          <w:rFonts w:cs="Times New Roman"/>
          <w:szCs w:val="24"/>
        </w:rPr>
        <w:t xml:space="preserve">and SAED </w:t>
      </w:r>
      <w:r w:rsidR="0019510D">
        <w:rPr>
          <w:rFonts w:cs="Times New Roman"/>
          <w:szCs w:val="24"/>
        </w:rPr>
        <w:t>image</w:t>
      </w:r>
      <w:r>
        <w:rPr>
          <w:rFonts w:cs="Times New Roman"/>
          <w:szCs w:val="24"/>
        </w:rPr>
        <w:t xml:space="preserve"> of</w:t>
      </w:r>
      <w:r w:rsidR="0019510D">
        <w:rPr>
          <w:rFonts w:cs="Times New Roman"/>
          <w:szCs w:val="24"/>
        </w:rPr>
        <w:t xml:space="preserve"> the same structure, displaying a polycrystalline pattern assigned to hexagonal</w:t>
      </w:r>
      <w:r>
        <w:rPr>
          <w:rFonts w:cs="Times New Roman"/>
          <w:szCs w:val="24"/>
        </w:rPr>
        <w:t xml:space="preserve"> Cr</w:t>
      </w:r>
      <w:r w:rsidRPr="007C10E4">
        <w:rPr>
          <w:rFonts w:cs="Times New Roman"/>
          <w:szCs w:val="24"/>
          <w:vertAlign w:val="subscript"/>
        </w:rPr>
        <w:t>2</w:t>
      </w:r>
      <w:r>
        <w:rPr>
          <w:rFonts w:cs="Times New Roman"/>
          <w:szCs w:val="24"/>
        </w:rPr>
        <w:t>O</w:t>
      </w:r>
      <w:r w:rsidRPr="007C10E4">
        <w:rPr>
          <w:rFonts w:cs="Times New Roman"/>
          <w:szCs w:val="24"/>
          <w:vertAlign w:val="subscript"/>
        </w:rPr>
        <w:t>3</w:t>
      </w:r>
      <w:r>
        <w:rPr>
          <w:rFonts w:cs="Times New Roman"/>
          <w:szCs w:val="24"/>
        </w:rPr>
        <w:t xml:space="preserve"> precursor.</w:t>
      </w:r>
      <w:r w:rsidR="0019510D">
        <w:rPr>
          <w:rFonts w:cs="Times New Roman"/>
          <w:szCs w:val="24"/>
        </w:rPr>
        <w:t xml:space="preserve"> c) and d) high magnification micrographs displaying the nanoscale structure and the presence of multiple Cr2O3  crystal domains.</w:t>
      </w:r>
    </w:p>
    <w:p w14:paraId="54D0B789" w14:textId="65F11926" w:rsidR="007C193B" w:rsidRDefault="007C193B" w:rsidP="007C10E4">
      <w:pPr>
        <w:jc w:val="both"/>
        <w:rPr>
          <w:rFonts w:cs="Times New Roman"/>
          <w:szCs w:val="24"/>
        </w:rPr>
      </w:pPr>
      <w:r>
        <w:rPr>
          <w:rFonts w:cs="Times New Roman"/>
          <w:noProof/>
          <w:szCs w:val="24"/>
        </w:rPr>
        <w:lastRenderedPageBreak/>
        <w:drawing>
          <wp:inline distT="0" distB="0" distL="0" distR="0" wp14:anchorId="0CFF0AFB" wp14:editId="03A4D7A2">
            <wp:extent cx="6181344" cy="4120896"/>
            <wp:effectExtent l="0" t="0" r="0"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6181344" cy="4120896"/>
                    </a:xfrm>
                    <a:prstGeom prst="rect">
                      <a:avLst/>
                    </a:prstGeom>
                  </pic:spPr>
                </pic:pic>
              </a:graphicData>
            </a:graphic>
          </wp:inline>
        </w:drawing>
      </w:r>
    </w:p>
    <w:p w14:paraId="6D5EA297" w14:textId="4E749A8B" w:rsidR="007C193B" w:rsidRPr="007C193B" w:rsidRDefault="007C193B" w:rsidP="007C10E4">
      <w:pPr>
        <w:jc w:val="both"/>
        <w:rPr>
          <w:rFonts w:cs="Times New Roman"/>
          <w:szCs w:val="24"/>
        </w:rPr>
      </w:pPr>
      <w:r w:rsidRPr="005A66F1">
        <w:rPr>
          <w:rFonts w:cs="Times New Roman"/>
          <w:b/>
          <w:bCs/>
          <w:szCs w:val="24"/>
        </w:rPr>
        <w:t xml:space="preserve">FIGURE </w:t>
      </w:r>
      <w:r>
        <w:rPr>
          <w:rFonts w:cs="Times New Roman"/>
          <w:b/>
          <w:bCs/>
          <w:szCs w:val="24"/>
        </w:rPr>
        <w:t xml:space="preserve">S2: </w:t>
      </w:r>
      <w:r w:rsidRPr="007C193B">
        <w:rPr>
          <w:rFonts w:cs="Times New Roman"/>
          <w:szCs w:val="24"/>
        </w:rPr>
        <w:t>XRD pattern of Cr</w:t>
      </w:r>
      <w:r w:rsidRPr="007C193B">
        <w:rPr>
          <w:rFonts w:cs="Times New Roman"/>
          <w:szCs w:val="24"/>
          <w:vertAlign w:val="subscript"/>
        </w:rPr>
        <w:t>2</w:t>
      </w:r>
      <w:r w:rsidRPr="007C193B">
        <w:rPr>
          <w:rFonts w:cs="Times New Roman"/>
          <w:szCs w:val="24"/>
        </w:rPr>
        <w:t>O</w:t>
      </w:r>
      <w:r w:rsidRPr="007C193B">
        <w:rPr>
          <w:rFonts w:cs="Times New Roman"/>
          <w:szCs w:val="24"/>
          <w:vertAlign w:val="subscript"/>
        </w:rPr>
        <w:t>3</w:t>
      </w:r>
      <w:r w:rsidRPr="007C193B">
        <w:rPr>
          <w:rFonts w:cs="Times New Roman"/>
          <w:szCs w:val="24"/>
        </w:rPr>
        <w:t>/CF precursor</w:t>
      </w:r>
      <w:r>
        <w:rPr>
          <w:rFonts w:cs="Times New Roman"/>
          <w:szCs w:val="24"/>
        </w:rPr>
        <w:t>.</w:t>
      </w:r>
    </w:p>
    <w:p w14:paraId="0B27D93A" w14:textId="211501EF" w:rsidR="00030D9A" w:rsidRDefault="00030D9A" w:rsidP="00030D9A">
      <w:pPr>
        <w:jc w:val="center"/>
        <w:rPr>
          <w:rFonts w:cs="Times New Roman"/>
          <w:szCs w:val="24"/>
        </w:rPr>
      </w:pPr>
    </w:p>
    <w:p w14:paraId="47DF2124" w14:textId="6E8138D1" w:rsidR="00144AC5" w:rsidRDefault="00144AC5" w:rsidP="00030D9A">
      <w:pPr>
        <w:jc w:val="center"/>
        <w:rPr>
          <w:rFonts w:cs="Times New Roman"/>
          <w:szCs w:val="24"/>
        </w:rPr>
      </w:pPr>
      <w:r>
        <w:rPr>
          <w:rFonts w:cs="Times New Roman"/>
          <w:noProof/>
          <w:szCs w:val="24"/>
        </w:rPr>
        <w:drawing>
          <wp:inline distT="0" distB="0" distL="0" distR="0" wp14:anchorId="6E6D9C0A" wp14:editId="2D0482A7">
            <wp:extent cx="6208395" cy="2945765"/>
            <wp:effectExtent l="0" t="0" r="1905" b="698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2945765"/>
                    </a:xfrm>
                    <a:prstGeom prst="rect">
                      <a:avLst/>
                    </a:prstGeom>
                  </pic:spPr>
                </pic:pic>
              </a:graphicData>
            </a:graphic>
          </wp:inline>
        </w:drawing>
      </w:r>
    </w:p>
    <w:p w14:paraId="729C2516" w14:textId="2512D958" w:rsidR="00030D9A" w:rsidRDefault="00030D9A" w:rsidP="00030D9A">
      <w:pPr>
        <w:jc w:val="both"/>
        <w:rPr>
          <w:rFonts w:cs="Times New Roman"/>
          <w:szCs w:val="24"/>
        </w:rPr>
      </w:pPr>
      <w:r w:rsidRPr="00187DDA">
        <w:rPr>
          <w:rFonts w:cs="Times New Roman"/>
          <w:b/>
          <w:bCs/>
          <w:szCs w:val="24"/>
        </w:rPr>
        <w:t>FIGURE S</w:t>
      </w:r>
      <w:r w:rsidR="00E13A8D" w:rsidRPr="00187DDA">
        <w:rPr>
          <w:rFonts w:cs="Times New Roman"/>
          <w:b/>
          <w:bCs/>
          <w:szCs w:val="24"/>
        </w:rPr>
        <w:t>3</w:t>
      </w:r>
      <w:r>
        <w:rPr>
          <w:rFonts w:cs="Times New Roman"/>
          <w:b/>
          <w:bCs/>
          <w:szCs w:val="24"/>
        </w:rPr>
        <w:t xml:space="preserve">: </w:t>
      </w:r>
      <w:r>
        <w:rPr>
          <w:rFonts w:cs="Times New Roman"/>
          <w:szCs w:val="24"/>
        </w:rPr>
        <w:t>HRTEM image</w:t>
      </w:r>
      <w:r w:rsidR="00144AC5">
        <w:rPr>
          <w:rFonts w:cs="Times New Roman"/>
          <w:szCs w:val="24"/>
        </w:rPr>
        <w:t xml:space="preserve"> (a)</w:t>
      </w:r>
      <w:r>
        <w:rPr>
          <w:rFonts w:cs="Times New Roman"/>
          <w:szCs w:val="24"/>
        </w:rPr>
        <w:t xml:space="preserve"> and the corresponding </w:t>
      </w:r>
      <w:r w:rsidR="00144AC5">
        <w:rPr>
          <w:rFonts w:cs="Times New Roman"/>
          <w:szCs w:val="24"/>
        </w:rPr>
        <w:t>SAED</w:t>
      </w:r>
      <w:r>
        <w:rPr>
          <w:rFonts w:cs="Times New Roman"/>
          <w:szCs w:val="24"/>
        </w:rPr>
        <w:t xml:space="preserve"> pattern</w:t>
      </w:r>
      <w:r w:rsidR="00144AC5">
        <w:rPr>
          <w:rFonts w:cs="Times New Roman"/>
          <w:szCs w:val="24"/>
        </w:rPr>
        <w:t xml:space="preserve"> (b)</w:t>
      </w:r>
      <w:r>
        <w:rPr>
          <w:rFonts w:cs="Times New Roman"/>
          <w:szCs w:val="24"/>
        </w:rPr>
        <w:t xml:space="preserve"> of Cr</w:t>
      </w:r>
      <w:r w:rsidRPr="00030D9A">
        <w:rPr>
          <w:rFonts w:cs="Times New Roman"/>
          <w:szCs w:val="24"/>
          <w:vertAlign w:val="subscript"/>
        </w:rPr>
        <w:t>2</w:t>
      </w:r>
      <w:r>
        <w:rPr>
          <w:rFonts w:cs="Times New Roman"/>
          <w:szCs w:val="24"/>
        </w:rPr>
        <w:t>S</w:t>
      </w:r>
      <w:r w:rsidRPr="00030D9A">
        <w:rPr>
          <w:rFonts w:cs="Times New Roman"/>
          <w:szCs w:val="24"/>
          <w:vertAlign w:val="subscript"/>
        </w:rPr>
        <w:t>3</w:t>
      </w:r>
      <w:r>
        <w:rPr>
          <w:rFonts w:cs="Times New Roman"/>
          <w:szCs w:val="24"/>
        </w:rPr>
        <w:t xml:space="preserve"> </w:t>
      </w:r>
    </w:p>
    <w:p w14:paraId="3AD76973" w14:textId="678C1C67" w:rsidR="00331A10" w:rsidRDefault="00331A10" w:rsidP="007C10E4">
      <w:pPr>
        <w:rPr>
          <w:rFonts w:cs="Times New Roman"/>
          <w:b/>
          <w:bCs/>
          <w:szCs w:val="24"/>
          <w:highlight w:val="yellow"/>
        </w:rPr>
      </w:pPr>
    </w:p>
    <w:p w14:paraId="7BB77505" w14:textId="581DB864" w:rsidR="00331A10" w:rsidRDefault="00331A10" w:rsidP="00331A10">
      <w:pPr>
        <w:jc w:val="center"/>
        <w:rPr>
          <w:rFonts w:cs="Times New Roman"/>
          <w:szCs w:val="24"/>
        </w:rPr>
      </w:pPr>
      <w:r>
        <w:rPr>
          <w:rFonts w:cs="Times New Roman"/>
          <w:noProof/>
          <w:szCs w:val="24"/>
        </w:rPr>
        <w:drawing>
          <wp:inline distT="0" distB="0" distL="0" distR="0" wp14:anchorId="0737BAFC" wp14:editId="0E3FC6F1">
            <wp:extent cx="3639312" cy="2724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3639312" cy="2724912"/>
                    </a:xfrm>
                    <a:prstGeom prst="rect">
                      <a:avLst/>
                    </a:prstGeom>
                  </pic:spPr>
                </pic:pic>
              </a:graphicData>
            </a:graphic>
          </wp:inline>
        </w:drawing>
      </w:r>
    </w:p>
    <w:p w14:paraId="6FC768D2" w14:textId="342F4F01" w:rsidR="00331A10" w:rsidRDefault="00331A10" w:rsidP="00A14110">
      <w:pPr>
        <w:jc w:val="both"/>
      </w:pPr>
      <w:r w:rsidRPr="00187DDA">
        <w:rPr>
          <w:rFonts w:cs="Times New Roman"/>
          <w:b/>
          <w:bCs/>
          <w:szCs w:val="24"/>
        </w:rPr>
        <w:t>FIGURE S</w:t>
      </w:r>
      <w:r w:rsidR="00A16346">
        <w:rPr>
          <w:rFonts w:cs="Times New Roman"/>
          <w:b/>
          <w:bCs/>
          <w:szCs w:val="24"/>
        </w:rPr>
        <w:t>4</w:t>
      </w:r>
      <w:r w:rsidRPr="00187DDA">
        <w:rPr>
          <w:rFonts w:cs="Times New Roman"/>
          <w:b/>
          <w:bCs/>
          <w:szCs w:val="24"/>
        </w:rPr>
        <w:t>:</w:t>
      </w:r>
      <w:r>
        <w:rPr>
          <w:rFonts w:cs="Times New Roman"/>
          <w:b/>
          <w:bCs/>
          <w:szCs w:val="24"/>
        </w:rPr>
        <w:t xml:space="preserve"> </w:t>
      </w:r>
      <w:r w:rsidRPr="00331A10">
        <w:rPr>
          <w:rFonts w:cs="Times New Roman"/>
          <w:szCs w:val="24"/>
        </w:rPr>
        <w:t>The OER performance normalized by</w:t>
      </w:r>
      <w:r>
        <w:rPr>
          <w:rFonts w:cs="Times New Roman"/>
          <w:b/>
          <w:bCs/>
          <w:szCs w:val="24"/>
        </w:rPr>
        <w:t xml:space="preserve"> </w:t>
      </w:r>
      <w:r w:rsidRPr="00331A10">
        <w:rPr>
          <w:rFonts w:cs="Times New Roman"/>
          <w:szCs w:val="24"/>
        </w:rPr>
        <w:t>electrochemical activated surface area (ECSA)</w:t>
      </w:r>
      <w:r>
        <w:rPr>
          <w:rFonts w:cs="Times New Roman"/>
          <w:szCs w:val="24"/>
        </w:rPr>
        <w:t>.</w:t>
      </w:r>
      <w:r w:rsidR="00A14110">
        <w:rPr>
          <w:rFonts w:cs="Times New Roman"/>
          <w:szCs w:val="24"/>
        </w:rPr>
        <w:t xml:space="preserve"> </w:t>
      </w:r>
      <w:r>
        <w:t xml:space="preserve">ECSA was determined by the equation of ECSA = </w:t>
      </w:r>
      <w:proofErr w:type="spellStart"/>
      <w:r>
        <w:t>Cdl</w:t>
      </w:r>
      <w:proofErr w:type="spellEnd"/>
      <w:r>
        <w:t>/</w:t>
      </w:r>
      <w:proofErr w:type="spellStart"/>
      <w:r>
        <w:t>Cs×S</w:t>
      </w:r>
      <w:proofErr w:type="spellEnd"/>
      <w:r>
        <w:t>, where Cs is the capacitance of an atomically smooth planar surface (0.04 mF cm</w:t>
      </w:r>
      <w:r w:rsidRPr="00A14110">
        <w:rPr>
          <w:vertAlign w:val="superscript"/>
        </w:rPr>
        <w:t>-2</w:t>
      </w:r>
      <w:r>
        <w:t xml:space="preserve"> in alkaline media)</w:t>
      </w:r>
      <w:r w:rsidR="00A14110">
        <w:t xml:space="preserve"> (</w:t>
      </w:r>
      <w:r w:rsidR="00A14110" w:rsidRPr="006B7819">
        <w:rPr>
          <w:noProof/>
        </w:rPr>
        <w:t>McCrory et al., 2013</w:t>
      </w:r>
      <w:r w:rsidR="00A14110">
        <w:rPr>
          <w:noProof/>
        </w:rPr>
        <w:t>)</w:t>
      </w:r>
      <w:r>
        <w:t>, and S is the electrode area.</w:t>
      </w:r>
    </w:p>
    <w:p w14:paraId="565C4338" w14:textId="2D0FA414" w:rsidR="00A16346" w:rsidRDefault="00A16346" w:rsidP="00A14110">
      <w:pPr>
        <w:jc w:val="both"/>
        <w:rPr>
          <w:rFonts w:cs="Times New Roman"/>
          <w:szCs w:val="24"/>
        </w:rPr>
      </w:pPr>
      <w:r>
        <w:rPr>
          <w:noProof/>
        </w:rPr>
        <w:drawing>
          <wp:inline distT="0" distB="0" distL="0" distR="0" wp14:anchorId="4C166337" wp14:editId="619FC7C5">
            <wp:extent cx="6208395" cy="2926715"/>
            <wp:effectExtent l="0" t="0" r="1905" b="6985"/>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208395" cy="2926715"/>
                    </a:xfrm>
                    <a:prstGeom prst="rect">
                      <a:avLst/>
                    </a:prstGeom>
                  </pic:spPr>
                </pic:pic>
              </a:graphicData>
            </a:graphic>
          </wp:inline>
        </w:drawing>
      </w:r>
    </w:p>
    <w:p w14:paraId="6754C809" w14:textId="011AB843" w:rsidR="00A16346" w:rsidRDefault="00A16346" w:rsidP="00A16346">
      <w:pPr>
        <w:rPr>
          <w:rFonts w:cs="Times New Roman"/>
          <w:szCs w:val="24"/>
        </w:rPr>
      </w:pPr>
      <w:r w:rsidRPr="00187DDA">
        <w:rPr>
          <w:rFonts w:cs="Times New Roman"/>
          <w:b/>
          <w:bCs/>
          <w:szCs w:val="24"/>
        </w:rPr>
        <w:t>FIGURE S</w:t>
      </w:r>
      <w:r>
        <w:rPr>
          <w:rFonts w:cs="Times New Roman"/>
          <w:b/>
          <w:bCs/>
          <w:szCs w:val="24"/>
        </w:rPr>
        <w:t>5</w:t>
      </w:r>
      <w:r w:rsidRPr="00187DDA">
        <w:rPr>
          <w:rFonts w:cs="Times New Roman"/>
          <w:b/>
          <w:bCs/>
          <w:szCs w:val="24"/>
        </w:rPr>
        <w:t>:</w:t>
      </w:r>
      <w:r>
        <w:rPr>
          <w:rFonts w:cs="Times New Roman"/>
          <w:b/>
          <w:bCs/>
          <w:szCs w:val="24"/>
        </w:rPr>
        <w:t xml:space="preserve"> </w:t>
      </w:r>
      <w:r>
        <w:rPr>
          <w:rFonts w:cs="Times New Roman"/>
          <w:szCs w:val="24"/>
        </w:rPr>
        <w:t>EIS fitting for Cr</w:t>
      </w:r>
      <w:r w:rsidRPr="007C10E4">
        <w:rPr>
          <w:rFonts w:cs="Times New Roman"/>
          <w:szCs w:val="24"/>
          <w:vertAlign w:val="subscript"/>
        </w:rPr>
        <w:t>2</w:t>
      </w:r>
      <w:r>
        <w:rPr>
          <w:rFonts w:cs="Times New Roman"/>
          <w:szCs w:val="24"/>
        </w:rPr>
        <w:t>S</w:t>
      </w:r>
      <w:r w:rsidRPr="007C10E4">
        <w:rPr>
          <w:rFonts w:cs="Times New Roman"/>
          <w:szCs w:val="24"/>
          <w:vertAlign w:val="subscript"/>
        </w:rPr>
        <w:t>3</w:t>
      </w:r>
      <w:r>
        <w:rPr>
          <w:rFonts w:cs="Times New Roman"/>
          <w:szCs w:val="24"/>
        </w:rPr>
        <w:t xml:space="preserve"> (a) and Cr</w:t>
      </w:r>
      <w:r w:rsidRPr="007C10E4">
        <w:rPr>
          <w:rFonts w:cs="Times New Roman"/>
          <w:szCs w:val="24"/>
          <w:vertAlign w:val="subscript"/>
        </w:rPr>
        <w:t>2</w:t>
      </w:r>
      <w:r>
        <w:rPr>
          <w:rFonts w:cs="Times New Roman"/>
          <w:szCs w:val="24"/>
        </w:rPr>
        <w:t>O</w:t>
      </w:r>
      <w:r w:rsidRPr="007C10E4">
        <w:rPr>
          <w:rFonts w:cs="Times New Roman"/>
          <w:szCs w:val="24"/>
          <w:vertAlign w:val="subscript"/>
        </w:rPr>
        <w:t>3</w:t>
      </w:r>
      <w:r>
        <w:rPr>
          <w:rFonts w:cs="Times New Roman"/>
          <w:szCs w:val="24"/>
        </w:rPr>
        <w:t>(b)</w:t>
      </w:r>
    </w:p>
    <w:p w14:paraId="105E14BF" w14:textId="77777777" w:rsidR="00196E07" w:rsidRDefault="00196E07" w:rsidP="007C10E4">
      <w:pPr>
        <w:rPr>
          <w:rFonts w:cs="Times New Roman"/>
          <w:szCs w:val="24"/>
        </w:rPr>
      </w:pPr>
    </w:p>
    <w:p w14:paraId="5A20B88C" w14:textId="044E9B5D" w:rsidR="00196E07" w:rsidRPr="00196E07" w:rsidRDefault="00196E07" w:rsidP="007C10E4">
      <w:pPr>
        <w:rPr>
          <w:rFonts w:cs="Times New Roman"/>
          <w:b/>
          <w:bCs/>
          <w:szCs w:val="24"/>
        </w:rPr>
      </w:pPr>
      <w:r w:rsidRPr="00196E07">
        <w:rPr>
          <w:rFonts w:cs="Times New Roman"/>
          <w:b/>
          <w:bCs/>
          <w:szCs w:val="24"/>
        </w:rPr>
        <w:t>Table S1. The comparison of the OER performances in 1M KOH</w:t>
      </w:r>
    </w:p>
    <w:tbl>
      <w:tblPr>
        <w:tblStyle w:val="TableGrid"/>
        <w:tblpPr w:leftFromText="180" w:rightFromText="180" w:vertAnchor="text" w:horzAnchor="margin" w:tblpXSpec="center" w:tblpY="129"/>
        <w:tblW w:w="11115" w:type="dxa"/>
        <w:tblLook w:val="04A0" w:firstRow="1" w:lastRow="0" w:firstColumn="1" w:lastColumn="0" w:noHBand="0" w:noVBand="1"/>
      </w:tblPr>
      <w:tblGrid>
        <w:gridCol w:w="710"/>
        <w:gridCol w:w="2938"/>
        <w:gridCol w:w="2706"/>
        <w:gridCol w:w="1459"/>
        <w:gridCol w:w="1110"/>
        <w:gridCol w:w="2192"/>
      </w:tblGrid>
      <w:tr w:rsidR="00196E07" w:rsidRPr="00824647" w14:paraId="0F24EF45" w14:textId="77777777" w:rsidTr="00AC006D">
        <w:tc>
          <w:tcPr>
            <w:tcW w:w="710" w:type="dxa"/>
          </w:tcPr>
          <w:p w14:paraId="60ABAF98" w14:textId="77777777" w:rsidR="00196E07" w:rsidRPr="00824647" w:rsidRDefault="00196E07" w:rsidP="00AC006D">
            <w:pPr>
              <w:rPr>
                <w:rFonts w:cs="Times New Roman"/>
                <w:b/>
                <w:bCs/>
                <w:szCs w:val="24"/>
              </w:rPr>
            </w:pPr>
            <w:r w:rsidRPr="00824647">
              <w:rPr>
                <w:rFonts w:cs="Times New Roman"/>
                <w:b/>
                <w:bCs/>
                <w:szCs w:val="24"/>
              </w:rPr>
              <w:lastRenderedPageBreak/>
              <w:t>S/No</w:t>
            </w:r>
          </w:p>
        </w:tc>
        <w:tc>
          <w:tcPr>
            <w:tcW w:w="2938" w:type="dxa"/>
          </w:tcPr>
          <w:p w14:paraId="357C4C69" w14:textId="77777777" w:rsidR="00196E07" w:rsidRPr="00824647" w:rsidRDefault="00196E07" w:rsidP="00AC006D">
            <w:pPr>
              <w:rPr>
                <w:rFonts w:cs="Times New Roman"/>
                <w:b/>
                <w:bCs/>
                <w:szCs w:val="24"/>
              </w:rPr>
            </w:pPr>
            <w:r w:rsidRPr="00824647">
              <w:rPr>
                <w:rFonts w:cs="Times New Roman"/>
                <w:b/>
                <w:bCs/>
                <w:szCs w:val="24"/>
              </w:rPr>
              <w:t>Catalyst</w:t>
            </w:r>
          </w:p>
        </w:tc>
        <w:tc>
          <w:tcPr>
            <w:tcW w:w="2706" w:type="dxa"/>
          </w:tcPr>
          <w:p w14:paraId="7C8C2B16" w14:textId="77777777" w:rsidR="00196E07" w:rsidRPr="00824647" w:rsidRDefault="00196E07" w:rsidP="00AC006D">
            <w:pPr>
              <w:rPr>
                <w:rFonts w:cs="Times New Roman"/>
                <w:b/>
                <w:bCs/>
                <w:szCs w:val="24"/>
              </w:rPr>
            </w:pPr>
            <w:r w:rsidRPr="00824647">
              <w:rPr>
                <w:rFonts w:cs="Times New Roman"/>
                <w:b/>
                <w:bCs/>
                <w:szCs w:val="24"/>
              </w:rPr>
              <w:t>Overpotential (current density)</w:t>
            </w:r>
          </w:p>
        </w:tc>
        <w:tc>
          <w:tcPr>
            <w:tcW w:w="1459" w:type="dxa"/>
          </w:tcPr>
          <w:p w14:paraId="285DEE1E" w14:textId="77777777" w:rsidR="00196E07" w:rsidRPr="00824647" w:rsidRDefault="00196E07" w:rsidP="00AC006D">
            <w:pPr>
              <w:rPr>
                <w:rFonts w:cs="Times New Roman"/>
                <w:b/>
                <w:bCs/>
                <w:szCs w:val="24"/>
              </w:rPr>
            </w:pPr>
            <w:r w:rsidRPr="00824647">
              <w:rPr>
                <w:rFonts w:cs="Times New Roman"/>
                <w:b/>
                <w:bCs/>
                <w:szCs w:val="24"/>
              </w:rPr>
              <w:t>Tafel slope ( mV/dec)</w:t>
            </w:r>
          </w:p>
        </w:tc>
        <w:tc>
          <w:tcPr>
            <w:tcW w:w="1110" w:type="dxa"/>
          </w:tcPr>
          <w:p w14:paraId="3684C9F1" w14:textId="77777777" w:rsidR="00196E07" w:rsidRPr="00824647" w:rsidRDefault="00196E07" w:rsidP="00AC006D">
            <w:pPr>
              <w:rPr>
                <w:rFonts w:cs="Times New Roman"/>
                <w:b/>
                <w:bCs/>
                <w:szCs w:val="24"/>
              </w:rPr>
            </w:pPr>
            <w:r w:rsidRPr="00824647">
              <w:rPr>
                <w:rFonts w:cs="Times New Roman"/>
                <w:b/>
                <w:bCs/>
                <w:szCs w:val="24"/>
              </w:rPr>
              <w:t>stability</w:t>
            </w:r>
          </w:p>
        </w:tc>
        <w:tc>
          <w:tcPr>
            <w:tcW w:w="2192" w:type="dxa"/>
          </w:tcPr>
          <w:p w14:paraId="1F44029C" w14:textId="77777777" w:rsidR="00196E07" w:rsidRPr="00824647" w:rsidRDefault="00196E07" w:rsidP="00AC006D">
            <w:pPr>
              <w:rPr>
                <w:rFonts w:cs="Times New Roman"/>
                <w:b/>
                <w:bCs/>
                <w:szCs w:val="24"/>
              </w:rPr>
            </w:pPr>
            <w:r w:rsidRPr="00824647">
              <w:rPr>
                <w:rFonts w:cs="Times New Roman"/>
                <w:b/>
                <w:bCs/>
                <w:szCs w:val="24"/>
              </w:rPr>
              <w:t>Reference</w:t>
            </w:r>
          </w:p>
        </w:tc>
      </w:tr>
      <w:tr w:rsidR="00196E07" w:rsidRPr="00824647" w14:paraId="35A36089" w14:textId="77777777" w:rsidTr="00AC006D">
        <w:tc>
          <w:tcPr>
            <w:tcW w:w="710" w:type="dxa"/>
          </w:tcPr>
          <w:p w14:paraId="16FBE051" w14:textId="77777777" w:rsidR="00196E07" w:rsidRPr="00824647" w:rsidRDefault="00196E07" w:rsidP="00196E07">
            <w:pPr>
              <w:pStyle w:val="ListParagraph"/>
              <w:numPr>
                <w:ilvl w:val="0"/>
                <w:numId w:val="20"/>
              </w:numPr>
              <w:spacing w:before="0" w:after="0"/>
            </w:pPr>
          </w:p>
        </w:tc>
        <w:tc>
          <w:tcPr>
            <w:tcW w:w="2938" w:type="dxa"/>
          </w:tcPr>
          <w:p w14:paraId="57D94A62" w14:textId="77777777" w:rsidR="00196E07" w:rsidRPr="00824647" w:rsidRDefault="00196E07" w:rsidP="00AC006D">
            <w:pPr>
              <w:rPr>
                <w:rFonts w:cs="Times New Roman"/>
                <w:szCs w:val="24"/>
              </w:rPr>
            </w:pPr>
            <w:proofErr w:type="spellStart"/>
            <w:r w:rsidRPr="00824647">
              <w:rPr>
                <w:rFonts w:cs="Times New Roman"/>
                <w:szCs w:val="24"/>
              </w:rPr>
              <w:t>FeP</w:t>
            </w:r>
            <w:proofErr w:type="spellEnd"/>
            <w:r w:rsidRPr="00824647">
              <w:rPr>
                <w:rFonts w:cs="Times New Roman"/>
                <w:szCs w:val="24"/>
              </w:rPr>
              <w:t>/Ni2P</w:t>
            </w:r>
          </w:p>
        </w:tc>
        <w:tc>
          <w:tcPr>
            <w:tcW w:w="2706" w:type="dxa"/>
          </w:tcPr>
          <w:p w14:paraId="46076BF7" w14:textId="77777777" w:rsidR="00196E07" w:rsidRPr="00824647" w:rsidRDefault="00196E07" w:rsidP="00AC006D">
            <w:pPr>
              <w:rPr>
                <w:rFonts w:cs="Times New Roman"/>
                <w:szCs w:val="24"/>
              </w:rPr>
            </w:pPr>
            <w:r w:rsidRPr="00824647">
              <w:rPr>
                <w:rFonts w:cs="Times New Roman"/>
                <w:szCs w:val="24"/>
              </w:rPr>
              <w:t>154 mV (10 mA/cm</w:t>
            </w:r>
            <w:r w:rsidRPr="00824647">
              <w:rPr>
                <w:rFonts w:cs="Times New Roman"/>
                <w:szCs w:val="24"/>
                <w:vertAlign w:val="superscript"/>
              </w:rPr>
              <w:t>2</w:t>
            </w:r>
            <w:r w:rsidRPr="00824647">
              <w:rPr>
                <w:rFonts w:cs="Times New Roman"/>
                <w:szCs w:val="24"/>
              </w:rPr>
              <w:t>)</w:t>
            </w:r>
          </w:p>
        </w:tc>
        <w:tc>
          <w:tcPr>
            <w:tcW w:w="1459" w:type="dxa"/>
          </w:tcPr>
          <w:p w14:paraId="25C5BED2" w14:textId="77777777" w:rsidR="00196E07" w:rsidRPr="00824647" w:rsidRDefault="00196E07" w:rsidP="00AC006D">
            <w:pPr>
              <w:rPr>
                <w:rFonts w:cs="Times New Roman"/>
                <w:szCs w:val="24"/>
              </w:rPr>
            </w:pPr>
            <w:r w:rsidRPr="00824647">
              <w:rPr>
                <w:rFonts w:cs="Times New Roman"/>
                <w:szCs w:val="24"/>
              </w:rPr>
              <w:t xml:space="preserve">22.7 </w:t>
            </w:r>
          </w:p>
        </w:tc>
        <w:tc>
          <w:tcPr>
            <w:tcW w:w="1110" w:type="dxa"/>
          </w:tcPr>
          <w:p w14:paraId="2E363AD5" w14:textId="77777777" w:rsidR="00196E07" w:rsidRPr="00824647" w:rsidRDefault="00196E07" w:rsidP="00AC006D">
            <w:pPr>
              <w:rPr>
                <w:rFonts w:cs="Times New Roman"/>
                <w:szCs w:val="24"/>
              </w:rPr>
            </w:pPr>
            <w:r w:rsidRPr="00824647">
              <w:rPr>
                <w:rFonts w:cs="Times New Roman"/>
                <w:szCs w:val="24"/>
              </w:rPr>
              <w:t>24hr</w:t>
            </w:r>
          </w:p>
        </w:tc>
        <w:tc>
          <w:tcPr>
            <w:tcW w:w="2192" w:type="dxa"/>
          </w:tcPr>
          <w:p w14:paraId="717BCE39" w14:textId="038FB5F2"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{"citationItems":[{"id":"ITEM-1","itemData":{"DOI":"10.1038/s41467-018-04746-z","ISSN":"2041-1723","abstract":"Water electrolysis is an advanced energy conversion technology to produce hydrogen as a clean and sustainable chemical fuel, which potentially stores the abundant but intermittent renewable energy sources scalably. Since the overall water splitting is an uphill reaction in low efficiency, innovative breakthroughs are desirable to greatly improve the efficiency by rationally designing non-precious metal-based robust bifunctional catalysts for promoting both the cathodic hydrogen evolution and anodic oxygen evolution reactions. We report a hybrid catalyst constructed by iron and dinickel phosphides on nickel foams that drives both the hydrogen and oxygen evolution reactions well in base, and thus substantially expedites overall water splitting at 10 mA cm−2 with 1.42 V, which outperforms the integrated iridium (IV) oxide and platinum couple (1.57 V), and are among the best activities currently. Especially, it delivers 500 mA cm−2 at 1.72 V without decay even after the durability test for 40 h, providing great potential for large-scale applications.","author":[{"dropping-particle":"","family":"Yu","given":"Fang","non-dropping-particle":"","parse-names":false,"suffix":""},{"dropping-particle":"","family":"Zhou","given":"Haiqing","non-dropping-particle":"","parse-names":false,"suffix":""},{"dropping-particle":"","family":"Huang","given":"Yufeng","non-dropping-particle":"","parse-names":false,"suffix":""},{"dropping-particle":"","family":"Sun","given":"Jingying","non-dropping-particle":"","parse-names":false,"suffix":""},{"dropping-particle":"","family":"Qin","given":"Fan","non-dropping-particle":"","parse-names":false,"suffix":""},{"dropping-particle":"","family":"Bao","given":"Jiming","non-dropping-particle":"","parse-names":false,"suffix":""},{"dropping-particle":"","family":"Goddard","given":"William A","non-dropping-particle":"","parse-names":false,"suffix":""},{"dropping-particle":"","family":"Chen","given":"Shuo","non-dropping-particle":"","parse-names":false,"suffix":""},{"dropping-particle":"","family":"Ren","given":"Zhifeng","non-dropping-particle":"","parse-names":false,"suffix":""}],"container-title":"Nature Communications","id":"ITEM-1","issue":"1","issued":{"date-parts":[["2018"]]},"page":"2551","title":"High-performance bifunctional porous non-noble metal phosphide catalyst for overall water splitting","type":"article-journal","volume":"9"},"uris":["http://www.mendeley.com/documents/?uuid=529db634-c299-4a14-8202-8068eea2fef9"]}],"mendeley":{"formattedCitation":"(Yu et al., 2018)","plainTextFormattedCitation":"(Yu et al., 2018)","previouslyFormattedCitation":"(Yu et al., 2018)"},"properties":{"noteIndex":0},"schema":"https://github.com/citation-style-language/schema/raw/master/csl-citation.json"}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(Yu et al., 2018)</w:t>
            </w:r>
            <w:r w:rsidRPr="00824647">
              <w:rPr>
                <w:rFonts w:cs="Times New Roman"/>
                <w:szCs w:val="24"/>
              </w:rPr>
              <w:fldChar w:fldCharType="end"/>
            </w:r>
          </w:p>
        </w:tc>
      </w:tr>
      <w:tr w:rsidR="00196E07" w:rsidRPr="00824647" w14:paraId="6F9D0715" w14:textId="77777777" w:rsidTr="00AC006D">
        <w:tc>
          <w:tcPr>
            <w:tcW w:w="710" w:type="dxa"/>
          </w:tcPr>
          <w:p w14:paraId="57BB3D1D" w14:textId="77777777" w:rsidR="00196E07" w:rsidRPr="00824647" w:rsidRDefault="00196E07" w:rsidP="00196E07">
            <w:pPr>
              <w:pStyle w:val="ListParagraph"/>
              <w:numPr>
                <w:ilvl w:val="0"/>
                <w:numId w:val="20"/>
              </w:numPr>
              <w:spacing w:before="0" w:after="0"/>
            </w:pPr>
          </w:p>
        </w:tc>
        <w:tc>
          <w:tcPr>
            <w:tcW w:w="2938" w:type="dxa"/>
          </w:tcPr>
          <w:p w14:paraId="4524571A" w14:textId="77777777" w:rsidR="00196E07" w:rsidRPr="00824647" w:rsidRDefault="00196E07" w:rsidP="00AC006D">
            <w:pPr>
              <w:rPr>
                <w:rFonts w:cs="Times New Roman"/>
                <w:szCs w:val="24"/>
              </w:rPr>
            </w:pPr>
            <w:r w:rsidRPr="00824647">
              <w:rPr>
                <w:rFonts w:cs="Times New Roman"/>
                <w:szCs w:val="24"/>
              </w:rPr>
              <w:t>Fe(PO3)2/Ni2P</w:t>
            </w:r>
          </w:p>
        </w:tc>
        <w:tc>
          <w:tcPr>
            <w:tcW w:w="2706" w:type="dxa"/>
          </w:tcPr>
          <w:p w14:paraId="1E2E6AEC" w14:textId="77777777" w:rsidR="00196E07" w:rsidRPr="00824647" w:rsidRDefault="00196E07" w:rsidP="00AC006D">
            <w:pPr>
              <w:rPr>
                <w:rFonts w:cs="Times New Roman"/>
                <w:szCs w:val="24"/>
              </w:rPr>
            </w:pPr>
            <w:r w:rsidRPr="00824647">
              <w:rPr>
                <w:rFonts w:cs="Times New Roman"/>
                <w:szCs w:val="24"/>
              </w:rPr>
              <w:t>177 mV (10 mA/cm</w:t>
            </w:r>
            <w:r w:rsidRPr="00824647">
              <w:rPr>
                <w:rFonts w:cs="Times New Roman"/>
                <w:szCs w:val="24"/>
                <w:vertAlign w:val="superscript"/>
              </w:rPr>
              <w:t>2</w:t>
            </w:r>
            <w:r w:rsidRPr="00824647">
              <w:rPr>
                <w:rFonts w:cs="Times New Roman"/>
                <w:szCs w:val="24"/>
              </w:rPr>
              <w:t>)</w:t>
            </w:r>
          </w:p>
        </w:tc>
        <w:tc>
          <w:tcPr>
            <w:tcW w:w="1459" w:type="dxa"/>
          </w:tcPr>
          <w:p w14:paraId="75C8977A" w14:textId="77777777" w:rsidR="00196E07" w:rsidRPr="00824647" w:rsidRDefault="00196E07" w:rsidP="00AC006D">
            <w:pPr>
              <w:rPr>
                <w:rFonts w:cs="Times New Roman"/>
                <w:szCs w:val="24"/>
              </w:rPr>
            </w:pPr>
            <w:r w:rsidRPr="00824647">
              <w:rPr>
                <w:rFonts w:cs="Times New Roman"/>
                <w:szCs w:val="24"/>
              </w:rPr>
              <w:t xml:space="preserve">51.9 </w:t>
            </w:r>
          </w:p>
        </w:tc>
        <w:tc>
          <w:tcPr>
            <w:tcW w:w="1110" w:type="dxa"/>
          </w:tcPr>
          <w:p w14:paraId="2B6828EB" w14:textId="77777777" w:rsidR="00196E07" w:rsidRPr="00824647" w:rsidRDefault="00196E07" w:rsidP="00AC006D">
            <w:pPr>
              <w:rPr>
                <w:rFonts w:cs="Times New Roman"/>
                <w:szCs w:val="24"/>
              </w:rPr>
            </w:pPr>
            <w:r w:rsidRPr="00824647">
              <w:rPr>
                <w:rFonts w:cs="Times New Roman"/>
                <w:szCs w:val="24"/>
              </w:rPr>
              <w:t>20hr</w:t>
            </w:r>
          </w:p>
        </w:tc>
        <w:tc>
          <w:tcPr>
            <w:tcW w:w="2192" w:type="dxa"/>
          </w:tcPr>
          <w:p w14:paraId="55F6941D" w14:textId="7512313F"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{"citationItems":[{"id":"ITEM-1","itemData":{"DOI":"10.1073/pnas.1701562114","ISSN":"1091-6490","PMID":"28507120","abstract":"Commercial hydrogen production by electrocatalytic water splitting will benefit from the realization of more efficient and less expensive catalysts compared with noble metal catalysts, especially for the oxygen evolution reaction, which requires a current density of 500 mA/cm2 at an overpotential below 300 mV with long-term stability. Here we report a robust oxygen-evolving electrocatalyst consisting of ferrous metaphosphate on self-supported conductive nickel foam that is commercially available in large scale. We find that this catalyst, which may be associated with the in situ generated nickel-iron oxide/hydroxide and iron oxyhydroxide catalysts at the surface, yields current densities of 10 mA/cm2 at an overpotential of 177 mV, 500 mA/cm2 at only 265 mV, and 1,705 mA/cm2 at 300 mV, with high durability in alkaline electrolyte of 1 M KOH even after 10,000 cycles, representing activity enhancement by a factor of 49 in boosting water oxidation at 300 mV relative to the state-of-the-art IrO2 catalyst.","author":[{"dropping-particle":"","family":"Zhou","given":"Haiqing","non-dropping-particle":"","parse-names":false,"suffix":""},{"dropping-particle":"","family":"Yu","given":"Fang","non-dropping-particle":"","parse-names":false,"suffix":""},{"dropping-particle":"","family":"Sun","given":"Jingying","non-dropping-particle":"","parse-names":false,"suffix":""},{"dropping-particle":"","family":"He","given":"Ran","non-dropping-particle":"","parse-names":false,"suffix":""},{"dropping-particle":"","family":"Chen","given":"Shuo","non-dropping-particle":"","parse-names":false,"suffix":""},{"dropping-particle":"","family":"Chu","given":"Ching-Wu","non-dropping-particle":"","parse-names":false,"suffix":""},{"dropping-particle":"","family":"Ren","given":"Zhifeng","non-dropping-particle":"","parse-names":false,"suffix":""}],"container-title":"Proceedings of the National Academy of Sciences of the United States of America","id":"ITEM-1","issue":"22","issued":{"date-parts":[["2017","5","30"]]},"page":"5607-5611","publisher":"National Academy of Sciences","title":"Highly active catalyst derived from a 3D foam of Fe(PO3)2/Ni2P for extremely efficient water oxidation.","type":"article-journal","volume":"114"},"uris":["http://www.mendeley.com/documents/?uuid=1ab84ced-6d20-3caf-9c5e-dac259ece188"]}],"mendeley":{"formattedCitation":"(Zhou et al., 2017)","plainTextFormattedCitation":"(Zhou et al., 2017)","previouslyFormattedCitation":"(Zhou et al., 2017)"},"properties":{"noteIndex":0},"schema":"https://github.com/citation-style-language/schema/raw/master/csl-citation.json"}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(Zhou et al., 2017)</w:t>
            </w:r>
            <w:r w:rsidRPr="00824647">
              <w:rPr>
                <w:rFonts w:cs="Times New Roman"/>
                <w:szCs w:val="24"/>
              </w:rPr>
              <w:fldChar w:fldCharType="end"/>
            </w:r>
          </w:p>
        </w:tc>
      </w:tr>
      <w:tr w:rsidR="00196E07" w:rsidRPr="00824647" w14:paraId="3386BF69" w14:textId="77777777" w:rsidTr="00AC006D">
        <w:tc>
          <w:tcPr>
            <w:tcW w:w="710" w:type="dxa"/>
          </w:tcPr>
          <w:p w14:paraId="762595B4" w14:textId="77777777" w:rsidR="00196E07" w:rsidRPr="00824647" w:rsidRDefault="00196E07" w:rsidP="00196E07">
            <w:pPr>
              <w:pStyle w:val="ListParagraph"/>
              <w:numPr>
                <w:ilvl w:val="0"/>
                <w:numId w:val="20"/>
              </w:numPr>
              <w:spacing w:before="0" w:after="0"/>
            </w:pPr>
          </w:p>
        </w:tc>
        <w:tc>
          <w:tcPr>
            <w:tcW w:w="2938" w:type="dxa"/>
          </w:tcPr>
          <w:p w14:paraId="1AED1BF2" w14:textId="77777777" w:rsidR="00196E07" w:rsidRPr="00824647" w:rsidRDefault="00196E07" w:rsidP="00AC006D">
            <w:pPr>
              <w:rPr>
                <w:rFonts w:cs="Times New Roman"/>
                <w:szCs w:val="24"/>
              </w:rPr>
            </w:pPr>
            <w:r w:rsidRPr="00824647">
              <w:rPr>
                <w:rFonts w:cs="Times New Roman"/>
                <w:szCs w:val="24"/>
              </w:rPr>
              <w:t>Fe-doped Ni2P</w:t>
            </w:r>
          </w:p>
        </w:tc>
        <w:tc>
          <w:tcPr>
            <w:tcW w:w="2706" w:type="dxa"/>
          </w:tcPr>
          <w:p w14:paraId="1555C8A4" w14:textId="77777777" w:rsidR="00196E07" w:rsidRPr="00824647" w:rsidRDefault="00196E07" w:rsidP="00AC006D">
            <w:pPr>
              <w:rPr>
                <w:rFonts w:cs="Times New Roman"/>
                <w:szCs w:val="24"/>
              </w:rPr>
            </w:pPr>
            <w:r w:rsidRPr="00824647">
              <w:rPr>
                <w:rFonts w:cs="Times New Roman"/>
                <w:szCs w:val="24"/>
              </w:rPr>
              <w:t>255 mV (500 mA/cm</w:t>
            </w:r>
            <w:r w:rsidRPr="00824647">
              <w:rPr>
                <w:rFonts w:cs="Times New Roman"/>
                <w:szCs w:val="24"/>
                <w:vertAlign w:val="superscript"/>
              </w:rPr>
              <w:t>2</w:t>
            </w:r>
            <w:r w:rsidRPr="00824647">
              <w:rPr>
                <w:rFonts w:cs="Times New Roman"/>
                <w:szCs w:val="24"/>
              </w:rPr>
              <w:t>)</w:t>
            </w:r>
          </w:p>
        </w:tc>
        <w:tc>
          <w:tcPr>
            <w:tcW w:w="1459" w:type="dxa"/>
          </w:tcPr>
          <w:p w14:paraId="16FEF81F" w14:textId="77777777" w:rsidR="00196E07" w:rsidRPr="00824647" w:rsidRDefault="00196E07" w:rsidP="00AC006D">
            <w:pPr>
              <w:rPr>
                <w:rFonts w:cs="Times New Roman"/>
                <w:szCs w:val="24"/>
              </w:rPr>
            </w:pPr>
            <w:r w:rsidRPr="00824647">
              <w:rPr>
                <w:rFonts w:cs="Times New Roman"/>
                <w:szCs w:val="24"/>
              </w:rPr>
              <w:t xml:space="preserve">29.1 </w:t>
            </w:r>
          </w:p>
        </w:tc>
        <w:tc>
          <w:tcPr>
            <w:tcW w:w="1110" w:type="dxa"/>
          </w:tcPr>
          <w:p w14:paraId="4E818E1C" w14:textId="77777777" w:rsidR="00196E07" w:rsidRPr="00824647" w:rsidRDefault="00196E07" w:rsidP="00AC006D">
            <w:pPr>
              <w:rPr>
                <w:rFonts w:cs="Times New Roman"/>
                <w:szCs w:val="24"/>
              </w:rPr>
            </w:pPr>
            <w:r w:rsidRPr="00824647">
              <w:rPr>
                <w:rFonts w:cs="Times New Roman"/>
                <w:szCs w:val="24"/>
              </w:rPr>
              <w:t>16hr</w:t>
            </w:r>
          </w:p>
        </w:tc>
        <w:tc>
          <w:tcPr>
            <w:tcW w:w="2192" w:type="dxa"/>
          </w:tcPr>
          <w:p w14:paraId="5B35A1A3" w14:textId="7D6F1A47" w:rsidR="00196E07" w:rsidRPr="00824647" w:rsidRDefault="00F13E75" w:rsidP="00AC006D">
            <w:pPr>
              <w:rPr>
                <w:rFonts w:cs="Times New Roman"/>
                <w:szCs w:val="24"/>
                <w:lang w:eastAsia="zh-CN"/>
              </w:rPr>
            </w:pPr>
            <w:r w:rsidRPr="00824647">
              <w:rPr>
                <w:rFonts w:cs="Times New Roman"/>
                <w:szCs w:val="24"/>
              </w:rPr>
              <w:fldChar w:fldCharType="begin" w:fldLock="1"/>
            </w:r>
            <w:r w:rsidRPr="00824647">
              <w:rPr>
                <w:rFonts w:cs="Times New Roman"/>
                <w:szCs w:val="24"/>
              </w:rPr>
              <w:instrText>ADDIN CSL_CITATION {"citationItems":[{"id":"ITEM-1","itemData":{"DOI":"10.1039/C8TA08217K","ISSN":"2050-7488","abstract":"Cost-effective, highly efficient, and durable catalyst electrodes play a critical role in large-scale water splitting. Although bimetallic phosphides show great potential in electrocatalytic water splitting, the synergistic effect between different active sites has not been investigated to date in detail, which implies lack of an effective strategy to optimize the water splitting performance in a reasonable way. Here we realize robust oxygen evolution (OER) performance with an extremely low overpotential (500 mA cm−2@255 mV), low Tafel slope (29.1 mV dec−1), and superior stability by controlling the Fe sites on the Ni–Fe–P surface. The prepared OER electrode employs non-noble metal catalysts for superior oxygen evolution performance and meets the requirements of commercial water electrolyzers. In addition, remarkable hydrogen evolution (HER) performance with prominent stability is also achieved by reducing the content of Fe dopant. Our theoretical calculations reveal that improved chemisorption of O-containing intermediates induced by Fe doping contributes to the enhanced OER performance and water molecule chemisorption, which is sensitive to the Fe content, is the primary cause affecting alkaline HER performance. This work highlights controllable water splitting performance on the Ni–Fe–P surface by precisely manipulating the surface active Fe-sites.","author":[{"dropping-particle":"","family":"Cai","given":"Lejuan","non-dropping-particle":"","parse-names":false,"suffix":""},{"dropping-partic</w:instrText>
            </w:r>
            <w:r w:rsidRPr="00824647">
              <w:rPr>
                <w:rFonts w:cs="Times New Roman"/>
                <w:szCs w:val="24"/>
                <w:lang w:eastAsia="zh-CN"/>
              </w:rPr>
              <w:instrText>le":"","family":"Qiu","given":"Bocheng","non-dropping-particle":"","parse-names":false,"suffix":""},{"dropping-particle":"","family":"Lin","given":"Ziyuan","non-dropping-particle":"","parse-names":false,"suffix":""},{"dropping-particle":"","family":"Wang","given":"Yang","non-dropping-particle":"","parse-names":false,"suffix":""},{"dropping-particle":"","family":"Ma","given":"Sainan","non-dropping-particle":"","parse-names":false,"suffix":""},{"dropping-particle":"","family":"Wang","given":"Mengye","non-dropping-particle":"","parse-names":false,"suffix":""},{"dropping-particle":"","family":"Tsang","given":"Yuen Hong","non-dropping-particle":"","parse-names":false,"suffix":""},{"dropping-particle":"","family":"Chai","given":"Yang","non-dropping-particle":"","parse-names":false,"suffix":""}],"container-title":"Journal of Materials Chemistry A","id":"ITEM-1","issue":"43","issued":{"date-parts":[["2018"]]},"page":"21445-21451","publisher":"The Royal Society of Chemistry","title":"Active site engineering of Fe- and Ni-sites for highly efficient electrochemical overall water splitting","type":"article-journal","volume":"6"},"uris":["http://www.mendeley.com/documents/?uuid=9f9e7657-9bd3-48e2-bd49-e8773b0220f7"]}],"mendeley":{"formattedCitation":"(Cai et al., 2018)","plainTextFormattedCitation":"(Cai et al., 2018)","previouslyFormattedCitation":"(Cai et al., 2018)"},"properties":{"noteIndex":0},"schema":"https://github.com/citation-style-language/schema/raw/master/csl-citation.json"}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lang w:eastAsia="zh-CN"/>
              </w:rPr>
              <w:t>(Cai et al., 2018)</w:t>
            </w:r>
            <w:r w:rsidRPr="00824647">
              <w:rPr>
                <w:rFonts w:cs="Times New Roman"/>
                <w:szCs w:val="24"/>
              </w:rPr>
              <w:fldChar w:fldCharType="end"/>
            </w:r>
          </w:p>
        </w:tc>
      </w:tr>
      <w:tr w:rsidR="00196E07" w:rsidRPr="00FB40AB" w14:paraId="41B2B352" w14:textId="77777777" w:rsidTr="00AC006D">
        <w:tc>
          <w:tcPr>
            <w:tcW w:w="710" w:type="dxa"/>
          </w:tcPr>
          <w:p w14:paraId="5369E6C6" w14:textId="77777777" w:rsidR="00196E07" w:rsidRPr="00824647" w:rsidRDefault="00196E07" w:rsidP="00196E07">
            <w:pPr>
              <w:pStyle w:val="ListParagraph"/>
              <w:numPr>
                <w:ilvl w:val="0"/>
                <w:numId w:val="20"/>
              </w:numPr>
              <w:spacing w:before="0" w:after="0"/>
              <w:rPr>
                <w:lang w:eastAsia="zh-CN"/>
              </w:rPr>
            </w:pPr>
          </w:p>
        </w:tc>
        <w:tc>
          <w:tcPr>
            <w:tcW w:w="2938" w:type="dxa"/>
          </w:tcPr>
          <w:p w14:paraId="20C72CA6" w14:textId="77777777" w:rsidR="00196E07" w:rsidRPr="00824647" w:rsidRDefault="00196E07" w:rsidP="00AC006D">
            <w:pPr>
              <w:rPr>
                <w:rFonts w:cs="Times New Roman"/>
                <w:szCs w:val="24"/>
                <w:lang w:eastAsia="zh-CN"/>
              </w:rPr>
            </w:pPr>
            <w:r w:rsidRPr="00824647">
              <w:rPr>
                <w:rFonts w:cs="Times New Roman"/>
                <w:szCs w:val="24"/>
                <w:lang w:eastAsia="zh-CN"/>
              </w:rPr>
              <w:t>Fe-Co-P hollow sphere</w:t>
            </w:r>
          </w:p>
        </w:tc>
        <w:tc>
          <w:tcPr>
            <w:tcW w:w="2706" w:type="dxa"/>
          </w:tcPr>
          <w:p w14:paraId="1408934E" w14:textId="77777777" w:rsidR="00196E07" w:rsidRPr="00824647" w:rsidRDefault="00196E07" w:rsidP="00AC006D">
            <w:pPr>
              <w:rPr>
                <w:rFonts w:cs="Times New Roman"/>
                <w:szCs w:val="24"/>
                <w:lang w:eastAsia="zh-CN"/>
              </w:rPr>
            </w:pPr>
            <w:r w:rsidRPr="00824647">
              <w:rPr>
                <w:rFonts w:cs="Times New Roman"/>
                <w:szCs w:val="24"/>
                <w:lang w:eastAsia="zh-CN"/>
              </w:rPr>
              <w:t>252 mV (10 mA/cm</w:t>
            </w:r>
            <w:r w:rsidRPr="00824647">
              <w:rPr>
                <w:rFonts w:cs="Times New Roman"/>
                <w:szCs w:val="24"/>
                <w:vertAlign w:val="superscript"/>
                <w:lang w:eastAsia="zh-CN"/>
              </w:rPr>
              <w:t>2</w:t>
            </w:r>
            <w:r w:rsidRPr="00824647">
              <w:rPr>
                <w:rFonts w:cs="Times New Roman"/>
                <w:szCs w:val="24"/>
                <w:lang w:eastAsia="zh-CN"/>
              </w:rPr>
              <w:t>)</w:t>
            </w:r>
          </w:p>
        </w:tc>
        <w:tc>
          <w:tcPr>
            <w:tcW w:w="1459" w:type="dxa"/>
          </w:tcPr>
          <w:p w14:paraId="2807D740" w14:textId="77777777" w:rsidR="00196E07" w:rsidRPr="00824647" w:rsidRDefault="00196E07" w:rsidP="00AC006D">
            <w:pPr>
              <w:rPr>
                <w:rFonts w:cs="Times New Roman"/>
                <w:szCs w:val="24"/>
                <w:lang w:eastAsia="zh-CN"/>
              </w:rPr>
            </w:pPr>
            <w:r w:rsidRPr="00824647">
              <w:rPr>
                <w:rFonts w:cs="Times New Roman"/>
                <w:szCs w:val="24"/>
                <w:lang w:eastAsia="zh-CN"/>
              </w:rPr>
              <w:t xml:space="preserve">33 </w:t>
            </w:r>
          </w:p>
        </w:tc>
        <w:tc>
          <w:tcPr>
            <w:tcW w:w="1110" w:type="dxa"/>
          </w:tcPr>
          <w:p w14:paraId="4FD989C4" w14:textId="77777777" w:rsidR="00196E07" w:rsidRPr="00824647" w:rsidRDefault="00196E07" w:rsidP="00AC006D">
            <w:pPr>
              <w:rPr>
                <w:rFonts w:cs="Times New Roman"/>
                <w:szCs w:val="24"/>
                <w:lang w:eastAsia="zh-CN"/>
              </w:rPr>
            </w:pPr>
            <w:r w:rsidRPr="00824647">
              <w:rPr>
                <w:rFonts w:cs="Times New Roman"/>
                <w:szCs w:val="24"/>
                <w:lang w:eastAsia="zh-CN"/>
              </w:rPr>
              <w:t>24hr</w:t>
            </w:r>
          </w:p>
        </w:tc>
        <w:tc>
          <w:tcPr>
            <w:tcW w:w="2192" w:type="dxa"/>
          </w:tcPr>
          <w:p w14:paraId="67870409" w14:textId="202D1867" w:rsidR="00196E07" w:rsidRPr="00331A10" w:rsidRDefault="00F13E75" w:rsidP="00AC006D">
            <w:pPr>
              <w:rPr>
                <w:rFonts w:cs="Times New Roman"/>
                <w:szCs w:val="24"/>
                <w:lang w:val="sv-FI" w:eastAsia="zh-CN"/>
              </w:rPr>
            </w:pPr>
            <w:r w:rsidRPr="00824647">
              <w:rPr>
                <w:rFonts w:cs="Times New Roman"/>
                <w:szCs w:val="24"/>
              </w:rPr>
              <w:fldChar w:fldCharType="begin" w:fldLock="1"/>
            </w:r>
            <w:r w:rsidRPr="00824647">
              <w:rPr>
                <w:rFonts w:cs="Times New Roman"/>
                <w:szCs w:val="24"/>
                <w:lang w:eastAsia="zh-CN"/>
              </w:rPr>
              <w:instrText>ADDIN CSL_CITATION {"citationItems":[{"id":"ITEM-1","itemData":{"DOI":"10.1021/acsnano.7b04646","abstract":"Oxygen evolution reaction (OER) is a pivotal process in many energy conversion and storage techniques, such as water splitting, regenerative fuel cells, and rechargeable metal-air batteries. The synthesis of stable, efficient, non-noble metal-based electrocatalysts for OER has been a long-standing challenge. In this work, a facile and scalable method to synthesize hollow and conductive iron–cobalt phosphide (Fe–Co–P) alloy nanostructures using an Fe–Co metal organic complex as a precursor is described. The Fe–Co–P alloy exhibits excellent OER activity with a specific current density of 10 mA/cm2 being achieved at an overpotential as low as 252 mV. The current density at 1.5 V (vs reversible hydrogen electrode) of the Fe–Co–P catalyst is 30.7 mA/cm2, which is more than 3 orders of magnitude greater than that obtained with state-of-the-art Fe–Co oxide catalysts. Our mechanistic experiments and theoretical analysis suggest that the electrochemical-induced high-valent iron stabilizes the cobalt in a low-valent st","author":[{"dropping-partic</w:instrText>
            </w:r>
            <w:r w:rsidRPr="00824647">
              <w:rPr>
                <w:rFonts w:cs="Times New Roman"/>
                <w:szCs w:val="24"/>
              </w:rPr>
              <w:instrText>le":"","family":"Liu","given":"Kewei","non-dropping-particle":"","parse-names":false,"suffix":""},{"dropping-particle":"","family":"Zhang","given":"Changlin","non-dropping-particle":"","parse-names":false,"suffix":""},{"dropping-particle":"","family":"Sun","given":"Yuandong","non-dropping-particle":"","parse-names":false,"suffix":""},{"dropping-particle":"","family":"Zhang","given":"Guanghui","non-dropping-particle":"","parse-names":false,"suffix":""},{"dropping-particle":"","family":"Shen","given":"Xiaochen","non-dropping-particle":"","parse-names":false,"suffix":""},{"dropping-particle":"","family":"Zou","given":"Feng","non-dropping-particle":"","parse-names":false,"suffix":"</w:instrText>
            </w:r>
            <w:r w:rsidRPr="00331A10">
              <w:rPr>
                <w:rFonts w:cs="Times New Roman"/>
                <w:szCs w:val="24"/>
                <w:lang w:val="sv-FI" w:eastAsia="zh-CN"/>
              </w:rPr>
              <w:instrText>"},{"dropping-particle":"","family":"Zhang","given":"Haichang","non-dropping-particle":"","parse-names":false,"suffix":""},{"dropping-particle":"","family":"Wu","given":"Zhenwei","non-dropping-particle":"","parse-names":false,"suffix":""},{"dropping-particle":"","family":"C. Wegener","given":"Evan","non-dropping-particle":"","parse-names":false,"suffix":""},{"dropping-particle":"","family":"J. Taubert","given":"Clinton","non-dropping-particle":"","parse-names":false,"suffix":""},{"dropping-particle":"","family":"T. Miller","given":"Jeffrey","non-dropping-particle":"","parse-names":false,"suffix":""},{"dropping-particle":"","family":"Peng","given":"Zhenmeng","non-dropping-particle":"","parse-names":false,"suffix":""},{"dropping-particle":"","family":"Zhu","given":"Yu","non-dropping-particle":"","parse-names":false,"suffix":""}],"container-title":"ACS Nano","id":"ITEM-1","issue":"1","issued":{"date-parts":[["2017","12","11"]]},"page":"158-167","publisher":"American Chemical Society","title":"High-Performance Transition Metal Phosphide Alloy Catalyst for Oxygen Evolution Reaction","type":"article-journal","volume":"12"},"uris":["http://www.mendeley.com/documents/?uuid=008c7340-a4ee-41bc-a7d9-40c4f82523c3"]}],"mendeley":{"formattedCitation":"(Liu et al., 2017)","plainTextFormattedCitation":"(Liu et al., 2017)","previouslyFormattedCitation":"(Liu et al., 2017)"},"properties":{"noteIndex":0},"schema":"https://github.com/citation-style-language/schema/raw/master/csl-citation.json"}</w:instrText>
            </w:r>
            <w:r w:rsidRPr="00824647">
              <w:rPr>
                <w:rFonts w:cs="Times New Roman"/>
                <w:szCs w:val="24"/>
              </w:rPr>
              <w:fldChar w:fldCharType="separate"/>
            </w:r>
            <w:r w:rsidRPr="00331A10">
              <w:rPr>
                <w:rFonts w:cs="Times New Roman"/>
                <w:noProof/>
                <w:szCs w:val="24"/>
                <w:lang w:val="sv-FI" w:eastAsia="zh-CN"/>
              </w:rPr>
              <w:t>(Liu et al., 2017)</w:t>
            </w:r>
            <w:r w:rsidRPr="00824647">
              <w:rPr>
                <w:rFonts w:cs="Times New Roman"/>
                <w:szCs w:val="24"/>
              </w:rPr>
              <w:fldChar w:fldCharType="end"/>
            </w:r>
          </w:p>
        </w:tc>
      </w:tr>
      <w:tr w:rsidR="00196E07" w:rsidRPr="00824647" w14:paraId="3427810A" w14:textId="77777777" w:rsidTr="00AC006D">
        <w:tc>
          <w:tcPr>
            <w:tcW w:w="710" w:type="dxa"/>
          </w:tcPr>
          <w:p w14:paraId="7F9639C3" w14:textId="77777777" w:rsidR="00196E07" w:rsidRPr="00331A10" w:rsidRDefault="00196E07" w:rsidP="00196E07">
            <w:pPr>
              <w:pStyle w:val="ListParagraph"/>
              <w:numPr>
                <w:ilvl w:val="0"/>
                <w:numId w:val="20"/>
              </w:numPr>
              <w:spacing w:before="0" w:after="0"/>
              <w:rPr>
                <w:lang w:val="sv-FI" w:eastAsia="zh-CN"/>
              </w:rPr>
            </w:pPr>
          </w:p>
        </w:tc>
        <w:tc>
          <w:tcPr>
            <w:tcW w:w="2938" w:type="dxa"/>
          </w:tcPr>
          <w:p w14:paraId="4132DA09" w14:textId="77777777" w:rsidR="00196E07" w:rsidRPr="00331A10" w:rsidRDefault="00196E07" w:rsidP="00AC006D">
            <w:pPr>
              <w:rPr>
                <w:rFonts w:cs="Times New Roman"/>
                <w:szCs w:val="24"/>
                <w:lang w:val="sv-FI" w:eastAsia="zh-CN"/>
              </w:rPr>
            </w:pPr>
            <w:r w:rsidRPr="00331A10">
              <w:rPr>
                <w:rFonts w:cs="Times New Roman"/>
                <w:szCs w:val="24"/>
                <w:lang w:val="sv-FI" w:eastAsia="zh-CN"/>
              </w:rPr>
              <w:t>Ni0.6Co1.4P</w:t>
            </w:r>
          </w:p>
        </w:tc>
        <w:tc>
          <w:tcPr>
            <w:tcW w:w="2706" w:type="dxa"/>
          </w:tcPr>
          <w:p w14:paraId="56E37032" w14:textId="77777777" w:rsidR="00196E07" w:rsidRPr="00331A10" w:rsidRDefault="00196E07" w:rsidP="00AC006D">
            <w:pPr>
              <w:rPr>
                <w:rFonts w:cs="Times New Roman"/>
                <w:szCs w:val="24"/>
                <w:lang w:val="sv-FI" w:eastAsia="zh-CN"/>
              </w:rPr>
            </w:pPr>
            <w:r w:rsidRPr="00331A10">
              <w:rPr>
                <w:rFonts w:cs="Times New Roman"/>
                <w:szCs w:val="24"/>
                <w:lang w:val="sv-FI" w:eastAsia="zh-CN"/>
              </w:rPr>
              <w:t>300 mV (10 mA/cm</w:t>
            </w:r>
            <w:r w:rsidRPr="00331A10">
              <w:rPr>
                <w:rFonts w:cs="Times New Roman"/>
                <w:szCs w:val="24"/>
                <w:vertAlign w:val="superscript"/>
                <w:lang w:val="sv-FI" w:eastAsia="zh-CN"/>
              </w:rPr>
              <w:t>2</w:t>
            </w:r>
            <w:r w:rsidRPr="00331A10">
              <w:rPr>
                <w:rFonts w:cs="Times New Roman"/>
                <w:szCs w:val="24"/>
                <w:lang w:val="sv-FI" w:eastAsia="zh-CN"/>
              </w:rPr>
              <w:t>)</w:t>
            </w:r>
          </w:p>
        </w:tc>
        <w:tc>
          <w:tcPr>
            <w:tcW w:w="1459" w:type="dxa"/>
          </w:tcPr>
          <w:p w14:paraId="6E5421B3" w14:textId="77777777" w:rsidR="00196E07" w:rsidRPr="00331A10" w:rsidRDefault="00196E07" w:rsidP="00AC006D">
            <w:pPr>
              <w:rPr>
                <w:rFonts w:cs="Times New Roman"/>
                <w:szCs w:val="24"/>
                <w:lang w:val="sv-FI" w:eastAsia="zh-CN"/>
              </w:rPr>
            </w:pPr>
            <w:r w:rsidRPr="00331A10">
              <w:rPr>
                <w:rFonts w:cs="Times New Roman"/>
                <w:szCs w:val="24"/>
                <w:lang w:val="sv-FI" w:eastAsia="zh-CN"/>
              </w:rPr>
              <w:t xml:space="preserve">80 </w:t>
            </w:r>
          </w:p>
        </w:tc>
        <w:tc>
          <w:tcPr>
            <w:tcW w:w="1110" w:type="dxa"/>
          </w:tcPr>
          <w:p w14:paraId="2C9DD3AE" w14:textId="77777777" w:rsidR="00196E07" w:rsidRPr="00331A10" w:rsidRDefault="00196E07" w:rsidP="00AC006D">
            <w:pPr>
              <w:rPr>
                <w:rFonts w:cs="Times New Roman"/>
                <w:szCs w:val="24"/>
                <w:lang w:val="sv-FI" w:eastAsia="zh-CN"/>
              </w:rPr>
            </w:pPr>
            <w:r w:rsidRPr="00331A10">
              <w:rPr>
                <w:rFonts w:cs="Times New Roman"/>
                <w:szCs w:val="24"/>
                <w:lang w:val="sv-FI" w:eastAsia="zh-CN"/>
              </w:rPr>
              <w:t>10hr</w:t>
            </w:r>
          </w:p>
        </w:tc>
        <w:tc>
          <w:tcPr>
            <w:tcW w:w="2192" w:type="dxa"/>
          </w:tcPr>
          <w:p w14:paraId="3DCE733B" w14:textId="0A254B4D" w:rsidR="00196E07" w:rsidRPr="00824647" w:rsidRDefault="00F13E75" w:rsidP="00AC006D">
            <w:pPr>
              <w:rPr>
                <w:rFonts w:cs="Times New Roman"/>
                <w:color w:val="082EFF"/>
                <w:szCs w:val="24"/>
                <w:lang w:eastAsia="zh-CN"/>
              </w:rPr>
            </w:pPr>
            <w:r w:rsidRPr="00824647">
              <w:rPr>
                <w:rFonts w:cs="Times New Roman"/>
                <w:szCs w:val="24"/>
              </w:rPr>
              <w:fldChar w:fldCharType="begin" w:fldLock="1"/>
            </w:r>
            <w:r w:rsidRPr="00331A10">
              <w:rPr>
                <w:rFonts w:cs="Times New Roman"/>
                <w:szCs w:val="24"/>
                <w:lang w:val="sv-FI" w:eastAsia="zh-CN"/>
              </w:rPr>
              <w:instrText>ADDIN CSL_CITATION {"citationItems":[{"id":"ITEM-1","itemData":{"DOI":"10.1002/adfm.201706008","ISSN":"1616-301X","abstract":"Abstract Replacement of precious metals with earth-abundant electrocatalysts for oxygen evolution reaction (OER) holds great promise for realizing practically viable water-splitting systems. It still remains a great challenge to develop low-cost, highly efficient, and durable OER catalysts. Here, the composition and morphology of Ni?Co bimetal phosphide nanocages are engineered for a highly efficient and durable OER electrocatalyst. The nanocage structure enlarges the effective specific area and facilitates the contact between catalyst and electrolyte. The as-prepared Ni?Co bimetal phosphide nanocages show superior OER performance compared with Ni2P and CoP nanocages. By controlling the molar ratio of Ni/Co atoms in Ni?Co bimetal hydroxides, the Ni0.6Co1.4P nanocages derived from Ni0.6Co1.4(OH)2 nanocages exhibit remarkable OER catalytic activity (? = 300 mV at 10 mA cm?2) and long-term stability (10 h for continuous test). The density-functional-theory calculations suggest that the appropriate Co doping concentration increases d</w:instrText>
            </w:r>
            <w:r w:rsidRPr="00331A10">
              <w:rPr>
                <w:rFonts w:cs="Times New Roman"/>
                <w:szCs w:val="24"/>
                <w:lang w:val="sv-FI"/>
              </w:rPr>
              <w:instrText>ensity of states at the Fermi level and makes the d-states more close to Fermi level, giving rise to high charge carrier density and low intermedia adsorption energy than those of Ni2P and CoP. This work also provides a general approach to optimize the catalysis per</w:instrText>
            </w:r>
            <w:r w:rsidRPr="00824647">
              <w:rPr>
                <w:rFonts w:cs="Times New Roman"/>
                <w:szCs w:val="24"/>
              </w:rPr>
              <w:instrText>formance of bimetal compounds.","author":[{"dropping-particle":"","family":"Qiu</w:instrText>
            </w:r>
            <w:r w:rsidRPr="00824647">
              <w:rPr>
                <w:rFonts w:cs="Times New Roman"/>
                <w:szCs w:val="24"/>
                <w:lang w:eastAsia="zh-CN"/>
              </w:rPr>
              <w:instrText>","given":"Bocheng","non-dropping-particle":"","parse-names":false,"suffix":""},{"dropping-particle":"","family":"Cai","given":"Lejuan","non-dropping-particle":"","parse-names":false,"suffix":""},{"dropping-particle":"","family":"Wang","given":"Yang","non-dropping-particle":"","parse-names":false,"suffix":""},{"dropping-particle":"","family":"Lin","given":"Ziyuan","non-dropping-particle":"","parse-names":false,"suffix":""},{"dropping-particle":"","family":"Zuo","given":"Yunpeng","non-dropping-particle":"","parse-names":false,"suffix":""},{"dropping-particle":"","family":"Wang","given":"Mengye","non-dropping-particle":"","parse-names":false,"suffix":""},{"dropping-particle":"","family":"Chai","given":"Yang","non-dropping-particle":"","parse-names":false,"suffix":""}],"container-title":"Advanced Functional Materials","id":"ITEM-1","issue":"17","issued":{"date-parts":[["2018","4","1"]]},"note":"doi: 10.1002/adfm.201706008","page":"1706008","publisher":"John Wiley &amp; Sons, Ltd","title":"Fabrication of Nickel–Cobalt Bimetal Phosphide Nanocages for Enhanced Oxygen Evolution Catalysis","type":"article-journal","volume":"28"},"uris":["http://www.mendeley.com/documents/?uuid=d3625543-2482-4fda-a660-018ece961d2b"]}],"mendeley":{"formattedCitation":"(Qiu et al., 2018)","plainTextFormattedCitation":"(Qiu et al., 2018)","previouslyFormattedCitation":"(Qiu et al., 2018)"},"properties":{"noteIndex":0},"schema":"https://github.com/citation-style-language/schema/raw/master/csl-citation.json"}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lang w:eastAsia="zh-CN"/>
              </w:rPr>
              <w:t>(Qiu et al., 2018)</w:t>
            </w:r>
            <w:r w:rsidRPr="00824647">
              <w:rPr>
                <w:rFonts w:cs="Times New Roman"/>
                <w:szCs w:val="24"/>
              </w:rPr>
              <w:fldChar w:fldCharType="end"/>
            </w:r>
          </w:p>
        </w:tc>
      </w:tr>
      <w:tr w:rsidR="00196E07" w:rsidRPr="00824647" w14:paraId="79C0FD5A" w14:textId="77777777" w:rsidTr="00AC006D">
        <w:tc>
          <w:tcPr>
            <w:tcW w:w="710" w:type="dxa"/>
          </w:tcPr>
          <w:p w14:paraId="6A8E37F8" w14:textId="77777777" w:rsidR="00196E07" w:rsidRPr="00824647" w:rsidRDefault="00196E07" w:rsidP="00196E07">
            <w:pPr>
              <w:pStyle w:val="ListParagraph"/>
              <w:numPr>
                <w:ilvl w:val="0"/>
                <w:numId w:val="20"/>
              </w:numPr>
              <w:spacing w:before="0" w:after="0"/>
              <w:rPr>
                <w:lang w:eastAsia="zh-CN"/>
              </w:rPr>
            </w:pPr>
          </w:p>
        </w:tc>
        <w:tc>
          <w:tcPr>
            <w:tcW w:w="2938" w:type="dxa"/>
          </w:tcPr>
          <w:p w14:paraId="6D060F0A" w14:textId="77777777" w:rsidR="00196E07" w:rsidRPr="00824647" w:rsidRDefault="00196E07" w:rsidP="00AC006D">
            <w:pPr>
              <w:rPr>
                <w:rFonts w:cs="Times New Roman"/>
                <w:szCs w:val="24"/>
                <w:lang w:eastAsia="zh-CN"/>
              </w:rPr>
            </w:pPr>
            <w:r w:rsidRPr="00824647">
              <w:rPr>
                <w:rFonts w:cs="Times New Roman"/>
                <w:szCs w:val="24"/>
                <w:lang w:eastAsia="zh-CN"/>
              </w:rPr>
              <w:t>NixFe1-xSe2</w:t>
            </w:r>
          </w:p>
        </w:tc>
        <w:tc>
          <w:tcPr>
            <w:tcW w:w="2706" w:type="dxa"/>
          </w:tcPr>
          <w:p w14:paraId="1C7BECB2" w14:textId="77777777" w:rsidR="00196E07" w:rsidRPr="00824647" w:rsidRDefault="00196E07" w:rsidP="00AC006D">
            <w:pPr>
              <w:rPr>
                <w:rFonts w:cs="Times New Roman"/>
                <w:szCs w:val="24"/>
                <w:lang w:eastAsia="zh-CN"/>
              </w:rPr>
            </w:pPr>
            <w:r w:rsidRPr="00824647">
              <w:rPr>
                <w:rFonts w:cs="Times New Roman"/>
                <w:szCs w:val="24"/>
                <w:lang w:eastAsia="zh-CN"/>
              </w:rPr>
              <w:t>195 mV (10 mA/cm</w:t>
            </w:r>
            <w:r w:rsidRPr="00824647">
              <w:rPr>
                <w:rFonts w:cs="Times New Roman"/>
                <w:szCs w:val="24"/>
                <w:vertAlign w:val="superscript"/>
                <w:lang w:eastAsia="zh-CN"/>
              </w:rPr>
              <w:t>2</w:t>
            </w:r>
            <w:r w:rsidRPr="00824647">
              <w:rPr>
                <w:rFonts w:cs="Times New Roman"/>
                <w:szCs w:val="24"/>
                <w:lang w:eastAsia="zh-CN"/>
              </w:rPr>
              <w:t>)</w:t>
            </w:r>
          </w:p>
        </w:tc>
        <w:tc>
          <w:tcPr>
            <w:tcW w:w="1459" w:type="dxa"/>
          </w:tcPr>
          <w:p w14:paraId="59341818" w14:textId="77777777" w:rsidR="00196E07" w:rsidRPr="00824647" w:rsidRDefault="00196E07" w:rsidP="00AC006D">
            <w:pPr>
              <w:rPr>
                <w:rFonts w:cs="Times New Roman"/>
                <w:szCs w:val="24"/>
                <w:lang w:eastAsia="zh-CN"/>
              </w:rPr>
            </w:pPr>
            <w:r w:rsidRPr="00824647">
              <w:rPr>
                <w:rFonts w:cs="Times New Roman"/>
                <w:szCs w:val="24"/>
                <w:lang w:eastAsia="zh-CN"/>
              </w:rPr>
              <w:t xml:space="preserve">28 </w:t>
            </w:r>
          </w:p>
        </w:tc>
        <w:tc>
          <w:tcPr>
            <w:tcW w:w="1110" w:type="dxa"/>
          </w:tcPr>
          <w:p w14:paraId="3E8D29BC" w14:textId="77777777" w:rsidR="00196E07" w:rsidRPr="00824647" w:rsidRDefault="00196E07" w:rsidP="00AC006D">
            <w:pPr>
              <w:rPr>
                <w:rFonts w:cs="Times New Roman"/>
                <w:szCs w:val="24"/>
                <w:lang w:eastAsia="zh-CN"/>
              </w:rPr>
            </w:pPr>
            <w:r w:rsidRPr="00824647">
              <w:rPr>
                <w:rFonts w:cs="Times New Roman"/>
                <w:szCs w:val="24"/>
                <w:lang w:eastAsia="zh-CN"/>
              </w:rPr>
              <w:t>24hr</w:t>
            </w:r>
          </w:p>
        </w:tc>
        <w:tc>
          <w:tcPr>
            <w:tcW w:w="2192" w:type="dxa"/>
          </w:tcPr>
          <w:p w14:paraId="4886E30B" w14:textId="148671E3"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lang w:eastAsia="zh-CN"/>
              </w:rPr>
              <w:instrText>ADDIN CSL_CITATION {"citationItems":[{"id":"ITEM-1","itemData":{"DOI":"10.1038/ncomms12324","ISSN":"2041-1723","abstract":"Efficient oxygen-evolution reaction catalysts are required for the cost-effective generation of solar fuels. Metal selenides have been reported as promising oxygen-evolution catalysts; however, their active forms are yet to be elucidated. Here we show that a representative selenide catalyst, nickel selenide, is entirely converted into nickel hydroxide under oxygen-evolution conditions. This result indicates that metal selenides are unstable during oxygen evolution, and the in situ generated metal oxides are responsible for their activity. This knowledge inspired us to synthesize nanostructured nickel iron diselenide, a hitherto unknown metal selenide, and to use it as a templating precursor to a highly active nickel iron oxide catalyst. This selenide-derived oxide catalyses oxygen evolution with an overpotential of only 195 mV for 10 mA cm−2. Our work underscores the importance of identifying the active species of oxygen-evolution catalysts, and demonstrates how such knowledge can be applied to develop better catalysts.","author":[{</w:instrText>
            </w:r>
            <w:r w:rsidRPr="00824647">
              <w:rPr>
                <w:rFonts w:cs="Times New Roman"/>
                <w:szCs w:val="24"/>
              </w:rPr>
              <w:instrText>"dropping-particle":"","family":"Xu","given":"Xiang","non-dropping-particle":"","parse-names":false,"suffix":""},{"dropping-particle":"","family":"Song","given":"Fang","non-dropping-particle":"","parse-names":false,"suffix":""},{"dropping-particle":"","family":"Hu","given":"Xile","non-dropping-particle":"","parse-names":false,"suffix":""}],"container-title":"Nature Communications","id":"ITEM-1","issue":"1","issued":{"date-parts":[["2016"]]},"page":"12324","title":"A nickel iron diselenide-derived efficient oxygen-evolution catalyst","type":"article-journal","volume":"7"},"uris":["http://www.mendeley.com/documents/?uuid=f8dd9f51-5762-484d-84f8-bbc2b51b5fc0"]}],"mendeley":{"formattedCitation":"(Xu et al., 2016)","plainTextFormattedCitation":"(Xu et al., 2016)","previouslyFormattedCitation":"(Xu et al., 2016)"},"properties":{"noteIndex":0},"schema":"https://github.com/citation-style-language/schema/raw/master/csl-citation.json"}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(Xu et al., 2016)</w:t>
            </w:r>
            <w:r w:rsidRPr="00824647">
              <w:rPr>
                <w:rFonts w:cs="Times New Roman"/>
                <w:szCs w:val="24"/>
              </w:rPr>
              <w:fldChar w:fldCharType="end"/>
            </w:r>
          </w:p>
        </w:tc>
      </w:tr>
      <w:tr w:rsidR="00196E07" w:rsidRPr="00824647" w14:paraId="654B55B2" w14:textId="77777777" w:rsidTr="00AC006D">
        <w:tc>
          <w:tcPr>
            <w:tcW w:w="710" w:type="dxa"/>
          </w:tcPr>
          <w:p w14:paraId="7BC45629" w14:textId="77777777" w:rsidR="00196E07" w:rsidRPr="00824647" w:rsidRDefault="00196E07" w:rsidP="00196E07">
            <w:pPr>
              <w:pStyle w:val="ListParagraph"/>
              <w:numPr>
                <w:ilvl w:val="0"/>
                <w:numId w:val="20"/>
              </w:numPr>
              <w:spacing w:before="0" w:after="0"/>
            </w:pPr>
          </w:p>
        </w:tc>
        <w:tc>
          <w:tcPr>
            <w:tcW w:w="2938" w:type="dxa"/>
          </w:tcPr>
          <w:p w14:paraId="362A5576" w14:textId="77777777" w:rsidR="00196E07" w:rsidRPr="00824647" w:rsidRDefault="00196E07" w:rsidP="00AC006D">
            <w:pPr>
              <w:rPr>
                <w:rFonts w:cs="Times New Roman"/>
                <w:szCs w:val="24"/>
              </w:rPr>
            </w:pPr>
            <w:r w:rsidRPr="00824647">
              <w:rPr>
                <w:rFonts w:cs="Times New Roman"/>
                <w:szCs w:val="24"/>
              </w:rPr>
              <w:t>Al doped Ni5P4</w:t>
            </w:r>
          </w:p>
        </w:tc>
        <w:tc>
          <w:tcPr>
            <w:tcW w:w="2706" w:type="dxa"/>
          </w:tcPr>
          <w:p w14:paraId="111D5F5F" w14:textId="77777777" w:rsidR="00196E07" w:rsidRPr="00824647" w:rsidRDefault="00196E07" w:rsidP="00AC006D">
            <w:pPr>
              <w:rPr>
                <w:rFonts w:cs="Times New Roman"/>
                <w:szCs w:val="24"/>
              </w:rPr>
            </w:pPr>
            <w:r w:rsidRPr="00824647">
              <w:rPr>
                <w:rFonts w:cs="Times New Roman"/>
                <w:szCs w:val="24"/>
              </w:rPr>
              <w:t>180 mV (10 mA/cm</w:t>
            </w:r>
            <w:r w:rsidRPr="00824647">
              <w:rPr>
                <w:rFonts w:cs="Times New Roman"/>
                <w:szCs w:val="24"/>
                <w:vertAlign w:val="superscript"/>
              </w:rPr>
              <w:t>2</w:t>
            </w:r>
            <w:r w:rsidRPr="00824647">
              <w:rPr>
                <w:rFonts w:cs="Times New Roman"/>
                <w:szCs w:val="24"/>
              </w:rPr>
              <w:t>)</w:t>
            </w:r>
          </w:p>
        </w:tc>
        <w:tc>
          <w:tcPr>
            <w:tcW w:w="1459" w:type="dxa"/>
          </w:tcPr>
          <w:p w14:paraId="2EE06846" w14:textId="77777777" w:rsidR="00196E07" w:rsidRPr="00824647" w:rsidRDefault="00196E07" w:rsidP="00AC006D">
            <w:pPr>
              <w:rPr>
                <w:rFonts w:cs="Times New Roman"/>
                <w:szCs w:val="24"/>
              </w:rPr>
            </w:pPr>
            <w:r w:rsidRPr="00824647">
              <w:rPr>
                <w:rFonts w:cs="Times New Roman"/>
                <w:szCs w:val="24"/>
              </w:rPr>
              <w:t xml:space="preserve">27 </w:t>
            </w:r>
          </w:p>
        </w:tc>
        <w:tc>
          <w:tcPr>
            <w:tcW w:w="1110" w:type="dxa"/>
          </w:tcPr>
          <w:p w14:paraId="720D1813" w14:textId="77777777" w:rsidR="00196E07" w:rsidRPr="00824647" w:rsidRDefault="00196E07" w:rsidP="00AC006D">
            <w:pPr>
              <w:rPr>
                <w:rFonts w:cs="Times New Roman"/>
                <w:szCs w:val="24"/>
              </w:rPr>
            </w:pPr>
            <w:r w:rsidRPr="00824647">
              <w:rPr>
                <w:rFonts w:cs="Times New Roman"/>
                <w:szCs w:val="24"/>
              </w:rPr>
              <w:t>200hr</w:t>
            </w:r>
          </w:p>
        </w:tc>
        <w:tc>
          <w:tcPr>
            <w:tcW w:w="2192" w:type="dxa"/>
          </w:tcPr>
          <w:p w14:paraId="7B617826" w14:textId="09372F03"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{"citationItems":[{"id":"ITEM-1","itemData":{"DOI":"10.1021/acscatal.7b03817","abstract":"We report a simple low-cost concept for the preparation of water-oxidation electrocatalyst via modification of self-supported Ni5P4–Ni2P foam catalyst precursor with Al. As an anode for alkaline oxygen evolution reaction, this material exhibits an impressive Tafel slope of 27 mV dec–1 and offers anodic current densities of 10, 100, and 300 mA cm–2 at overpotentials of merely 180, 247, and 312 mV, respectively. Moreover, the anode demonstrates high operational stability, as reflected by a steady-state performance for more than 8 days. Combining state-of-the-art electron microscopy and photoelectron spectroscopy, we investigated the role of the Al dopant in the formation of active Ni(OH)2/NiO/Ni5P4–Ni2P nanocatalyst, which exhibits oxygen-evolving activity among the highest reported to date.","author":[{"dropping-particle":"","family":"Xu","given":"Junyuan","non-dropping-particle":"","parse-names":false,"suffix":""},{"dropping-particle":"","family":"P. S. Sousa","given":"Juliana","non-dropping-particle":"","parse-names":false,"suffix":""},{"dropping-particle":"","family":"E. Mordvinova","given":"Natalia","non-dropping-particle":"","parse-names":false,"suffix":""},{"dropping-particle":"","family":"Diogo Costa","given":"José","non-dropping-particle":"","parse-names":false,"suffix":""},{"dropping-particle":"","family":"Y. Petrovykh","given":"Dmitri","non-dropping-particle":"","parse-names":false,"suffix":""},{"dropping-particle":"","family":"Kovnir","given":"Kirill","non-dropping-particle":"","parse-names":false,"suffix":""},{"dropping-particle":"","family":"I. Lebedev","given":"Oleg","non-dropping-particle":"","parse-names":false,"suffix":""},{"dropping-particle":"","family":"Kolen’ko","given":"Yury","non-dropping-particle":"V.","parse-names":false,"suffix":""}],"container-title":"ACS Catalysis","id":"ITEM-1","issue":"3","issued":{"date-parts":[["2018","2","21"]]},"page":"2595-2600","publisher":"American Chemical Society","title":"Al-Induced In Situ Formation of Highly Active Nanostructured Water-Oxidation Electrocatalyst Based on Ni-Phosphide","type":"article-journal","volume":"8"},"uris":["http://www.mendeley.com/documents/?uuid=c69ec8e6-0038-4d66-89d7-ed5f99267df4"]}],"mendeley":{"formattedCitation":"(Xu et al., 2018)","plainTextFormattedCitation":"(Xu et al., 2018)","previouslyFormattedCitation":"(Xu et al., 2018)"},"properties":{"noteIndex":0},"schema":"https://github.com/citation-style-language/schema/raw/master/csl-citation.json"}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(Xu et al., 2018)</w:t>
            </w:r>
            <w:r w:rsidRPr="00824647">
              <w:rPr>
                <w:rFonts w:cs="Times New Roman"/>
                <w:szCs w:val="24"/>
              </w:rPr>
              <w:fldChar w:fldCharType="end"/>
            </w:r>
          </w:p>
        </w:tc>
      </w:tr>
      <w:tr w:rsidR="00196E07" w:rsidRPr="00824647" w14:paraId="7095FDBA" w14:textId="77777777" w:rsidTr="00AC006D">
        <w:tc>
          <w:tcPr>
            <w:tcW w:w="710" w:type="dxa"/>
          </w:tcPr>
          <w:p w14:paraId="16236C4D" w14:textId="77777777" w:rsidR="00196E07" w:rsidRPr="00824647" w:rsidRDefault="00196E07" w:rsidP="00196E07">
            <w:pPr>
              <w:pStyle w:val="ListParagraph"/>
              <w:numPr>
                <w:ilvl w:val="0"/>
                <w:numId w:val="20"/>
              </w:numPr>
              <w:spacing w:before="0" w:after="0"/>
            </w:pPr>
          </w:p>
        </w:tc>
        <w:tc>
          <w:tcPr>
            <w:tcW w:w="2938" w:type="dxa"/>
          </w:tcPr>
          <w:p w14:paraId="67FE8942" w14:textId="77777777" w:rsidR="00196E07" w:rsidRPr="00824647" w:rsidRDefault="00196E07" w:rsidP="00AC006D">
            <w:pPr>
              <w:rPr>
                <w:rFonts w:cs="Times New Roman"/>
                <w:szCs w:val="24"/>
              </w:rPr>
            </w:pPr>
            <w:proofErr w:type="spellStart"/>
            <w:r w:rsidRPr="00824647">
              <w:rPr>
                <w:rFonts w:cs="Times New Roman"/>
                <w:szCs w:val="24"/>
              </w:rPr>
              <w:t>CoMnP</w:t>
            </w:r>
            <w:proofErr w:type="spellEnd"/>
          </w:p>
        </w:tc>
        <w:tc>
          <w:tcPr>
            <w:tcW w:w="2706" w:type="dxa"/>
          </w:tcPr>
          <w:p w14:paraId="2AE4872A" w14:textId="77777777" w:rsidR="00196E07" w:rsidRPr="00824647" w:rsidRDefault="00196E07" w:rsidP="00AC006D">
            <w:pPr>
              <w:rPr>
                <w:rFonts w:cs="Times New Roman"/>
                <w:szCs w:val="24"/>
              </w:rPr>
            </w:pPr>
            <w:r w:rsidRPr="00824647">
              <w:rPr>
                <w:rFonts w:cs="Times New Roman"/>
                <w:szCs w:val="24"/>
              </w:rPr>
              <w:t>330 mV (10 mA/cm</w:t>
            </w:r>
            <w:r w:rsidRPr="00824647">
              <w:rPr>
                <w:rFonts w:cs="Times New Roman"/>
                <w:szCs w:val="24"/>
                <w:vertAlign w:val="superscript"/>
              </w:rPr>
              <w:t>2</w:t>
            </w:r>
            <w:r w:rsidRPr="00824647">
              <w:rPr>
                <w:rFonts w:cs="Times New Roman"/>
                <w:szCs w:val="24"/>
              </w:rPr>
              <w:t>)</w:t>
            </w:r>
          </w:p>
        </w:tc>
        <w:tc>
          <w:tcPr>
            <w:tcW w:w="1459" w:type="dxa"/>
          </w:tcPr>
          <w:p w14:paraId="1C221619" w14:textId="77777777" w:rsidR="00196E07" w:rsidRPr="00824647" w:rsidRDefault="00196E07" w:rsidP="00AC006D">
            <w:pPr>
              <w:rPr>
                <w:rFonts w:cs="Times New Roman"/>
                <w:szCs w:val="24"/>
              </w:rPr>
            </w:pPr>
            <w:r w:rsidRPr="00824647">
              <w:rPr>
                <w:rFonts w:cs="Times New Roman"/>
                <w:szCs w:val="24"/>
              </w:rPr>
              <w:t xml:space="preserve">61 </w:t>
            </w:r>
          </w:p>
        </w:tc>
        <w:tc>
          <w:tcPr>
            <w:tcW w:w="1110" w:type="dxa"/>
          </w:tcPr>
          <w:p w14:paraId="62B68DA1" w14:textId="77777777" w:rsidR="00196E07" w:rsidRPr="00824647" w:rsidRDefault="00196E07" w:rsidP="00AC006D">
            <w:pPr>
              <w:rPr>
                <w:rFonts w:cs="Times New Roman"/>
                <w:szCs w:val="24"/>
              </w:rPr>
            </w:pPr>
            <w:r w:rsidRPr="00824647">
              <w:rPr>
                <w:rFonts w:cs="Times New Roman"/>
                <w:szCs w:val="24"/>
              </w:rPr>
              <w:t xml:space="preserve">15 </w:t>
            </w:r>
            <w:proofErr w:type="spellStart"/>
            <w:r w:rsidRPr="00824647">
              <w:rPr>
                <w:rFonts w:cs="Times New Roman"/>
                <w:szCs w:val="24"/>
              </w:rPr>
              <w:t>hr</w:t>
            </w:r>
            <w:proofErr w:type="spellEnd"/>
          </w:p>
        </w:tc>
        <w:tc>
          <w:tcPr>
            <w:tcW w:w="2192" w:type="dxa"/>
          </w:tcPr>
          <w:p w14:paraId="10643D72" w14:textId="432157CE"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author":[{"dropping-particle":"","family":"Li","given":"D","non-dropping-particle":"","parse-names":false,"suffix":""},{"dropping-particle":"","family":"Baydoun","given":"H","non-dropping-particle":"","parse-names":false,"suffix":""},{"dropping-particle":"","family":"Verani","given":"C N","non-dropping-particle":"","parse-names":false,"suffix":""},{"dropping-particle":"","family":"Brock","given":"S L","non-dropping-particle":"","parse-names":false,"suffix":""}],"container-title":"J. Am. Chem. Soc.","id":"ITEM-1","issued":{"date-parts":[["2016"]]},"page":"4006","title":"Efficient Water Oxidation Using CoMnP Nanoparticles","type":"article-journal","volume":"138"},"uris":["http://www.mendeley.com/documents/?uuid=db0a0db4-3087-4f0c-8760-772c6da0ed83"]}],"mendeley":{"formattedCitation":"(Li et al., 2016a)","plainTextFormattedCitation":"(Li et al., 2016a)","previouslyFormattedCitation":"(Li et al., 2016a)"},"properties":{"noteIndex":0},"schema":"https://github.com/citation-style-language/schema/raw/master/csl-citation.json"}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(Li et al., 2016a)</w:t>
            </w:r>
            <w:r w:rsidRPr="00824647">
              <w:rPr>
                <w:rFonts w:cs="Times New Roman"/>
                <w:szCs w:val="24"/>
              </w:rPr>
              <w:fldChar w:fldCharType="end"/>
            </w:r>
          </w:p>
        </w:tc>
      </w:tr>
      <w:tr w:rsidR="00196E07" w:rsidRPr="00824647" w14:paraId="2C27BB5E" w14:textId="77777777" w:rsidTr="00AC006D">
        <w:tc>
          <w:tcPr>
            <w:tcW w:w="710" w:type="dxa"/>
          </w:tcPr>
          <w:p w14:paraId="4533B511" w14:textId="77777777" w:rsidR="00196E07" w:rsidRPr="00824647" w:rsidRDefault="00196E07" w:rsidP="00196E07">
            <w:pPr>
              <w:pStyle w:val="ListParagraph"/>
              <w:numPr>
                <w:ilvl w:val="0"/>
                <w:numId w:val="20"/>
              </w:numPr>
              <w:spacing w:before="0" w:after="0"/>
            </w:pPr>
          </w:p>
        </w:tc>
        <w:tc>
          <w:tcPr>
            <w:tcW w:w="2938" w:type="dxa"/>
          </w:tcPr>
          <w:p w14:paraId="6BB6279D" w14:textId="77777777" w:rsidR="00196E07" w:rsidRPr="00824647" w:rsidRDefault="00196E07" w:rsidP="00AC006D">
            <w:pPr>
              <w:rPr>
                <w:rFonts w:cs="Times New Roman"/>
                <w:szCs w:val="24"/>
              </w:rPr>
            </w:pPr>
            <w:r w:rsidRPr="00824647">
              <w:rPr>
                <w:rFonts w:cs="Times New Roman"/>
                <w:szCs w:val="24"/>
              </w:rPr>
              <w:t>Co doped Nickel phosphide</w:t>
            </w:r>
          </w:p>
        </w:tc>
        <w:tc>
          <w:tcPr>
            <w:tcW w:w="2706" w:type="dxa"/>
          </w:tcPr>
          <w:p w14:paraId="461A9517" w14:textId="77777777" w:rsidR="00196E07" w:rsidRPr="00824647" w:rsidRDefault="00196E07" w:rsidP="00AC006D">
            <w:pPr>
              <w:rPr>
                <w:rFonts w:cs="Times New Roman"/>
                <w:szCs w:val="24"/>
              </w:rPr>
            </w:pPr>
            <w:r w:rsidRPr="00824647">
              <w:rPr>
                <w:rFonts w:cs="Times New Roman"/>
                <w:szCs w:val="24"/>
              </w:rPr>
              <w:t>360 mV (10 mA/cm</w:t>
            </w:r>
            <w:r w:rsidRPr="00824647">
              <w:rPr>
                <w:rFonts w:cs="Times New Roman"/>
                <w:szCs w:val="24"/>
                <w:vertAlign w:val="superscript"/>
              </w:rPr>
              <w:t>2</w:t>
            </w:r>
            <w:r w:rsidRPr="00824647">
              <w:rPr>
                <w:rFonts w:cs="Times New Roman"/>
                <w:szCs w:val="24"/>
              </w:rPr>
              <w:t>)</w:t>
            </w:r>
          </w:p>
        </w:tc>
        <w:tc>
          <w:tcPr>
            <w:tcW w:w="1459" w:type="dxa"/>
          </w:tcPr>
          <w:p w14:paraId="04D6724B" w14:textId="77777777" w:rsidR="00196E07" w:rsidRPr="00824647" w:rsidRDefault="00196E07" w:rsidP="00AC006D">
            <w:pPr>
              <w:rPr>
                <w:rFonts w:cs="Times New Roman"/>
                <w:szCs w:val="24"/>
              </w:rPr>
            </w:pPr>
            <w:r w:rsidRPr="00824647">
              <w:rPr>
                <w:rFonts w:cs="Times New Roman"/>
                <w:szCs w:val="24"/>
              </w:rPr>
              <w:t xml:space="preserve">65.7 </w:t>
            </w:r>
          </w:p>
        </w:tc>
        <w:tc>
          <w:tcPr>
            <w:tcW w:w="1110" w:type="dxa"/>
          </w:tcPr>
          <w:p w14:paraId="31EB600B" w14:textId="77777777" w:rsidR="00196E07" w:rsidRPr="00824647" w:rsidRDefault="00196E07" w:rsidP="00AC006D">
            <w:pPr>
              <w:rPr>
                <w:rFonts w:cs="Times New Roman"/>
                <w:szCs w:val="24"/>
              </w:rPr>
            </w:pPr>
            <w:r w:rsidRPr="00824647">
              <w:rPr>
                <w:rFonts w:cs="Times New Roman"/>
                <w:szCs w:val="24"/>
              </w:rPr>
              <w:t>24h</w:t>
            </w:r>
          </w:p>
        </w:tc>
        <w:tc>
          <w:tcPr>
            <w:tcW w:w="2192" w:type="dxa"/>
          </w:tcPr>
          <w:p w14:paraId="2DD053B3" w14:textId="4011F465"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author":[{"dropping-particle":"","family":"Li","given":"J","non-dropping-particle":"","parse-names":false,"suffix":""},{"dropping-particle":"","family":"Yan","given":"M","non-dropping-particle":"","parse-names":false,"suffix":""},{"dropping-particle":"","family":"Zhou","given":"X","non-dropping-particle":"","parse-names":false,"suffix":""},{"dropping-particle":"","family":"Huang","given":"Z.-Q.","non-dropping-particle":"","parse-names":false,"suffix":""},{"dropping-particle":"","family":"Xia","given":"Z","non-dropping-particle":"","parse-names":false,"suffix":""},{"dropping-particle":"","family":"Chang","given":"C.-R.","non-dropping-particle":"","parse-names":false,"suffix":""},{"dropping-particle":"","family":"Ma","given":"Y","non-dropping-particle":"","parse-names":false,"suffix":""},{"dropping-particle":"","family":"Qu","given":"Y","non-dropping-particle":"","parse-names":false,"suffix":""}],"container-title":"Adv. Funct. Mater.","id":"ITEM-1","issued":{"date-parts":[["2016"]]},"page":"6785","title":"Mechanistic Insights on Ternary Ni2–xCoxP for Hydrogen Evolution and Their Hybrids with Graphene as Highly Efficient and Robust Catalysts for Overall Water Splitting","type":"article-journal","volume":"26"},"uris":["http://www.mendeley.com/documents/?uuid=7a961007-21d4-454d-aa5e-4008f9c0ba3c"]}],"mendeley":{"formattedCitation":"(Li et al., 2016b)","plainTextFormattedCitation":"(Li et al., 2016b)","previouslyFormattedCitation":"(Li et al., 2016b)"},"properties":{"noteIndex":0},"schema":"https://github.com/citation-style-language/schema/raw/master/csl-citation.json"}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(Li et al., 2016b)</w:t>
            </w:r>
            <w:r w:rsidRPr="00824647">
              <w:rPr>
                <w:rFonts w:cs="Times New Roman"/>
                <w:szCs w:val="24"/>
              </w:rPr>
              <w:fldChar w:fldCharType="end"/>
            </w:r>
          </w:p>
        </w:tc>
      </w:tr>
      <w:tr w:rsidR="00196E07" w:rsidRPr="00824647" w14:paraId="62DC7EF7" w14:textId="77777777" w:rsidTr="00AC006D">
        <w:tc>
          <w:tcPr>
            <w:tcW w:w="710" w:type="dxa"/>
          </w:tcPr>
          <w:p w14:paraId="0B4BC79D" w14:textId="77777777" w:rsidR="00196E07" w:rsidRPr="00824647" w:rsidRDefault="00196E07" w:rsidP="00196E07">
            <w:pPr>
              <w:pStyle w:val="ListParagraph"/>
              <w:numPr>
                <w:ilvl w:val="0"/>
                <w:numId w:val="20"/>
              </w:numPr>
              <w:spacing w:before="0" w:after="0"/>
            </w:pPr>
          </w:p>
        </w:tc>
        <w:tc>
          <w:tcPr>
            <w:tcW w:w="2938" w:type="dxa"/>
          </w:tcPr>
          <w:p w14:paraId="753589EE" w14:textId="77777777" w:rsidR="00196E07" w:rsidRPr="00824647" w:rsidRDefault="00196E07" w:rsidP="00AC006D">
            <w:pPr>
              <w:rPr>
                <w:rFonts w:cs="Times New Roman"/>
                <w:szCs w:val="24"/>
              </w:rPr>
            </w:pPr>
            <w:r w:rsidRPr="00824647">
              <w:rPr>
                <w:rFonts w:cs="Times New Roman"/>
                <w:szCs w:val="24"/>
              </w:rPr>
              <w:t>Fe doped CoP nano array</w:t>
            </w:r>
          </w:p>
        </w:tc>
        <w:tc>
          <w:tcPr>
            <w:tcW w:w="2706" w:type="dxa"/>
          </w:tcPr>
          <w:p w14:paraId="21F95CA2" w14:textId="77777777" w:rsidR="00196E07" w:rsidRPr="00824647" w:rsidRDefault="00196E07" w:rsidP="00AC006D">
            <w:pPr>
              <w:rPr>
                <w:rFonts w:cs="Times New Roman"/>
                <w:szCs w:val="24"/>
              </w:rPr>
            </w:pPr>
            <w:r w:rsidRPr="00824647">
              <w:rPr>
                <w:rFonts w:cs="Times New Roman"/>
                <w:szCs w:val="24"/>
              </w:rPr>
              <w:t>310 mV (100 mA/cm</w:t>
            </w:r>
            <w:r w:rsidRPr="00824647">
              <w:rPr>
                <w:rFonts w:cs="Times New Roman"/>
                <w:szCs w:val="24"/>
                <w:vertAlign w:val="superscript"/>
              </w:rPr>
              <w:t>2</w:t>
            </w:r>
            <w:r w:rsidRPr="00824647">
              <w:rPr>
                <w:rFonts w:cs="Times New Roman"/>
                <w:szCs w:val="24"/>
              </w:rPr>
              <w:t>)</w:t>
            </w:r>
          </w:p>
        </w:tc>
        <w:tc>
          <w:tcPr>
            <w:tcW w:w="1459" w:type="dxa"/>
          </w:tcPr>
          <w:p w14:paraId="76637F5A" w14:textId="77777777" w:rsidR="00196E07" w:rsidRPr="00824647" w:rsidRDefault="00196E07" w:rsidP="00AC006D">
            <w:pPr>
              <w:rPr>
                <w:rFonts w:cs="Times New Roman"/>
                <w:szCs w:val="24"/>
              </w:rPr>
            </w:pPr>
            <w:r w:rsidRPr="00824647">
              <w:rPr>
                <w:rFonts w:cs="Times New Roman"/>
                <w:szCs w:val="24"/>
              </w:rPr>
              <w:t xml:space="preserve">67 </w:t>
            </w:r>
          </w:p>
        </w:tc>
        <w:tc>
          <w:tcPr>
            <w:tcW w:w="1110" w:type="dxa"/>
          </w:tcPr>
          <w:p w14:paraId="62198AFE" w14:textId="77777777" w:rsidR="00196E07" w:rsidRPr="00824647" w:rsidRDefault="00196E07" w:rsidP="00AC006D">
            <w:pPr>
              <w:rPr>
                <w:rFonts w:cs="Times New Roman"/>
                <w:szCs w:val="24"/>
              </w:rPr>
            </w:pPr>
            <w:r w:rsidRPr="00824647">
              <w:rPr>
                <w:rFonts w:cs="Times New Roman"/>
                <w:szCs w:val="24"/>
              </w:rPr>
              <w:t>40hr</w:t>
            </w:r>
          </w:p>
        </w:tc>
        <w:tc>
          <w:tcPr>
            <w:tcW w:w="2192" w:type="dxa"/>
          </w:tcPr>
          <w:p w14:paraId="08F61050" w14:textId="33DF7F6C"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{"citationItems":[{"id":"ITEM-1","itemData":{"DOI":"10.1002/adma.201602441","ISSN":"0935-9648","abstract":"An Fe-doped CoP nanoarray behaves as a robust 3D monolithic multifunctional catalyst for electrolytic and hydrolytic hydrogen evolution with high activity. Its two-electrode electrolyzer needs a cell voltage of only 1.60 V for 10 mA cm?2 water-splitting current. It also catalyzes effectively NaBH4 hydrolysis with a low activation energy of ≈39.6 kJ mol?1 and a hydrogen generation rate of 6.06 L min?1 g?1.","author":[{"dropping-particle":"","family":"Tang","given":"Chun","non-dropping-particle":"","parse-names":false,"suffix":""},{"dropping-particle":"","family":"Zhang","given":"Rong","non-dropping-particle":"","parse-names":false,"suffix":""},{"dropping-particle":"","family":"Lu","given":"Wenbo","non-dropping-particle":"","parse-names":false,"suffix":""},{"dropping-particle":"","family":"He","given":"Liangbo","non-dropping-particle":"","parse-names":false,"suffix":""},{"dropping-particle":"","family":"Jiang","given":"Xiue","non-dropping-particle":"","parse-names":false,"suffix":""},{"dropping-particle":"","family":"Asiri","given":"Abdullah M","non-dropping-particle":"","parse-names":false,"suffix":""},{"dropping-particle":"","family":"Sun","given":"Xuping","non-dropping-particle":"","parse-names":false,"suffix":""}],"container-title":"Advanced Materials","id":"ITEM-1","issue":"2","issued":{"date-parts":[["2017","1","1"]]},"note":"doi: 10.1002/adma.201602441","page":"1602441","publisher":"John Wiley &amp; Sons, Ltd","title":"Fe-Doped CoP Nanoarray: A Monolithic Multifunctional Catalyst for Highly Efficient Hydrogen Generation","type":"article-journal","volume":"29"},"uris":["http://www.mendeley.com/documents/?uuid=9aab7df8-bd9a-440d-a5d5-01d41e2c4c5c"]}],"mendeley":{"formattedCitation":"(Tang et al., 2017)","plainTextFormattedCitation":"(Tang et al., 2017)","previouslyFormattedCitation":"(Tang et al., 2017)"},"properties":{"noteIndex":0},"schema":"https://github.com/citation-style-language/schema/raw/master/csl-citation.json"}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(Tang et al., 2017)</w:t>
            </w:r>
            <w:r w:rsidRPr="00824647">
              <w:rPr>
                <w:rFonts w:cs="Times New Roman"/>
                <w:szCs w:val="24"/>
              </w:rPr>
              <w:fldChar w:fldCharType="end"/>
            </w:r>
          </w:p>
        </w:tc>
      </w:tr>
      <w:tr w:rsidR="00196E07" w:rsidRPr="00824647" w14:paraId="38681F57" w14:textId="77777777" w:rsidTr="00AC006D">
        <w:tc>
          <w:tcPr>
            <w:tcW w:w="710" w:type="dxa"/>
          </w:tcPr>
          <w:p w14:paraId="3FFFA285" w14:textId="77777777" w:rsidR="00196E07" w:rsidRPr="00824647" w:rsidRDefault="00196E07" w:rsidP="00196E07">
            <w:pPr>
              <w:pStyle w:val="ListParagraph"/>
              <w:numPr>
                <w:ilvl w:val="0"/>
                <w:numId w:val="20"/>
              </w:numPr>
              <w:spacing w:before="0" w:after="0"/>
            </w:pPr>
          </w:p>
        </w:tc>
        <w:tc>
          <w:tcPr>
            <w:tcW w:w="2938" w:type="dxa"/>
          </w:tcPr>
          <w:p w14:paraId="4D0AAB85" w14:textId="77777777" w:rsidR="00196E07" w:rsidRPr="00824647" w:rsidRDefault="00196E07" w:rsidP="00AC006D">
            <w:pPr>
              <w:rPr>
                <w:rFonts w:cs="Times New Roman"/>
                <w:szCs w:val="24"/>
              </w:rPr>
            </w:pPr>
            <w:proofErr w:type="spellStart"/>
            <w:r w:rsidRPr="00824647">
              <w:rPr>
                <w:rFonts w:cs="Times New Roman"/>
                <w:szCs w:val="24"/>
              </w:rPr>
              <w:t>NiCoP</w:t>
            </w:r>
            <w:proofErr w:type="spellEnd"/>
            <w:r w:rsidRPr="00824647">
              <w:rPr>
                <w:rFonts w:cs="Times New Roman"/>
                <w:szCs w:val="24"/>
              </w:rPr>
              <w:t>/C</w:t>
            </w:r>
          </w:p>
        </w:tc>
        <w:tc>
          <w:tcPr>
            <w:tcW w:w="2706" w:type="dxa"/>
          </w:tcPr>
          <w:p w14:paraId="2D62FA0A" w14:textId="77777777" w:rsidR="00196E07" w:rsidRPr="00824647" w:rsidRDefault="00196E07" w:rsidP="00AC006D">
            <w:pPr>
              <w:rPr>
                <w:rFonts w:cs="Times New Roman"/>
                <w:szCs w:val="24"/>
              </w:rPr>
            </w:pPr>
            <w:r w:rsidRPr="00824647">
              <w:rPr>
                <w:rFonts w:cs="Times New Roman"/>
                <w:szCs w:val="24"/>
              </w:rPr>
              <w:t>330mV (10 mA/cm</w:t>
            </w:r>
            <w:r w:rsidRPr="00824647">
              <w:rPr>
                <w:rFonts w:cs="Times New Roman"/>
                <w:szCs w:val="24"/>
                <w:vertAlign w:val="superscript"/>
              </w:rPr>
              <w:t>2</w:t>
            </w:r>
            <w:r w:rsidRPr="00824647">
              <w:rPr>
                <w:rFonts w:cs="Times New Roman"/>
                <w:szCs w:val="24"/>
              </w:rPr>
              <w:t>)</w:t>
            </w:r>
          </w:p>
        </w:tc>
        <w:tc>
          <w:tcPr>
            <w:tcW w:w="1459" w:type="dxa"/>
          </w:tcPr>
          <w:p w14:paraId="491F1A9D" w14:textId="77777777" w:rsidR="00196E07" w:rsidRPr="00824647" w:rsidRDefault="00196E07" w:rsidP="00AC006D">
            <w:pPr>
              <w:rPr>
                <w:rFonts w:cs="Times New Roman"/>
                <w:szCs w:val="24"/>
              </w:rPr>
            </w:pPr>
            <w:r w:rsidRPr="00824647">
              <w:rPr>
                <w:rFonts w:cs="Times New Roman"/>
                <w:szCs w:val="24"/>
              </w:rPr>
              <w:t xml:space="preserve">96 </w:t>
            </w:r>
          </w:p>
        </w:tc>
        <w:tc>
          <w:tcPr>
            <w:tcW w:w="1110" w:type="dxa"/>
          </w:tcPr>
          <w:p w14:paraId="494CCFBA" w14:textId="77777777" w:rsidR="00196E07" w:rsidRPr="00824647" w:rsidRDefault="00196E07" w:rsidP="00AC006D">
            <w:pPr>
              <w:rPr>
                <w:rFonts w:cs="Times New Roman"/>
                <w:szCs w:val="24"/>
              </w:rPr>
            </w:pPr>
            <w:r w:rsidRPr="00824647">
              <w:rPr>
                <w:rFonts w:cs="Times New Roman"/>
                <w:szCs w:val="24"/>
              </w:rPr>
              <w:t xml:space="preserve">10 </w:t>
            </w:r>
            <w:proofErr w:type="spellStart"/>
            <w:r w:rsidRPr="00824647">
              <w:rPr>
                <w:rFonts w:cs="Times New Roman"/>
                <w:szCs w:val="24"/>
              </w:rPr>
              <w:t>hr</w:t>
            </w:r>
            <w:proofErr w:type="spellEnd"/>
          </w:p>
        </w:tc>
        <w:tc>
          <w:tcPr>
            <w:tcW w:w="2192" w:type="dxa"/>
          </w:tcPr>
          <w:p w14:paraId="22C9F27B" w14:textId="292073EA"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{"citationItems":[{"id":"ITEM-1","itemData":{"DOI":"10.1002/anie.201612635","ISSN":"1433-7851","abstract":"Abstract Hollow nanostructures have attracted increasing research interest in electrochemical energy storage and conversion owing to their unique structural features. However, the synthesis of hollow nanostructured metal phosphides, especially nonspherical hollow nanostructures, is rarely reported. Herein, we develop a metal?organic framework (MOF)-based strategy to synthesize carbon incorporated Ni?Co mixed metal phosphide nanoboxes (denoted as NiCoP/C). The oxygen evolution reaction (OER) is selected as a demonstration to investigate the electrochemical performance of the NiCoP/C nanoboxes. For comparison, Ni?Co layered double hydroxide (Ni?Co LDH) and Ni?Co mixed metal phosphide (denoted as NiCoP) nanoboxes have also been synthesized. Benefiting from their structural and compositional merits, the as-synthesized NiCoP/C nanoboxes exhibit excellent electrocatalytic activity and long-term stability for OER.","author":[{"dropping-particle":"","family":"He","given":"Peilei","non-dropping-particle":"","parse-names":false,"suffix":""},{"dropping-particle":"","family":"Yu","given":"Xin-Yao","non-dropping-particle":"","parse-names":false,"suffix":""},{"dropping-particle":"","family":"Lou","given":"Xiong Wen (David)","non-dropping-particle":"","parse-names":false,"suffix":""}],"container-title":"Angewandte Chemie International Edition","id":"ITEM-1","issue":"14","issued":{"date-parts":[["2017","3","27"]]},"note":"doi: 10.1002/anie.201612635","page":"3897-3900","publisher":"John Wiley &amp; Sons, Ltd","title":"Carbon-Incorporated Nickel–Cobalt Mixed Metal Phosphide Nanoboxes with Enhanced Electrocatalytic Activity for Oxygen Evolution","type":"article-journal","volume":"56"},"uris":["http://www.mendeley.com/documents/?uuid=04fcf406-1a76-4cd2-a8ad-95758de5ecf9"]}],"mendeley":{"formattedCitation":"(He et al., 2017)","plainTextFormattedCitation":"(He et al., 2017)","previouslyFormattedCitation":"(He et al., 2017)"},"properties":{"noteIndex":0},"schema":"https://github.com/citation-style-language/schema/raw/master/csl-citation.json"}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(He et al., 2017)</w:t>
            </w:r>
            <w:r w:rsidRPr="00824647">
              <w:rPr>
                <w:rFonts w:cs="Times New Roman"/>
                <w:szCs w:val="24"/>
              </w:rPr>
              <w:fldChar w:fldCharType="end"/>
            </w:r>
          </w:p>
        </w:tc>
      </w:tr>
      <w:tr w:rsidR="00196E07" w:rsidRPr="00824647" w14:paraId="39AD29FA" w14:textId="77777777" w:rsidTr="00AC006D">
        <w:tc>
          <w:tcPr>
            <w:tcW w:w="710" w:type="dxa"/>
          </w:tcPr>
          <w:p w14:paraId="0D873176" w14:textId="77777777" w:rsidR="00196E07" w:rsidRPr="00824647" w:rsidRDefault="00196E07" w:rsidP="00196E07">
            <w:pPr>
              <w:pStyle w:val="ListParagraph"/>
              <w:numPr>
                <w:ilvl w:val="0"/>
                <w:numId w:val="20"/>
              </w:numPr>
              <w:spacing w:before="0" w:after="0"/>
            </w:pPr>
          </w:p>
        </w:tc>
        <w:tc>
          <w:tcPr>
            <w:tcW w:w="2938" w:type="dxa"/>
          </w:tcPr>
          <w:p w14:paraId="16814214" w14:textId="77777777" w:rsidR="00196E07" w:rsidRPr="00824647" w:rsidRDefault="00196E07" w:rsidP="00AC006D">
            <w:pPr>
              <w:rPr>
                <w:rFonts w:cs="Times New Roman"/>
                <w:szCs w:val="24"/>
              </w:rPr>
            </w:pPr>
            <w:r w:rsidRPr="00824647">
              <w:rPr>
                <w:rFonts w:cs="Times New Roman"/>
                <w:szCs w:val="24"/>
              </w:rPr>
              <w:t>NiMoP</w:t>
            </w:r>
            <w:r w:rsidRPr="00187DDA">
              <w:rPr>
                <w:rFonts w:cs="Times New Roman"/>
                <w:szCs w:val="24"/>
                <w:vertAlign w:val="subscript"/>
              </w:rPr>
              <w:t>2</w:t>
            </w:r>
          </w:p>
        </w:tc>
        <w:tc>
          <w:tcPr>
            <w:tcW w:w="2706" w:type="dxa"/>
          </w:tcPr>
          <w:p w14:paraId="77D0B44E" w14:textId="77777777" w:rsidR="00196E07" w:rsidRPr="00824647" w:rsidRDefault="00196E07" w:rsidP="00AC006D">
            <w:pPr>
              <w:rPr>
                <w:rFonts w:cs="Times New Roman"/>
                <w:szCs w:val="24"/>
              </w:rPr>
            </w:pPr>
            <w:r w:rsidRPr="00824647">
              <w:rPr>
                <w:rFonts w:cs="Times New Roman"/>
                <w:szCs w:val="24"/>
              </w:rPr>
              <w:t>330mV (100 mA/cm</w:t>
            </w:r>
            <w:r w:rsidRPr="00824647">
              <w:rPr>
                <w:rFonts w:cs="Times New Roman"/>
                <w:szCs w:val="24"/>
                <w:vertAlign w:val="superscript"/>
              </w:rPr>
              <w:t>2</w:t>
            </w:r>
            <w:r w:rsidRPr="00824647">
              <w:rPr>
                <w:rFonts w:cs="Times New Roman"/>
                <w:szCs w:val="24"/>
              </w:rPr>
              <w:t>)</w:t>
            </w:r>
          </w:p>
        </w:tc>
        <w:tc>
          <w:tcPr>
            <w:tcW w:w="1459" w:type="dxa"/>
          </w:tcPr>
          <w:p w14:paraId="1CA219A3" w14:textId="77777777" w:rsidR="00196E07" w:rsidRPr="00824647" w:rsidRDefault="00196E07" w:rsidP="00AC006D">
            <w:pPr>
              <w:rPr>
                <w:rFonts w:cs="Times New Roman"/>
                <w:szCs w:val="24"/>
              </w:rPr>
            </w:pPr>
            <w:r w:rsidRPr="00824647">
              <w:rPr>
                <w:rFonts w:cs="Times New Roman"/>
                <w:szCs w:val="24"/>
              </w:rPr>
              <w:t xml:space="preserve">90.6 </w:t>
            </w:r>
          </w:p>
        </w:tc>
        <w:tc>
          <w:tcPr>
            <w:tcW w:w="1110" w:type="dxa"/>
          </w:tcPr>
          <w:p w14:paraId="11BE3B17" w14:textId="77777777" w:rsidR="00196E07" w:rsidRPr="00824647" w:rsidRDefault="00196E07" w:rsidP="00AC006D">
            <w:pPr>
              <w:rPr>
                <w:rFonts w:cs="Times New Roman"/>
                <w:szCs w:val="24"/>
              </w:rPr>
            </w:pPr>
            <w:r w:rsidRPr="00824647">
              <w:rPr>
                <w:rFonts w:cs="Times New Roman"/>
                <w:szCs w:val="24"/>
              </w:rPr>
              <w:t xml:space="preserve">24 </w:t>
            </w:r>
            <w:proofErr w:type="spellStart"/>
            <w:r w:rsidRPr="00824647">
              <w:rPr>
                <w:rFonts w:cs="Times New Roman"/>
                <w:szCs w:val="24"/>
              </w:rPr>
              <w:t>hr</w:t>
            </w:r>
            <w:proofErr w:type="spellEnd"/>
          </w:p>
        </w:tc>
        <w:tc>
          <w:tcPr>
            <w:tcW w:w="2192" w:type="dxa"/>
          </w:tcPr>
          <w:p w14:paraId="49ED8FA9" w14:textId="2B65DE95"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{"citationItems":[{"id":"ITEM-1","itemData":{"DOI":"10.1039/C6TA11188B","ISSN":"2050-7488","abstract":"Designing and exploring efficient and stable non-noble bifunctional catalysts by nanostructure modification and chemical composition tuning for water splitting is of critical importance for sustainable resources. Herein, pure phase nickel molybdenum phosphide (NiMoP2) nanowires on carbon cloth are successfully synthesized through a simple and highly reproducible in situ P/O exchange process. Such a NiMoP2 nanowire catalyst requires low overpotentials of 199 and 330 mV to obtain a high current density of 100 mA cm−2 towards the hydrogen evolution reaction (HER) and oxygen evolution reaction (OER), respectively, and is among the most active HER and OER electrocatalysts yet reported. The bifunctional NiMoP2 is used as both anode and cathode catalysts in a two-electrode water electrolysis configuration, which delivers a current density of 10 mA cm−2 under a potential of 1.67 V. Furthermore, the overall water-splitting of the bifunctional NiMoP2 nanowire catalyst is further driven by a dry battery with a nominal voltage of 1.5 V which exhibits excellent performance and durability in a strong alkaline electrolyte.","author":[{"dropping-particle":"","family":"Wang","given":"Xu-Dong","non-dropping-particle":"","parse-names":false,"suffix":""},{"dropping-particle":"","family":"Chen","given":"Hong-Yan","non-dropping-particle":"","parse-names":false,"suffix":""},{"dropping-particle":"","family":"Xu","given":"Yang-Fan","non-dropping-particle":"","parse-names":false,"suffix":""},{"dropping-particle":"","family":"Liao","given":"Jin-Feng","non-dropping-particle":"","parse-names":false,"suffix":""},{"dropping-particle":"","family":"Chen","given":"Bai-Xue","non-dropping-particle":"","parse-names":false,"suffix":""},{"dropping-particle":"","family":"Rao","given":"Hua-Shang","non-dropping-particle":"","parse-names":false,"suffix":""},{"dropping-particle":"","family":"Kuang","given":"Dai-Bin","non-dropping-particle":"","parse-names":false,"suffix":""},{"dropping-particle":"","family":"Su","given":"Cheng-Yong","non-dropping-particle":"","parse-names":false,"suffix":""}],"container-title":"Journal of Materials Chemistry A","id":"ITEM-1","issue":"15","issued":{"date-parts":[["2017"]]},"page":"7191-7199","publisher":"The Royal Society of Chemistry","title":"Self-supported NiMoP2 nanowires on carbon cloth as an efficient and durable electrocatalyst for overall water splitting","type":"article-journal","volume":"5"},"uris":["http://www.mendeley.com/documents/?uuid=4d45e906-d52e-4bdf-9d0a-e4015501b52b"]}],"mendeley":{"formattedCitation":"(Wang et al., 2017)","plainTextFormattedCitation":"(Wang et al., 2017)","previouslyFormattedCitation":"(Wang et al., 2017)"},"properties":{"noteIndex":0},"schema":"https://github.com/citation-style-language/schema/raw/master/csl-citation.json"}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(Wang et al., 2017)</w:t>
            </w:r>
            <w:r w:rsidRPr="00824647">
              <w:rPr>
                <w:rFonts w:cs="Times New Roman"/>
                <w:szCs w:val="24"/>
              </w:rPr>
              <w:fldChar w:fldCharType="end"/>
            </w:r>
          </w:p>
        </w:tc>
      </w:tr>
      <w:tr w:rsidR="00196E07" w:rsidRPr="00824647" w14:paraId="5A0C3D55" w14:textId="77777777" w:rsidTr="00AC006D">
        <w:tc>
          <w:tcPr>
            <w:tcW w:w="710" w:type="dxa"/>
          </w:tcPr>
          <w:p w14:paraId="43301EA8" w14:textId="77777777" w:rsidR="00196E07" w:rsidRPr="00824647" w:rsidRDefault="00196E07" w:rsidP="00196E07">
            <w:pPr>
              <w:pStyle w:val="ListParagraph"/>
              <w:numPr>
                <w:ilvl w:val="0"/>
                <w:numId w:val="20"/>
              </w:numPr>
              <w:spacing w:before="0" w:after="0"/>
            </w:pPr>
          </w:p>
        </w:tc>
        <w:tc>
          <w:tcPr>
            <w:tcW w:w="2938" w:type="dxa"/>
          </w:tcPr>
          <w:p w14:paraId="2814EDC5" w14:textId="77777777" w:rsidR="00196E07" w:rsidRPr="00824647" w:rsidRDefault="00196E07" w:rsidP="00AC006D">
            <w:pPr>
              <w:rPr>
                <w:rFonts w:cs="Times New Roman"/>
                <w:szCs w:val="24"/>
              </w:rPr>
            </w:pPr>
            <w:r w:rsidRPr="00824647">
              <w:rPr>
                <w:rFonts w:cs="Times New Roman"/>
                <w:szCs w:val="24"/>
              </w:rPr>
              <w:t>Al doped CoP nanoarray</w:t>
            </w:r>
          </w:p>
        </w:tc>
        <w:tc>
          <w:tcPr>
            <w:tcW w:w="2706" w:type="dxa"/>
          </w:tcPr>
          <w:p w14:paraId="45F27722" w14:textId="77777777" w:rsidR="00196E07" w:rsidRPr="00824647" w:rsidRDefault="00196E07" w:rsidP="00AC006D">
            <w:pPr>
              <w:rPr>
                <w:rFonts w:cs="Times New Roman"/>
                <w:szCs w:val="24"/>
              </w:rPr>
            </w:pPr>
            <w:r w:rsidRPr="00824647">
              <w:rPr>
                <w:rFonts w:cs="Times New Roman"/>
                <w:szCs w:val="24"/>
              </w:rPr>
              <w:t>330mV (10 mA/cm</w:t>
            </w:r>
            <w:r w:rsidRPr="00824647">
              <w:rPr>
                <w:rFonts w:cs="Times New Roman"/>
                <w:szCs w:val="24"/>
                <w:vertAlign w:val="superscript"/>
              </w:rPr>
              <w:t>2</w:t>
            </w:r>
            <w:r w:rsidRPr="00824647">
              <w:rPr>
                <w:rFonts w:cs="Times New Roman"/>
                <w:szCs w:val="24"/>
              </w:rPr>
              <w:t>)</w:t>
            </w:r>
          </w:p>
        </w:tc>
        <w:tc>
          <w:tcPr>
            <w:tcW w:w="1459" w:type="dxa"/>
          </w:tcPr>
          <w:p w14:paraId="01D121A8" w14:textId="77777777" w:rsidR="00196E07" w:rsidRPr="00824647" w:rsidRDefault="00196E07" w:rsidP="00AC006D">
            <w:pPr>
              <w:rPr>
                <w:rFonts w:cs="Times New Roman"/>
                <w:szCs w:val="24"/>
              </w:rPr>
            </w:pPr>
            <w:r w:rsidRPr="00824647">
              <w:rPr>
                <w:rFonts w:cs="Times New Roman"/>
                <w:szCs w:val="24"/>
              </w:rPr>
              <w:t>43</w:t>
            </w:r>
          </w:p>
        </w:tc>
        <w:tc>
          <w:tcPr>
            <w:tcW w:w="1110" w:type="dxa"/>
          </w:tcPr>
          <w:p w14:paraId="4F04D663" w14:textId="77777777" w:rsidR="00196E07" w:rsidRPr="00824647" w:rsidRDefault="00196E07" w:rsidP="00AC006D">
            <w:pPr>
              <w:rPr>
                <w:rFonts w:cs="Times New Roman"/>
                <w:szCs w:val="24"/>
              </w:rPr>
            </w:pPr>
            <w:r w:rsidRPr="00824647">
              <w:rPr>
                <w:rFonts w:cs="Times New Roman"/>
                <w:szCs w:val="24"/>
              </w:rPr>
              <w:t>40hr</w:t>
            </w:r>
          </w:p>
        </w:tc>
        <w:tc>
          <w:tcPr>
            <w:tcW w:w="2192" w:type="dxa"/>
          </w:tcPr>
          <w:p w14:paraId="07A18231" w14:textId="04954DE4"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{"citationItems":[{"id":"ITEM-1","itemData":{"DOI":"10.1039/C7NR00740J","ISSN":"2040-3364","abstract":"The scalable production of hydrogen fuel through electrochemical water reduction needs efficient Earth-abundant electrocatalysts to make the whole water-splitting process more energy efficient. In this Article, we report that an Al-doped CoP nanoarray on carbon cloth (Al-CoP/CC) behaves as a durable hydrogen evolution electrocatalyst with superhigh activity in 0.5 M H2SO4. It demands a pretty low overpotential of 23 mV to drive a geometrical catalytic current density of 10 mA cm−2, outperforming all reported non-precious metal catalysts. Density functional theory calculations reveal that Al-CoP has a more thermo-neutral hydrogen adsorption free energy than CoP. Notably, this Al-CoP/CC is also superior in activity and durability as a bifunctional catalyst for alkaline water electrolysis, and its two-electrode water electrolyser delivers 10 mA cm−2 water-splitting current at a cell voltage of 1.56 V in 1.0 M KOH. This work offers us an attractive cost-effective catalyst electrode in water-splitting devices for large-scale production of hydrogen fuels.","author":[{"dropping-particle":"","family":"Zhang","given":"Rong","non-dropping-particle":"","parse-names":false,"suffix":""},{"dropping-particle":"","family":"Tang","given":"Chun","non-dropping-particle":"","parse-names":false,"suffix":""},{"dropping-particle":"","family":"Kong","given":"Rongmei","non-dropping-particle":"","parse-names":false,"suffix":""},{"dropping-particle":"","family":"Du","given":"Gu","non-dropping-particle":"","parse-names":false,"suffix":""},{"dropping-particle":"","family":"Asiri","given":"Abdullah M","non-dropping-particle":"","parse-names":false,"suffix":""},{"dropping-particle":"","family":"Chen","given":"Liang","non-dropping-particle":"","parse-names":false,"suffix":""},{"dropping-particle":"","family":"Sun","given":"Xuping","non-dropping-particle":"","parse-names":false,"suffix":""}],"container-title":"Nanoscale","id":"ITEM-1","issue":"14","issued":{"date-parts":[["2017"]]},"page":"4793-4800","publisher":"The Royal Society of Chemistry","title":"Al-Doped CoP nanoarray: a durable water-splitting electrocatalyst with superhigh activity","type":"article-journal","volume":"9"},"uris":["http://www.mendeley.com/documents/?uuid=bf13fcc1-c472-43b1-8948-7ac61f4f1af3"]}],"mendeley":{"formattedCitation":"(Zhang et al., 2017)","plainTextFormattedCitation":"(Zhang et al., 2017)","previouslyFormattedCitation":"(Zhang et al., 2017)"},"properties":{"noteIndex":0},"schema":"https://github.com/citation-style-language/schema/raw/master/csl-citation.json"}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(Zhang et al., 2017)</w:t>
            </w:r>
            <w:r w:rsidRPr="00824647">
              <w:rPr>
                <w:rFonts w:cs="Times New Roman"/>
                <w:szCs w:val="24"/>
              </w:rPr>
              <w:fldChar w:fldCharType="end"/>
            </w:r>
          </w:p>
        </w:tc>
      </w:tr>
      <w:tr w:rsidR="00196E07" w:rsidRPr="00824647" w14:paraId="76F245C1" w14:textId="77777777" w:rsidTr="00AC006D">
        <w:tc>
          <w:tcPr>
            <w:tcW w:w="710" w:type="dxa"/>
          </w:tcPr>
          <w:p w14:paraId="2299D42D" w14:textId="77777777" w:rsidR="00196E07" w:rsidRPr="00824647" w:rsidRDefault="00196E07" w:rsidP="00196E07">
            <w:pPr>
              <w:pStyle w:val="ListParagraph"/>
              <w:numPr>
                <w:ilvl w:val="0"/>
                <w:numId w:val="20"/>
              </w:numPr>
              <w:spacing w:before="0" w:after="0"/>
            </w:pPr>
          </w:p>
        </w:tc>
        <w:tc>
          <w:tcPr>
            <w:tcW w:w="2938" w:type="dxa"/>
          </w:tcPr>
          <w:p w14:paraId="026D8437" w14:textId="77777777" w:rsidR="00196E07" w:rsidRPr="00824647" w:rsidRDefault="00196E07" w:rsidP="00AC006D">
            <w:pPr>
              <w:rPr>
                <w:rFonts w:cs="Times New Roman"/>
                <w:szCs w:val="24"/>
              </w:rPr>
            </w:pPr>
            <w:r w:rsidRPr="00824647">
              <w:rPr>
                <w:rFonts w:cs="Times New Roman"/>
                <w:szCs w:val="24"/>
              </w:rPr>
              <w:t>Sn doped Ni5P4</w:t>
            </w:r>
          </w:p>
        </w:tc>
        <w:tc>
          <w:tcPr>
            <w:tcW w:w="2706" w:type="dxa"/>
          </w:tcPr>
          <w:p w14:paraId="3E75D87E" w14:textId="77777777" w:rsidR="00196E07" w:rsidRPr="00824647" w:rsidRDefault="00196E07" w:rsidP="00AC006D">
            <w:pPr>
              <w:rPr>
                <w:rFonts w:cs="Times New Roman"/>
                <w:szCs w:val="24"/>
              </w:rPr>
            </w:pPr>
            <w:r w:rsidRPr="00824647">
              <w:rPr>
                <w:rFonts w:cs="Times New Roman"/>
                <w:szCs w:val="24"/>
              </w:rPr>
              <w:t>170mV (10 mA/cm</w:t>
            </w:r>
            <w:r w:rsidRPr="00824647">
              <w:rPr>
                <w:rFonts w:cs="Times New Roman"/>
                <w:szCs w:val="24"/>
                <w:vertAlign w:val="superscript"/>
              </w:rPr>
              <w:t>2</w:t>
            </w:r>
            <w:r w:rsidRPr="00824647">
              <w:rPr>
                <w:rFonts w:cs="Times New Roman"/>
                <w:szCs w:val="24"/>
              </w:rPr>
              <w:t>)</w:t>
            </w:r>
          </w:p>
          <w:p w14:paraId="49FF418D" w14:textId="77777777" w:rsidR="00196E07" w:rsidRPr="00824647" w:rsidRDefault="00196E07" w:rsidP="00AC006D">
            <w:pPr>
              <w:rPr>
                <w:rFonts w:cs="Times New Roman"/>
                <w:szCs w:val="24"/>
              </w:rPr>
            </w:pPr>
            <w:r w:rsidRPr="00824647">
              <w:rPr>
                <w:rFonts w:cs="Times New Roman"/>
                <w:szCs w:val="24"/>
              </w:rPr>
              <w:t>190 (30 mA/cm</w:t>
            </w:r>
            <w:r w:rsidRPr="00824647">
              <w:rPr>
                <w:rFonts w:cs="Times New Roman"/>
                <w:szCs w:val="24"/>
                <w:vertAlign w:val="superscript"/>
              </w:rPr>
              <w:t>2</w:t>
            </w:r>
            <w:r w:rsidRPr="00824647">
              <w:rPr>
                <w:rFonts w:cs="Times New Roman"/>
                <w:szCs w:val="24"/>
              </w:rPr>
              <w:t xml:space="preserve">) and </w:t>
            </w:r>
          </w:p>
        </w:tc>
        <w:tc>
          <w:tcPr>
            <w:tcW w:w="1459" w:type="dxa"/>
          </w:tcPr>
          <w:p w14:paraId="60829EA7" w14:textId="77777777" w:rsidR="00196E07" w:rsidRPr="00824647" w:rsidRDefault="00196E07" w:rsidP="00AC006D">
            <w:pPr>
              <w:rPr>
                <w:rFonts w:cs="Times New Roman"/>
                <w:szCs w:val="24"/>
              </w:rPr>
            </w:pPr>
            <w:r w:rsidRPr="00824647">
              <w:rPr>
                <w:rFonts w:cs="Times New Roman"/>
                <w:szCs w:val="24"/>
              </w:rPr>
              <w:t>36</w:t>
            </w:r>
          </w:p>
        </w:tc>
        <w:tc>
          <w:tcPr>
            <w:tcW w:w="1110" w:type="dxa"/>
          </w:tcPr>
          <w:p w14:paraId="0E0D641B" w14:textId="77777777" w:rsidR="00196E07" w:rsidRPr="00824647" w:rsidRDefault="00196E07" w:rsidP="00AC006D">
            <w:pPr>
              <w:rPr>
                <w:rFonts w:cs="Times New Roman"/>
                <w:szCs w:val="24"/>
              </w:rPr>
            </w:pPr>
            <w:r w:rsidRPr="00824647">
              <w:rPr>
                <w:rFonts w:cs="Times New Roman"/>
                <w:szCs w:val="24"/>
              </w:rPr>
              <w:t xml:space="preserve">36 </w:t>
            </w:r>
            <w:proofErr w:type="spellStart"/>
            <w:r w:rsidRPr="00824647">
              <w:rPr>
                <w:rFonts w:cs="Times New Roman"/>
                <w:szCs w:val="24"/>
              </w:rPr>
              <w:t>hr</w:t>
            </w:r>
            <w:proofErr w:type="spellEnd"/>
          </w:p>
        </w:tc>
        <w:tc>
          <w:tcPr>
            <w:tcW w:w="2192" w:type="dxa"/>
          </w:tcPr>
          <w:p w14:paraId="32C627D1" w14:textId="7ADA3B33" w:rsidR="00196E07" w:rsidRPr="00824647" w:rsidRDefault="00F13E75" w:rsidP="00AC006D">
            <w:pPr>
              <w:rPr>
                <w:rFonts w:cs="Times New Roman"/>
                <w:b/>
                <w:bCs/>
                <w:szCs w:val="24"/>
              </w:rPr>
            </w:pPr>
            <w:r w:rsidRPr="00824647">
              <w:rPr>
                <w:rFonts w:cs="Times New Roman"/>
                <w:szCs w:val="24"/>
              </w:rPr>
              <w:fldChar w:fldCharType="begin" w:fldLock="1"/>
            </w:r>
            <w:r w:rsidRPr="00824647">
              <w:rPr>
                <w:rFonts w:cs="Times New Roman"/>
                <w:szCs w:val="24"/>
              </w:rPr>
              <w:instrText>ADDIN CSL_CITATION {"citationItems":[{"id":"ITEM-1","itemData":{"DOI":"10.1021/acscatal.1c00476","abstract":"Water splitting is considered one of the most promising approaches to power the globe without the risk of environmental pollution. The oxygen evolution reaction (OER) is even more challenging because the generation of only one oxygen molecule involves the transfer of four e– and removal of four H+ ions from water. Thus, developing highly efficient catalysts to meet industrial requirements remains a focus of attention. Herein, the prominent role of Sn in accelerating the electron transfer kinetics of Ni5P4 nanosheets in OER is reported. The post catalytic survey elucidates that the electrochemically induced Ni–Sn oxides at the vicinity of phosphides are responsible for the observed catalytic activity, delivering current densities of 10, 30, and 100 mA cm–2 at overpotentials of only 173 ± 5.2, 200 ±7.4, and 310 ± 5.5 mV, respectively. The density functional theory calculation also supports the experimental findings from the basis of the difference observed in density of states at the Fermi level in the presence","author":[{"dropping-particle":"","family":"Ahmed Shifa","given":"Tofik","non-dropping-particle":"","parse-names":false,"suffix":""},{"dropping-particle":"","family":"Yusupov","given":"Khabib","non-dropping-particle":"","parse-names":false,"suffix":""},{"dropping-particle":"","family":"Solomon","given":"Getachew","non-dropping-particle":"","parse-names":false,"suffix":""},{"dropping-particle":"","family":"Gradone","given":"Alessandro","non-dropping-particle":"","parse-names":false,"suffix":""},{"dropping-particle":"","family":"Mazzaro","given":"Raffaello","non-dropping-particle":"","parse-names":false,"suffix":""},{"dropping-particle":"","family":"Cattaruzza","given":"Elti","non-dropping-particle":"","parse-names":false,"suffix":""},{"dropping-particle":"","family":"Vomiero","given":"Alberto","non-dropping-particle":"","parse-names":false,"suffix":""}],"container-title":"ACS Catalysis","id":"ITEM-1","issue":"8","issued":{"date-parts":[["2021","3","29"]]},"page":"4520-4529","publisher":"American Chemical Society (ACS)","title":"In Situ-Generated Oxide in Sn-Doped Nickel Phosphide Enables Ultrafast Oxygen Evolution","type":"article-journal","volume":"11"},"uris":["http://www.mendeley.com/documents/?uuid=abc41ce8-1975-38f6-9db1-48f293ca7e71"]}],"mendeley":{"formattedCitation":"(Ahmed Shifa et al., 2021)","plainTextFormattedCitation":"(Ahmed Shifa et al., 2021)","previouslyFormattedCitation":"(Ahmed Shifa et al., 2021)"},"properties":{"noteIndex":0},"schema":"https://github.com/citation-style-language/schema/raw/master/csl-citation.json"}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(Ahmed Shifa et al., 2021)</w:t>
            </w:r>
            <w:r w:rsidRPr="00824647">
              <w:rPr>
                <w:rFonts w:cs="Times New Roman"/>
                <w:szCs w:val="24"/>
              </w:rPr>
              <w:fldChar w:fldCharType="end"/>
            </w:r>
          </w:p>
        </w:tc>
      </w:tr>
      <w:tr w:rsidR="00196E07" w:rsidRPr="00824647" w14:paraId="09C36BFB" w14:textId="77777777" w:rsidTr="00AC006D">
        <w:tc>
          <w:tcPr>
            <w:tcW w:w="710" w:type="dxa"/>
          </w:tcPr>
          <w:p w14:paraId="476AEC3B" w14:textId="77777777" w:rsidR="00196E07" w:rsidRPr="00824647" w:rsidRDefault="00196E07" w:rsidP="00196E07">
            <w:pPr>
              <w:pStyle w:val="ListParagraph"/>
              <w:numPr>
                <w:ilvl w:val="0"/>
                <w:numId w:val="20"/>
              </w:numPr>
              <w:spacing w:before="0" w:after="0"/>
            </w:pPr>
          </w:p>
        </w:tc>
        <w:tc>
          <w:tcPr>
            <w:tcW w:w="2938" w:type="dxa"/>
          </w:tcPr>
          <w:p w14:paraId="6BF57BA8" w14:textId="77777777" w:rsidR="00196E07" w:rsidRPr="00824647" w:rsidRDefault="00196E07" w:rsidP="00AC006D">
            <w:pPr>
              <w:rPr>
                <w:rFonts w:cs="Times New Roman"/>
                <w:szCs w:val="24"/>
              </w:rPr>
            </w:pPr>
            <w:r w:rsidRPr="00824647">
              <w:rPr>
                <w:rFonts w:cs="Times New Roman"/>
                <w:szCs w:val="24"/>
              </w:rPr>
              <w:t>(NiCo-9AC-AD)*</w:t>
            </w:r>
          </w:p>
        </w:tc>
        <w:tc>
          <w:tcPr>
            <w:tcW w:w="2706" w:type="dxa"/>
          </w:tcPr>
          <w:p w14:paraId="4395CF45" w14:textId="77777777" w:rsidR="00196E07" w:rsidRPr="00824647" w:rsidRDefault="00196E07" w:rsidP="00AC006D">
            <w:pPr>
              <w:rPr>
                <w:rFonts w:cs="Times New Roman"/>
                <w:szCs w:val="24"/>
              </w:rPr>
            </w:pPr>
            <w:r w:rsidRPr="00824647">
              <w:rPr>
                <w:rFonts w:cs="Times New Roman"/>
                <w:szCs w:val="24"/>
              </w:rPr>
              <w:t>350mV (100 mA/cm</w:t>
            </w:r>
            <w:r w:rsidRPr="00824647">
              <w:rPr>
                <w:rFonts w:cs="Times New Roman"/>
                <w:szCs w:val="24"/>
                <w:vertAlign w:val="superscript"/>
              </w:rPr>
              <w:t>2</w:t>
            </w:r>
            <w:r w:rsidRPr="00824647">
              <w:rPr>
                <w:rFonts w:cs="Times New Roman"/>
                <w:szCs w:val="24"/>
              </w:rPr>
              <w:t>)</w:t>
            </w:r>
          </w:p>
          <w:p w14:paraId="653D71FD" w14:textId="77777777" w:rsidR="00196E07" w:rsidRPr="00824647" w:rsidRDefault="00196E07" w:rsidP="00AC006D">
            <w:pPr>
              <w:rPr>
                <w:rFonts w:cs="Times New Roman"/>
                <w:szCs w:val="24"/>
              </w:rPr>
            </w:pPr>
            <w:r w:rsidRPr="00824647">
              <w:rPr>
                <w:rFonts w:cs="Times New Roman"/>
                <w:szCs w:val="24"/>
              </w:rPr>
              <w:t>143mV (10 mA/cm</w:t>
            </w:r>
            <w:r w:rsidRPr="00824647">
              <w:rPr>
                <w:rFonts w:cs="Times New Roman"/>
                <w:szCs w:val="24"/>
                <w:vertAlign w:val="superscript"/>
              </w:rPr>
              <w:t>2</w:t>
            </w:r>
            <w:r w:rsidRPr="00824647">
              <w:rPr>
                <w:rFonts w:cs="Times New Roman"/>
                <w:szCs w:val="24"/>
              </w:rPr>
              <w:t>)</w:t>
            </w:r>
          </w:p>
        </w:tc>
        <w:tc>
          <w:tcPr>
            <w:tcW w:w="1459" w:type="dxa"/>
          </w:tcPr>
          <w:p w14:paraId="014AF4A5" w14:textId="77777777" w:rsidR="00196E07" w:rsidRPr="00824647" w:rsidRDefault="00196E07" w:rsidP="00AC006D">
            <w:pPr>
              <w:rPr>
                <w:rFonts w:cs="Times New Roman"/>
                <w:szCs w:val="24"/>
              </w:rPr>
            </w:pPr>
            <w:r w:rsidRPr="00824647">
              <w:rPr>
                <w:rFonts w:cs="Times New Roman"/>
                <w:szCs w:val="24"/>
              </w:rPr>
              <w:t>51.3</w:t>
            </w:r>
          </w:p>
        </w:tc>
        <w:tc>
          <w:tcPr>
            <w:tcW w:w="1110" w:type="dxa"/>
          </w:tcPr>
          <w:p w14:paraId="3398097A" w14:textId="77777777" w:rsidR="00196E07" w:rsidRPr="00824647" w:rsidRDefault="00196E07" w:rsidP="00AC006D">
            <w:pPr>
              <w:rPr>
                <w:rFonts w:cs="Times New Roman"/>
                <w:szCs w:val="24"/>
              </w:rPr>
            </w:pPr>
            <w:r w:rsidRPr="00824647">
              <w:rPr>
                <w:rFonts w:cs="Times New Roman"/>
                <w:szCs w:val="24"/>
              </w:rPr>
              <w:t>30hr</w:t>
            </w:r>
          </w:p>
        </w:tc>
        <w:tc>
          <w:tcPr>
            <w:tcW w:w="2192" w:type="dxa"/>
          </w:tcPr>
          <w:p w14:paraId="6AB05540" w14:textId="7A8CD3BC"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ADDIN CSL_CITATION {"citationItems":[{"id":"ITEM-1","itemData":{"DOI":"10.1021/acssuschemeng.9b05126","author":[{"dropping-particle":"","family":"Ye","given":"Wen","non-dropping-particle":"","parse-names":false,"suffix":""},{"dropping-particle":"","family":"Yang","given":"Yongsheng","non-dropping-particle":"","parse-names":false,"suffix":""},{"dropping-particle":"","family":"Fang","given":"Xiaoyu","non-dropping-particle":"","parse-names":false,"suffix":""},{"dropping-particle":"","family":"Arif","given":"Muhammad","non-dropping-particle":"","parse-names":false,"suffix":""},{"dropping-particle":"","family":"Chen","given":"Xuebo","non-dropping-particle":"","parse-names":false,"suffix":""},{"dropping-particle":"","family":"Yan","given":"Dongpeng","non-dropping-particle":"","parse-names":false,"suffix":""}],"container-title":"ACS Sustainable Chemistry &amp; Engineering","id":"ITEM-1","issue":"21","issued":{"date-parts":[["2019","11","4"]]},"note":"doi: 10.1021/acssuschemeng.9b05126","page":"18085-18092","publisher":"American Chemical Society","title":"2D Cocrystallized Metal–Organic Nanosheet Array as an Efficient and Stable Bifunctional Electrocatalyst for Overall Water Splitting","type":"article-journal","volume":"7"},"uris":["http://www.mendeley.com/documents/?uuid=f7eda908-6645-46a1-a840-740174d87508"]}],"mendeley":{"formattedCitation":"(Ye et al., 2019)","plainTextFormattedCitation":"(Ye et al., 2019)","previouslyFormattedCitation":"(Ye et al., 2019)"},"properties":{"noteIndex":0},"schema":"https://github.com/citation-style-language/schema/raw/master/csl-citation.json"}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(Ye et al., 2019)</w:t>
            </w:r>
            <w:r w:rsidRPr="00824647">
              <w:rPr>
                <w:rFonts w:cs="Times New Roman"/>
                <w:szCs w:val="24"/>
              </w:rPr>
              <w:fldChar w:fldCharType="end"/>
            </w:r>
          </w:p>
        </w:tc>
      </w:tr>
      <w:tr w:rsidR="00196E07" w:rsidRPr="00824647" w14:paraId="72FD434D" w14:textId="77777777" w:rsidTr="00AC006D">
        <w:tc>
          <w:tcPr>
            <w:tcW w:w="710" w:type="dxa"/>
          </w:tcPr>
          <w:p w14:paraId="29123162" w14:textId="77777777" w:rsidR="00196E07" w:rsidRPr="00824647" w:rsidRDefault="00196E07" w:rsidP="00196E07">
            <w:pPr>
              <w:pStyle w:val="ListParagraph"/>
              <w:numPr>
                <w:ilvl w:val="0"/>
                <w:numId w:val="20"/>
              </w:numPr>
              <w:spacing w:before="0" w:after="0"/>
            </w:pPr>
          </w:p>
        </w:tc>
        <w:tc>
          <w:tcPr>
            <w:tcW w:w="2938" w:type="dxa"/>
          </w:tcPr>
          <w:p w14:paraId="39FD5518" w14:textId="77777777" w:rsidR="00196E07" w:rsidRPr="00824647" w:rsidRDefault="00196E07" w:rsidP="00AC006D">
            <w:pPr>
              <w:rPr>
                <w:rFonts w:cs="Times New Roman"/>
                <w:szCs w:val="24"/>
              </w:rPr>
            </w:pPr>
            <w:proofErr w:type="spellStart"/>
            <w:r w:rsidRPr="00824647">
              <w:rPr>
                <w:rFonts w:cs="Times New Roman"/>
                <w:szCs w:val="24"/>
              </w:rPr>
              <w:t>NiFe</w:t>
            </w:r>
            <w:proofErr w:type="spellEnd"/>
            <w:r w:rsidRPr="00824647">
              <w:rPr>
                <w:rFonts w:cs="Times New Roman"/>
                <w:szCs w:val="24"/>
              </w:rPr>
              <w:t>-LDHs</w:t>
            </w:r>
          </w:p>
        </w:tc>
        <w:tc>
          <w:tcPr>
            <w:tcW w:w="2706" w:type="dxa"/>
          </w:tcPr>
          <w:p w14:paraId="46B6410D" w14:textId="77777777" w:rsidR="00196E07" w:rsidRPr="00824647" w:rsidRDefault="00196E07" w:rsidP="00AC006D">
            <w:pPr>
              <w:rPr>
                <w:rFonts w:cs="Times New Roman"/>
                <w:szCs w:val="24"/>
              </w:rPr>
            </w:pPr>
            <w:r w:rsidRPr="00824647">
              <w:rPr>
                <w:rFonts w:cs="Times New Roman"/>
                <w:szCs w:val="24"/>
              </w:rPr>
              <w:t>370 mV (30 mA/cm</w:t>
            </w:r>
            <w:r w:rsidRPr="00824647">
              <w:rPr>
                <w:rFonts w:cs="Times New Roman"/>
                <w:szCs w:val="24"/>
                <w:vertAlign w:val="superscript"/>
              </w:rPr>
              <w:t>2</w:t>
            </w:r>
            <w:r w:rsidRPr="00824647">
              <w:rPr>
                <w:rFonts w:cs="Times New Roman"/>
                <w:szCs w:val="24"/>
              </w:rPr>
              <w:t>)</w:t>
            </w:r>
          </w:p>
        </w:tc>
        <w:tc>
          <w:tcPr>
            <w:tcW w:w="1459" w:type="dxa"/>
          </w:tcPr>
          <w:p w14:paraId="58EA6690" w14:textId="77777777" w:rsidR="00196E07" w:rsidRPr="00824647" w:rsidRDefault="00196E07" w:rsidP="00AC006D">
            <w:pPr>
              <w:rPr>
                <w:rFonts w:cs="Times New Roman"/>
                <w:szCs w:val="24"/>
              </w:rPr>
            </w:pPr>
            <w:r w:rsidRPr="00824647">
              <w:rPr>
                <w:rFonts w:cs="Times New Roman"/>
                <w:szCs w:val="24"/>
              </w:rPr>
              <w:t>33.4</w:t>
            </w:r>
          </w:p>
        </w:tc>
        <w:tc>
          <w:tcPr>
            <w:tcW w:w="1110" w:type="dxa"/>
          </w:tcPr>
          <w:p w14:paraId="336D9029" w14:textId="77777777" w:rsidR="00196E07" w:rsidRPr="00824647" w:rsidRDefault="00196E07" w:rsidP="00AC006D">
            <w:pPr>
              <w:rPr>
                <w:rFonts w:cs="Times New Roman"/>
                <w:szCs w:val="24"/>
              </w:rPr>
            </w:pPr>
            <w:r w:rsidRPr="00824647">
              <w:rPr>
                <w:rFonts w:cs="Times New Roman"/>
                <w:szCs w:val="24"/>
              </w:rPr>
              <w:t>8hr</w:t>
            </w:r>
          </w:p>
        </w:tc>
        <w:tc>
          <w:tcPr>
            <w:tcW w:w="2192" w:type="dxa"/>
          </w:tcPr>
          <w:p w14:paraId="0D403350" w14:textId="60D703BA" w:rsidR="00196E07" w:rsidRPr="00824647" w:rsidRDefault="00F13E75" w:rsidP="00AC006D">
            <w:pPr>
              <w:rPr>
                <w:rFonts w:cs="Times New Roman"/>
                <w:szCs w:val="24"/>
              </w:rPr>
            </w:pPr>
            <w:r w:rsidRPr="00824647">
              <w:rPr>
                <w:rFonts w:cs="Times New Roman"/>
                <w:szCs w:val="24"/>
              </w:rPr>
              <w:fldChar w:fldCharType="begin" w:fldLock="1"/>
            </w:r>
            <w:r w:rsidRPr="00824647">
              <w:rPr>
                <w:rFonts w:cs="Times New Roman"/>
                <w:szCs w:val="24"/>
              </w:rPr>
              <w:instrText xml:space="preserve">ADDIN CSL_CITATION {"citationItems":[{"id":"ITEM-1","itemData":{"DOI":"10.1007/s12274-017-1806-x","ISSN":"1998-0000","abstract":"The development of high-efficiency electrocatalysts for oxygen evolution reactions (OERs) plays an important role in the water-splitting process. Herein, we report a facile way to obtain two-dimensional (2D) single-unit-cell-thick layered double hydroxide (LDH) nanosheets (NSs, </w:instrText>
            </w:r>
            <w:r w:rsidRPr="00824647">
              <w:rPr>
                <w:rFonts w:ascii="Cambria Math" w:hAnsi="Cambria Math" w:cs="Cambria Math"/>
                <w:szCs w:val="24"/>
              </w:rPr>
              <w:instrText>∼</w:instrText>
            </w:r>
            <w:r w:rsidRPr="00824647">
              <w:rPr>
                <w:rFonts w:cs="Times New Roman"/>
                <w:szCs w:val="24"/>
              </w:rPr>
              <w:instrText>1.3 nm) within only 5 min. These nanosheets presented significantly enhanced OER performance compared to bulk LDH systems fabricated using the conventional co-precipitation method. The current strategy further allowed control over the chemical compositions and electrochemical activities of the LDH NSs. For example, CoFe-LDH NSs presented the lowest overpotential of 0.28 V at 10 mA/cm2, and the NiFe-LDHs NSs showed Tafel slopes of 33.4 mV/decade and nearly 100% faradaic efficiency, thus outperforming state-of-the-art IrO2 water electrolysis catalysts. Moreover, positron annihilation lifetime spectroscopy and high-resolution transmission electron microscopy observations confirmed that rich defects and distorted lattices occurred within the 2D LDH NSs, which could supply abundant electrochemically active OER sites. Periodic calculations based on density functional theory (DFT) further showed that the CoFe- and NiFe-LDHs presented very low energy gaps and obvious spin-polarization behavior, which facilitated high electron mobility during the OER process. Therefore, this work presents a combined experimental and theoretical study on 2D single-unit-cell-thick LDH NSs with high OER activities, which have potential application in water splitting for renewable energy.","author":[{"dropping-particle":"","family":"Gao","given":"Rui","non-dropping-particle":"","parse-names":false,"suffix":""},{"dropping-particle":"","family":"Yan","given":"Dongpeng","non-dropping-particle":"","parse-names":false,"suffix":""}],"container-title":"Nano Research","id":"ITEM-1","issue":"4","issued":{"date-parts":[["2018"]]},"page":"1883-1894","title":"Fast formation of single-unit-cell-thick and defect-rich layered double hydroxide nanosheets with highly enhanced oxygen evolution reaction for water splitting","type":"article-journal","volume":"11"},"uris":["http://www.mendeley.com/documents/?uuid=ab90181c-250d-43b0-b83d-90eb1461e726"]}],"mendeley":{"formattedCitation":"(Gao and Yan, 2018)","plainTextFormattedCitation":"(Gao and Yan, 2018)","previouslyFormattedCitation":"(Gao and Yan, 2018)"},"properties":{"noteIndex":0},"schema":"https://github.com/citation-style-language/schema/raw/master/csl-citation.json"}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rPr>
              <w:t>(Gao and Yan, 2018)</w:t>
            </w:r>
            <w:r w:rsidRPr="00824647">
              <w:rPr>
                <w:rFonts w:cs="Times New Roman"/>
                <w:szCs w:val="24"/>
              </w:rPr>
              <w:fldChar w:fldCharType="end"/>
            </w:r>
          </w:p>
        </w:tc>
      </w:tr>
      <w:tr w:rsidR="00196E07" w:rsidRPr="00824647" w14:paraId="237D78EE" w14:textId="77777777" w:rsidTr="00AC006D">
        <w:tc>
          <w:tcPr>
            <w:tcW w:w="710" w:type="dxa"/>
          </w:tcPr>
          <w:p w14:paraId="790BC67F" w14:textId="77777777" w:rsidR="00196E07" w:rsidRPr="00824647" w:rsidRDefault="00196E07" w:rsidP="00196E07">
            <w:pPr>
              <w:pStyle w:val="ListParagraph"/>
              <w:numPr>
                <w:ilvl w:val="0"/>
                <w:numId w:val="20"/>
              </w:numPr>
              <w:spacing w:before="0" w:after="0"/>
            </w:pPr>
          </w:p>
        </w:tc>
        <w:tc>
          <w:tcPr>
            <w:tcW w:w="2938" w:type="dxa"/>
          </w:tcPr>
          <w:p w14:paraId="53CAFB22" w14:textId="77777777" w:rsidR="00196E07" w:rsidRPr="00824647" w:rsidRDefault="00196E07" w:rsidP="00AC006D">
            <w:pPr>
              <w:rPr>
                <w:rFonts w:cs="Times New Roman"/>
                <w:szCs w:val="24"/>
              </w:rPr>
            </w:pPr>
            <w:proofErr w:type="spellStart"/>
            <w:r w:rsidRPr="00824647">
              <w:rPr>
                <w:rFonts w:cs="Times New Roman"/>
                <w:szCs w:val="24"/>
              </w:rPr>
              <w:t>CrMnFeCoNi</w:t>
            </w:r>
            <w:proofErr w:type="spellEnd"/>
            <w:r w:rsidRPr="00824647">
              <w:rPr>
                <w:rFonts w:cs="Times New Roman"/>
                <w:szCs w:val="24"/>
              </w:rPr>
              <w:t>)</w:t>
            </w:r>
            <w:proofErr w:type="spellStart"/>
            <w:r w:rsidRPr="00824647">
              <w:rPr>
                <w:rFonts w:cs="Times New Roman"/>
                <w:szCs w:val="24"/>
              </w:rPr>
              <w:t>Sx</w:t>
            </w:r>
            <w:proofErr w:type="spellEnd"/>
          </w:p>
        </w:tc>
        <w:tc>
          <w:tcPr>
            <w:tcW w:w="2706" w:type="dxa"/>
          </w:tcPr>
          <w:p w14:paraId="2D113114" w14:textId="77777777" w:rsidR="00196E07" w:rsidRPr="00824647" w:rsidRDefault="00196E07" w:rsidP="00AC006D">
            <w:pPr>
              <w:rPr>
                <w:rFonts w:cs="Times New Roman"/>
                <w:szCs w:val="24"/>
              </w:rPr>
            </w:pPr>
            <w:r w:rsidRPr="00824647">
              <w:rPr>
                <w:rFonts w:cs="Times New Roman"/>
                <w:szCs w:val="24"/>
              </w:rPr>
              <w:t>295 mV (100 mA/cm</w:t>
            </w:r>
            <w:r w:rsidRPr="00824647">
              <w:rPr>
                <w:rFonts w:cs="Times New Roman"/>
                <w:szCs w:val="24"/>
                <w:vertAlign w:val="superscript"/>
              </w:rPr>
              <w:t>2</w:t>
            </w:r>
            <w:r w:rsidRPr="00824647">
              <w:rPr>
                <w:rFonts w:cs="Times New Roman"/>
                <w:szCs w:val="24"/>
              </w:rPr>
              <w:t>)</w:t>
            </w:r>
          </w:p>
        </w:tc>
        <w:tc>
          <w:tcPr>
            <w:tcW w:w="1459" w:type="dxa"/>
          </w:tcPr>
          <w:p w14:paraId="07948B0F" w14:textId="77777777" w:rsidR="00196E07" w:rsidRPr="00824647" w:rsidRDefault="00196E07" w:rsidP="00AC006D">
            <w:pPr>
              <w:rPr>
                <w:rFonts w:cs="Times New Roman"/>
                <w:szCs w:val="24"/>
              </w:rPr>
            </w:pPr>
            <w:r w:rsidRPr="00824647">
              <w:rPr>
                <w:rFonts w:cs="Times New Roman"/>
                <w:szCs w:val="24"/>
              </w:rPr>
              <w:t>66</w:t>
            </w:r>
          </w:p>
        </w:tc>
        <w:tc>
          <w:tcPr>
            <w:tcW w:w="1110" w:type="dxa"/>
          </w:tcPr>
          <w:p w14:paraId="68A77A2A" w14:textId="77777777" w:rsidR="00196E07" w:rsidRPr="00824647" w:rsidRDefault="00196E07" w:rsidP="00AC006D">
            <w:pPr>
              <w:rPr>
                <w:rFonts w:cs="Times New Roman"/>
                <w:szCs w:val="24"/>
              </w:rPr>
            </w:pPr>
            <w:r w:rsidRPr="00824647">
              <w:rPr>
                <w:rFonts w:cs="Times New Roman"/>
                <w:szCs w:val="24"/>
              </w:rPr>
              <w:t>10hr</w:t>
            </w:r>
          </w:p>
        </w:tc>
        <w:tc>
          <w:tcPr>
            <w:tcW w:w="2192" w:type="dxa"/>
          </w:tcPr>
          <w:p w14:paraId="7C06948A" w14:textId="2DB6F539" w:rsidR="00196E07" w:rsidRPr="00824647" w:rsidRDefault="00F13E75" w:rsidP="00AC006D">
            <w:pPr>
              <w:rPr>
                <w:rFonts w:cs="Times New Roman"/>
                <w:szCs w:val="24"/>
                <w:highlight w:val="yellow"/>
                <w:lang w:eastAsia="zh-CN"/>
              </w:rPr>
            </w:pPr>
            <w:r w:rsidRPr="00824647">
              <w:rPr>
                <w:rFonts w:cs="Times New Roman"/>
                <w:szCs w:val="24"/>
              </w:rPr>
              <w:fldChar w:fldCharType="begin" w:fldLock="1"/>
            </w:r>
            <w:r w:rsidRPr="00824647">
              <w:rPr>
                <w:rFonts w:cs="Times New Roman"/>
                <w:szCs w:val="24"/>
              </w:rPr>
              <w:instrText>ADDIN CSL_CITATION {"citationItems":[{"id":"ITEM-1","itemData":{"DOI":"https://doi.org/10.1002/aenm.202002887","ISSN":"1614-6832","abstract":"Abstract Transition metal sulfides with a multi-elemental nature represent a class of promising catalysts for oxygen evolution reaction (OER) owing to their good catalytic activity. However, their synthesis remains a challenge due to the thermodynamic immiscibility of the constituent multimetallic elements in a sulfide structure. Herein, for the first time the synthesis of high-entropy metal sulfide (HEMS, i.e., (CrMnFeCoNi)Sx) solid solution nanoparticles is reported. Computational and X-ray photoelectron spectroscopy analysis suggest that the (CrMnFeCoNi)Sx exhibits a synergistic effect among metal atoms that leads to desired electronic states to enhance OER activity. The (CrMnFeCoNi)Sx nanoparticles show one of the best activities (low overpotential 295 mV at 100 mA cm?2 in 1 m KOH solution) and good durability (only slight polarization after 10 h by chronopotentiometry) compared with their unary, binary, ternary, and quaternary sulfide counterparts. This work opens up a new synthesis paradigm for high-entropy compound nanoparticles for highly efficient electrocatalysis applications.","author":[{"dropping-particle":"","family":"Cui","given":"Mingjin","non-dropping-particle":"","parse-names":false,"suffix":""},{"dropping-particle":"","family":"Yang","given":"Chunpeng","non-dropping-particle":"","parse-names":false,"suffix":""},{"dropping-particle":"","family":"Li","given":"Boyang","non-dropping-particle":"","parse-names":false,"suffix":""},{"dropping-particle":"","family":"Dong",</w:instrText>
            </w:r>
            <w:r w:rsidRPr="00824647">
              <w:rPr>
                <w:rFonts w:cs="Times New Roman"/>
                <w:szCs w:val="24"/>
                <w:lang w:eastAsia="zh-CN"/>
              </w:rPr>
              <w:instrText>"given":"Qi","non-dropping-particle":"","parse-names":false,"suffix":""},{"dropping-particle":"","family":"Wu","given":"Meiling","non-dropping-particle":"","parse-names":false,"suffix":""},{"dropping-particle":"","family":"Hwang","given":"Sooyeon","non-dropping-particle":"","parse-names":false,"suffix":""},{"dropping-particle":"","family":"Xie","given":"Hua","non-dropping-particle":"","parse-names":false,"suffix":""},{"dropping-particle":"","family":"Wang","given":"Xizheng","non-dropping-particle":"","parse-names":false,"suffix":""},{"dropping-particle":"","family":"Wang","given":"Guofeng","non-dropping-particle":"","parse-names":false,"suffix":""},{"dropping-particle":"","family":"Hu","given":"Liangbing","non-dropping-particle":"","parse-names":false,"suffix":""}],"container-title":"Advanced Energy Materials","id":"ITEM-1","issue":"3","issued":{"date-parts":[["2021","1","1"]]},"note":"https://doi.org/10.1002/aenm.202002887","page":"2002887","publisher":"John Wiley &amp; Sons, Ltd","title":"High-Entropy Metal Sulfide Nanoparticles Promise High-Performance Oxygen Evolution Reaction","type":"article-journal","volume":"11"},"uris":["http://www.mendeley.com/documents/?uuid=a407a0dc-8a10-42d1-8d97-c5e7ea0aa728"]}],"mendeley":{"formattedCitation":"(Cui et al., 2021)","plainTextFormattedCitation":"(Cui et al., 2021)","previouslyFormattedCitation":"(Cui et al., 2021)"},"properties":{"noteIndex":0},"schema":"https://github.com/citation-style-language/schema/raw/master/csl-citation.json"}</w:instrText>
            </w:r>
            <w:r w:rsidRPr="00824647">
              <w:rPr>
                <w:rFonts w:cs="Times New Roman"/>
                <w:szCs w:val="24"/>
              </w:rPr>
              <w:fldChar w:fldCharType="separate"/>
            </w:r>
            <w:r w:rsidRPr="00824647">
              <w:rPr>
                <w:rFonts w:cs="Times New Roman"/>
                <w:noProof/>
                <w:szCs w:val="24"/>
                <w:lang w:eastAsia="zh-CN"/>
              </w:rPr>
              <w:t>(Cui et al., 2021)</w:t>
            </w:r>
            <w:r w:rsidRPr="00824647">
              <w:rPr>
                <w:rFonts w:cs="Times New Roman"/>
                <w:szCs w:val="24"/>
              </w:rPr>
              <w:fldChar w:fldCharType="end"/>
            </w:r>
          </w:p>
        </w:tc>
      </w:tr>
      <w:tr w:rsidR="00196E07" w:rsidRPr="00824647" w14:paraId="32FB49D9" w14:textId="77777777" w:rsidTr="00AC006D">
        <w:tc>
          <w:tcPr>
            <w:tcW w:w="710" w:type="dxa"/>
          </w:tcPr>
          <w:p w14:paraId="1F95139C" w14:textId="77777777" w:rsidR="00196E07" w:rsidRPr="00824647" w:rsidRDefault="00196E07" w:rsidP="00196E07">
            <w:pPr>
              <w:pStyle w:val="ListParagraph"/>
              <w:numPr>
                <w:ilvl w:val="0"/>
                <w:numId w:val="20"/>
              </w:numPr>
              <w:spacing w:before="0" w:after="0"/>
              <w:rPr>
                <w:lang w:eastAsia="zh-CN"/>
              </w:rPr>
            </w:pPr>
          </w:p>
        </w:tc>
        <w:tc>
          <w:tcPr>
            <w:tcW w:w="2938" w:type="dxa"/>
          </w:tcPr>
          <w:p w14:paraId="351E16A6" w14:textId="77777777" w:rsidR="00196E07" w:rsidRPr="00187DDA" w:rsidRDefault="00196E07" w:rsidP="00AC006D">
            <w:pPr>
              <w:rPr>
                <w:rFonts w:cs="Times New Roman"/>
                <w:b/>
                <w:bCs/>
                <w:szCs w:val="24"/>
                <w:lang w:eastAsia="zh-CN"/>
              </w:rPr>
            </w:pPr>
            <w:r w:rsidRPr="00187DDA">
              <w:rPr>
                <w:rFonts w:cs="Times New Roman"/>
                <w:b/>
                <w:bCs/>
                <w:szCs w:val="24"/>
                <w:lang w:eastAsia="zh-CN"/>
              </w:rPr>
              <w:t>Cr</w:t>
            </w:r>
            <w:r w:rsidRPr="00187DDA">
              <w:rPr>
                <w:rFonts w:cs="Times New Roman"/>
                <w:b/>
                <w:bCs/>
                <w:szCs w:val="24"/>
                <w:vertAlign w:val="subscript"/>
                <w:lang w:eastAsia="zh-CN"/>
              </w:rPr>
              <w:t>2</w:t>
            </w:r>
            <w:r w:rsidRPr="00187DDA">
              <w:rPr>
                <w:rFonts w:cs="Times New Roman"/>
                <w:b/>
                <w:bCs/>
                <w:szCs w:val="24"/>
                <w:lang w:eastAsia="zh-CN"/>
              </w:rPr>
              <w:t>S</w:t>
            </w:r>
            <w:r w:rsidRPr="00187DDA">
              <w:rPr>
                <w:rFonts w:cs="Times New Roman"/>
                <w:b/>
                <w:bCs/>
                <w:szCs w:val="24"/>
                <w:vertAlign w:val="subscript"/>
                <w:lang w:eastAsia="zh-CN"/>
              </w:rPr>
              <w:t>3</w:t>
            </w:r>
          </w:p>
        </w:tc>
        <w:tc>
          <w:tcPr>
            <w:tcW w:w="2706" w:type="dxa"/>
          </w:tcPr>
          <w:p w14:paraId="5E57A303" w14:textId="77777777" w:rsidR="00196E07" w:rsidRPr="00187DDA" w:rsidRDefault="00196E07" w:rsidP="00AC006D">
            <w:pPr>
              <w:rPr>
                <w:rFonts w:cs="Times New Roman"/>
                <w:b/>
                <w:bCs/>
                <w:szCs w:val="24"/>
                <w:lang w:eastAsia="zh-CN"/>
              </w:rPr>
            </w:pPr>
            <w:r w:rsidRPr="00187DDA">
              <w:rPr>
                <w:rFonts w:cs="Times New Roman"/>
                <w:b/>
                <w:bCs/>
                <w:szCs w:val="24"/>
                <w:lang w:eastAsia="zh-CN"/>
              </w:rPr>
              <w:t>230mV (10mA/cm</w:t>
            </w:r>
            <w:r w:rsidRPr="00187DDA">
              <w:rPr>
                <w:rFonts w:cs="Times New Roman"/>
                <w:b/>
                <w:bCs/>
                <w:szCs w:val="24"/>
                <w:vertAlign w:val="superscript"/>
                <w:lang w:eastAsia="zh-CN"/>
              </w:rPr>
              <w:t>2</w:t>
            </w:r>
            <w:r w:rsidRPr="00187DDA">
              <w:rPr>
                <w:rFonts w:cs="Times New Roman"/>
                <w:b/>
                <w:bCs/>
                <w:szCs w:val="24"/>
                <w:lang w:eastAsia="zh-CN"/>
              </w:rPr>
              <w:t>)</w:t>
            </w:r>
          </w:p>
        </w:tc>
        <w:tc>
          <w:tcPr>
            <w:tcW w:w="1459" w:type="dxa"/>
          </w:tcPr>
          <w:p w14:paraId="63159995" w14:textId="77777777" w:rsidR="00196E07" w:rsidRPr="00187DDA" w:rsidRDefault="00196E07" w:rsidP="00AC006D">
            <w:pPr>
              <w:rPr>
                <w:rFonts w:cs="Times New Roman"/>
                <w:b/>
                <w:bCs/>
                <w:szCs w:val="24"/>
                <w:lang w:eastAsia="zh-CN"/>
              </w:rPr>
            </w:pPr>
            <w:r w:rsidRPr="00187DDA">
              <w:rPr>
                <w:rFonts w:cs="Times New Roman"/>
                <w:b/>
                <w:bCs/>
                <w:szCs w:val="24"/>
                <w:lang w:eastAsia="zh-CN"/>
              </w:rPr>
              <w:t>120</w:t>
            </w:r>
          </w:p>
        </w:tc>
        <w:tc>
          <w:tcPr>
            <w:tcW w:w="1110" w:type="dxa"/>
          </w:tcPr>
          <w:p w14:paraId="4EB1CDC2" w14:textId="77777777" w:rsidR="00196E07" w:rsidRPr="00187DDA" w:rsidRDefault="00196E07" w:rsidP="00AC006D">
            <w:pPr>
              <w:rPr>
                <w:rFonts w:cs="Times New Roman"/>
                <w:b/>
                <w:bCs/>
                <w:szCs w:val="24"/>
                <w:lang w:eastAsia="zh-CN"/>
              </w:rPr>
            </w:pPr>
            <w:r w:rsidRPr="00187DDA">
              <w:rPr>
                <w:rFonts w:cs="Times New Roman"/>
                <w:b/>
                <w:bCs/>
                <w:szCs w:val="24"/>
                <w:lang w:eastAsia="zh-CN"/>
              </w:rPr>
              <w:t>10hr</w:t>
            </w:r>
          </w:p>
        </w:tc>
        <w:tc>
          <w:tcPr>
            <w:tcW w:w="2192" w:type="dxa"/>
          </w:tcPr>
          <w:p w14:paraId="162F6325" w14:textId="77777777" w:rsidR="00196E07" w:rsidRPr="00824647" w:rsidRDefault="00196E07" w:rsidP="00AC006D">
            <w:pPr>
              <w:rPr>
                <w:rFonts w:cs="Times New Roman"/>
                <w:b/>
                <w:bCs/>
                <w:szCs w:val="24"/>
                <w:highlight w:val="yellow"/>
                <w:lang w:eastAsia="zh-CN"/>
              </w:rPr>
            </w:pPr>
            <w:r w:rsidRPr="00824647">
              <w:rPr>
                <w:rFonts w:cs="Times New Roman"/>
                <w:b/>
                <w:bCs/>
                <w:szCs w:val="24"/>
                <w:lang w:eastAsia="zh-CN"/>
              </w:rPr>
              <w:t>This work</w:t>
            </w:r>
          </w:p>
        </w:tc>
      </w:tr>
    </w:tbl>
    <w:p w14:paraId="144E4102" w14:textId="1A452F88" w:rsidR="00196E07" w:rsidRPr="00824647" w:rsidRDefault="00196E07" w:rsidP="007C10E4">
      <w:pPr>
        <w:rPr>
          <w:rFonts w:cs="Times New Roman"/>
          <w:szCs w:val="24"/>
          <w:lang w:eastAsia="zh-CN"/>
        </w:rPr>
      </w:pPr>
      <w:r w:rsidRPr="00824647">
        <w:rPr>
          <w:rFonts w:cs="Times New Roman"/>
          <w:szCs w:val="24"/>
          <w:lang w:eastAsia="zh-CN"/>
        </w:rPr>
        <w:t>* Co/Ni-based mixed metal−organic nanosheet array</w:t>
      </w:r>
    </w:p>
    <w:p w14:paraId="763843EF" w14:textId="2A6F6BA0" w:rsidR="00196E07" w:rsidRPr="00824647" w:rsidRDefault="00196E07" w:rsidP="00196E07">
      <w:pPr>
        <w:rPr>
          <w:rFonts w:cs="Times New Roman"/>
          <w:b/>
          <w:bCs/>
          <w:szCs w:val="24"/>
          <w:lang w:eastAsia="zh-CN"/>
        </w:rPr>
      </w:pPr>
      <w:r w:rsidRPr="00824647">
        <w:rPr>
          <w:rFonts w:cs="Times New Roman"/>
          <w:b/>
          <w:bCs/>
          <w:szCs w:val="24"/>
          <w:lang w:eastAsia="zh-CN"/>
        </w:rPr>
        <w:t>References:</w:t>
      </w:r>
    </w:p>
    <w:p w14:paraId="531470CE"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lang w:eastAsia="zh-CN"/>
        </w:rPr>
      </w:pPr>
      <w:r w:rsidRPr="00824647">
        <w:rPr>
          <w:rFonts w:cs="Times New Roman"/>
          <w:szCs w:val="24"/>
        </w:rPr>
        <w:fldChar w:fldCharType="begin" w:fldLock="1"/>
      </w:r>
      <w:r w:rsidRPr="00824647">
        <w:rPr>
          <w:rFonts w:cs="Times New Roman"/>
          <w:szCs w:val="24"/>
          <w:lang w:eastAsia="zh-CN"/>
        </w:rPr>
        <w:instrText xml:space="preserve">ADDIN Mendeley Bibliography CSL_BIBLIOGRAPHY </w:instrText>
      </w:r>
      <w:r w:rsidRPr="00824647">
        <w:rPr>
          <w:rFonts w:cs="Times New Roman"/>
          <w:szCs w:val="24"/>
        </w:rPr>
        <w:fldChar w:fldCharType="separate"/>
      </w:r>
      <w:r w:rsidRPr="00824647">
        <w:rPr>
          <w:rFonts w:cs="Times New Roman"/>
          <w:noProof/>
          <w:szCs w:val="24"/>
          <w:lang w:eastAsia="zh-CN"/>
        </w:rPr>
        <w:t xml:space="preserve">Ahmed Shifa, T., Yusupov, K., Solomon, G., Gradone, A., Mazzaro, R., Cattaruzza, E., et al. (2021). In Situ-Generated Oxide in Sn-Doped Nickel Phosphide Enables Ultrafast Oxygen Evolution. </w:t>
      </w:r>
      <w:r w:rsidRPr="00824647">
        <w:rPr>
          <w:rFonts w:cs="Times New Roman"/>
          <w:i/>
          <w:iCs/>
          <w:noProof/>
          <w:szCs w:val="24"/>
          <w:lang w:eastAsia="zh-CN"/>
        </w:rPr>
        <w:t>ACS Catal.</w:t>
      </w:r>
      <w:r w:rsidRPr="00824647">
        <w:rPr>
          <w:rFonts w:cs="Times New Roman"/>
          <w:noProof/>
          <w:szCs w:val="24"/>
          <w:lang w:eastAsia="zh-CN"/>
        </w:rPr>
        <w:t xml:space="preserve"> 11, 4520–4529. doi:10.1021/acscatal.1c00476.</w:t>
      </w:r>
    </w:p>
    <w:p w14:paraId="52386993"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lang w:eastAsia="zh-CN"/>
        </w:rPr>
      </w:pPr>
      <w:r w:rsidRPr="00824647">
        <w:rPr>
          <w:rFonts w:cs="Times New Roman"/>
          <w:noProof/>
          <w:szCs w:val="24"/>
          <w:lang w:eastAsia="zh-CN"/>
        </w:rPr>
        <w:t xml:space="preserve">Cai, L., Qiu, B., Lin, Z., Wang, Y., Ma, S., Wang, M., et al. (2018). Active site engineering of Fe- and Ni-sites for highly efficient electrochemical overall water splitting. </w:t>
      </w:r>
      <w:r w:rsidRPr="00824647">
        <w:rPr>
          <w:rFonts w:cs="Times New Roman"/>
          <w:i/>
          <w:iCs/>
          <w:noProof/>
          <w:szCs w:val="24"/>
          <w:lang w:eastAsia="zh-CN"/>
        </w:rPr>
        <w:t>J. Mater. Chem. A</w:t>
      </w:r>
      <w:r w:rsidRPr="00824647">
        <w:rPr>
          <w:rFonts w:cs="Times New Roman"/>
          <w:noProof/>
          <w:szCs w:val="24"/>
          <w:lang w:eastAsia="zh-CN"/>
        </w:rPr>
        <w:t xml:space="preserve"> 6, 21445–21451. doi:10.1039/C8TA08217K.</w:t>
      </w:r>
    </w:p>
    <w:p w14:paraId="593704F7"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lang w:eastAsia="zh-CN"/>
        </w:rPr>
      </w:pPr>
      <w:r w:rsidRPr="00824647">
        <w:rPr>
          <w:rFonts w:cs="Times New Roman"/>
          <w:noProof/>
          <w:szCs w:val="24"/>
          <w:lang w:eastAsia="zh-CN"/>
        </w:rPr>
        <w:t xml:space="preserve">Cui, M., Yang, C., Li, B., Dong, Q., Wu, M., Hwang, S., et al. (2021). High-Entropy Metal Sulfide Nanoparticles Promise High-Performance Oxygen Evolution Reaction. </w:t>
      </w:r>
      <w:r w:rsidRPr="00824647">
        <w:rPr>
          <w:rFonts w:cs="Times New Roman"/>
          <w:i/>
          <w:iCs/>
          <w:noProof/>
          <w:szCs w:val="24"/>
          <w:lang w:eastAsia="zh-CN"/>
        </w:rPr>
        <w:t>Adv. Energy Mater.</w:t>
      </w:r>
      <w:r w:rsidRPr="00824647">
        <w:rPr>
          <w:rFonts w:cs="Times New Roman"/>
          <w:noProof/>
          <w:szCs w:val="24"/>
          <w:lang w:eastAsia="zh-CN"/>
        </w:rPr>
        <w:t xml:space="preserve"> 11, 2002887. doi:https://doi.org/10.1002/aenm.202002887.</w:t>
      </w:r>
    </w:p>
    <w:p w14:paraId="2EC66C65"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lang w:eastAsia="zh-CN"/>
        </w:rPr>
      </w:pPr>
      <w:r w:rsidRPr="00824647">
        <w:rPr>
          <w:rFonts w:cs="Times New Roman"/>
          <w:noProof/>
          <w:szCs w:val="24"/>
          <w:lang w:eastAsia="zh-CN"/>
        </w:rPr>
        <w:t xml:space="preserve">Gao, R., and Yan, D. (2018). Fast formation of single-unit-cell-thick and defect-rich layered double hydroxide nanosheets with highly enhanced oxygen evolution reaction for water splitting. </w:t>
      </w:r>
      <w:r w:rsidRPr="00824647">
        <w:rPr>
          <w:rFonts w:cs="Times New Roman"/>
          <w:i/>
          <w:iCs/>
          <w:noProof/>
          <w:szCs w:val="24"/>
          <w:lang w:eastAsia="zh-CN"/>
        </w:rPr>
        <w:t>Nano Res.</w:t>
      </w:r>
      <w:r w:rsidRPr="00824647">
        <w:rPr>
          <w:rFonts w:cs="Times New Roman"/>
          <w:noProof/>
          <w:szCs w:val="24"/>
          <w:lang w:eastAsia="zh-CN"/>
        </w:rPr>
        <w:t xml:space="preserve"> 11, 1883–1894. doi:10.1007/s12274-017-1806-x.</w:t>
      </w:r>
    </w:p>
    <w:p w14:paraId="0D39316A"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lang w:eastAsia="zh-CN"/>
        </w:rPr>
        <w:t xml:space="preserve">He, P., Yu, X.-Y., and Lou, X. W. (David) (2017). Carbon-Incorporated Nickel–Cobalt Mixed Metal </w:t>
      </w:r>
      <w:r w:rsidRPr="00824647">
        <w:rPr>
          <w:rFonts w:cs="Times New Roman"/>
          <w:noProof/>
          <w:szCs w:val="24"/>
        </w:rPr>
        <w:t xml:space="preserve">Phosphide Nanoboxes with Enhanced Electrocatalytic Activity for Oxygen Evolution. </w:t>
      </w:r>
      <w:r w:rsidRPr="00824647">
        <w:rPr>
          <w:rFonts w:cs="Times New Roman"/>
          <w:i/>
          <w:iCs/>
          <w:noProof/>
          <w:szCs w:val="24"/>
        </w:rPr>
        <w:t>Angew. Chemie Int. Ed.</w:t>
      </w:r>
      <w:r w:rsidRPr="00824647">
        <w:rPr>
          <w:rFonts w:cs="Times New Roman"/>
          <w:noProof/>
          <w:szCs w:val="24"/>
        </w:rPr>
        <w:t xml:space="preserve"> 56, 3897–3900. doi:10.1002/anie.201612635.</w:t>
      </w:r>
    </w:p>
    <w:p w14:paraId="6629775D"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rPr>
        <w:t xml:space="preserve">Li, D., Baydoun, H., Verani, C. N., and Brock, S. L. (2016a). Efficient Water Oxidation Using CoMnP Nanoparticles. </w:t>
      </w:r>
      <w:r w:rsidRPr="00824647">
        <w:rPr>
          <w:rFonts w:cs="Times New Roman"/>
          <w:i/>
          <w:iCs/>
          <w:noProof/>
          <w:szCs w:val="24"/>
        </w:rPr>
        <w:t>J. Am. Chem. Soc.</w:t>
      </w:r>
      <w:r w:rsidRPr="00824647">
        <w:rPr>
          <w:rFonts w:cs="Times New Roman"/>
          <w:noProof/>
          <w:szCs w:val="24"/>
        </w:rPr>
        <w:t xml:space="preserve"> 138, 4006.</w:t>
      </w:r>
    </w:p>
    <w:p w14:paraId="5FD50C0A"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331A10">
        <w:rPr>
          <w:rFonts w:cs="Times New Roman"/>
          <w:noProof/>
          <w:szCs w:val="24"/>
        </w:rPr>
        <w:t xml:space="preserve">Li, J., Yan, M., Zhou, X., Huang, Z.-Q., Xia, Z., Chang, C.-R., et al. </w:t>
      </w:r>
      <w:r w:rsidRPr="00824647">
        <w:rPr>
          <w:rFonts w:cs="Times New Roman"/>
          <w:noProof/>
          <w:szCs w:val="24"/>
        </w:rPr>
        <w:t xml:space="preserve">(2016b). Mechanistic Insights on Ternary Ni2–xCoxP for Hydrogen Evolution and Their Hybrids with Graphene as Highly Efficient and Robust Catalysts for Overall Water Splitting. </w:t>
      </w:r>
      <w:r w:rsidRPr="00824647">
        <w:rPr>
          <w:rFonts w:cs="Times New Roman"/>
          <w:i/>
          <w:iCs/>
          <w:noProof/>
          <w:szCs w:val="24"/>
        </w:rPr>
        <w:t>Adv. Funct. Mater.</w:t>
      </w:r>
      <w:r w:rsidRPr="00824647">
        <w:rPr>
          <w:rFonts w:cs="Times New Roman"/>
          <w:noProof/>
          <w:szCs w:val="24"/>
        </w:rPr>
        <w:t xml:space="preserve"> 26, 6785.</w:t>
      </w:r>
    </w:p>
    <w:p w14:paraId="0B3BD2FF" w14:textId="07D2F321" w:rsidR="00F13E75"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rPr>
        <w:t xml:space="preserve">Liu, K., Zhang, C., Sun, Y., Zhang, G., Shen, X., Zou, F., et al. (2017). High-Performance Transition Metal Phosphide Alloy Catalyst for Oxygen Evolution Reaction. </w:t>
      </w:r>
      <w:r w:rsidRPr="00824647">
        <w:rPr>
          <w:rFonts w:cs="Times New Roman"/>
          <w:i/>
          <w:iCs/>
          <w:noProof/>
          <w:szCs w:val="24"/>
        </w:rPr>
        <w:t>ACS Nano</w:t>
      </w:r>
      <w:r w:rsidRPr="00824647">
        <w:rPr>
          <w:rFonts w:cs="Times New Roman"/>
          <w:noProof/>
          <w:szCs w:val="24"/>
        </w:rPr>
        <w:t xml:space="preserve"> 12, 158–167. doi:10.1021/acsnano.7b04646.</w:t>
      </w:r>
    </w:p>
    <w:p w14:paraId="42C5F36F" w14:textId="428D33B0" w:rsidR="00A14110" w:rsidRPr="00824647" w:rsidRDefault="00A14110" w:rsidP="00F13E75">
      <w:pPr>
        <w:widowControl w:val="0"/>
        <w:autoSpaceDE w:val="0"/>
        <w:autoSpaceDN w:val="0"/>
        <w:adjustRightInd w:val="0"/>
        <w:spacing w:before="0" w:after="160"/>
        <w:ind w:left="480" w:hanging="480"/>
        <w:rPr>
          <w:rFonts w:cs="Times New Roman"/>
          <w:noProof/>
          <w:szCs w:val="24"/>
        </w:rPr>
      </w:pPr>
      <w:r w:rsidRPr="00A14110">
        <w:rPr>
          <w:rFonts w:cs="Times New Roman"/>
          <w:noProof/>
          <w:szCs w:val="24"/>
        </w:rPr>
        <w:t>McCrory, C. C. L., Jung, S., Peters, J. C., and Jaramillo, T. F. (2013). Benchmarking Heterogeneous Electrocatalysts for the Oxygen Evolution Reaction. J. Am. Chem. Soc. 135, 16977.</w:t>
      </w:r>
    </w:p>
    <w:p w14:paraId="111A41AD"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rPr>
        <w:t xml:space="preserve">Qiu, B., Cai, L., Wang, Y., Lin, Z., Zuo, Y., Wang, M., et al. (2018). Fabrication of Nickel–Cobalt Bimetal Phosphide Nanocages for Enhanced Oxygen Evolution Catalysis. </w:t>
      </w:r>
      <w:r w:rsidRPr="00824647">
        <w:rPr>
          <w:rFonts w:cs="Times New Roman"/>
          <w:i/>
          <w:iCs/>
          <w:noProof/>
          <w:szCs w:val="24"/>
        </w:rPr>
        <w:t>Adv. Funct. Mater.</w:t>
      </w:r>
      <w:r w:rsidRPr="00824647">
        <w:rPr>
          <w:rFonts w:cs="Times New Roman"/>
          <w:noProof/>
          <w:szCs w:val="24"/>
        </w:rPr>
        <w:t xml:space="preserve"> 28, 1706008. doi:10.1002/adfm.201706008.</w:t>
      </w:r>
    </w:p>
    <w:p w14:paraId="375656CD"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rPr>
        <w:t xml:space="preserve">Tang, C., Zhang, R., Lu, W., He, L., Jiang, X., Asiri, A. M., et al. (2017). Fe-Doped CoP Nanoarray: A Monolithic Multifunctional Catalyst for Highly Efficient Hydrogen Generation. </w:t>
      </w:r>
      <w:r w:rsidRPr="00824647">
        <w:rPr>
          <w:rFonts w:cs="Times New Roman"/>
          <w:i/>
          <w:iCs/>
          <w:noProof/>
          <w:szCs w:val="24"/>
        </w:rPr>
        <w:t>Adv. Mater.</w:t>
      </w:r>
      <w:r w:rsidRPr="00824647">
        <w:rPr>
          <w:rFonts w:cs="Times New Roman"/>
          <w:noProof/>
          <w:szCs w:val="24"/>
        </w:rPr>
        <w:t xml:space="preserve"> 29, 1602441. doi:10.1002/adma.201602441.</w:t>
      </w:r>
    </w:p>
    <w:p w14:paraId="064CBEDB"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lang w:val="sv-FI"/>
        </w:rPr>
      </w:pPr>
      <w:r w:rsidRPr="00824647">
        <w:rPr>
          <w:rFonts w:cs="Times New Roman"/>
          <w:noProof/>
          <w:szCs w:val="24"/>
        </w:rPr>
        <w:t xml:space="preserve">Wang, X.-D., Chen, H.-Y., Xu, Y.-F., Liao, J.-F., Chen, B.-X., Rao, H.-S., et al. (2017). Self-supported NiMoP2 nanowires on carbon cloth as an efficient and durable electrocatalyst for overall water splitting. </w:t>
      </w:r>
      <w:r w:rsidRPr="00824647">
        <w:rPr>
          <w:rFonts w:cs="Times New Roman"/>
          <w:i/>
          <w:iCs/>
          <w:noProof/>
          <w:szCs w:val="24"/>
          <w:lang w:val="sv-FI"/>
        </w:rPr>
        <w:t>J. Mater. Chem. A</w:t>
      </w:r>
      <w:r w:rsidRPr="00824647">
        <w:rPr>
          <w:rFonts w:cs="Times New Roman"/>
          <w:noProof/>
          <w:szCs w:val="24"/>
          <w:lang w:val="sv-FI"/>
        </w:rPr>
        <w:t xml:space="preserve"> 5, 7191–7199. doi:10.1039/C6TA11188B.</w:t>
      </w:r>
    </w:p>
    <w:p w14:paraId="49429CDE"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lang w:val="sv-FI"/>
        </w:rPr>
        <w:lastRenderedPageBreak/>
        <w:t xml:space="preserve">Xu, J., P. S. Sousa, J., E. Mordvinova, N., Diogo Costa, J., Y. Petrovykh, D., Kovnir, K., et al. </w:t>
      </w:r>
      <w:r w:rsidRPr="00824647">
        <w:rPr>
          <w:rFonts w:cs="Times New Roman"/>
          <w:noProof/>
          <w:szCs w:val="24"/>
        </w:rPr>
        <w:t xml:space="preserve">(2018). Al-Induced In Situ Formation of Highly Active Nanostructured Water-Oxidation Electrocatalyst Based on Ni-Phosphide. </w:t>
      </w:r>
      <w:r w:rsidRPr="00824647">
        <w:rPr>
          <w:rFonts w:cs="Times New Roman"/>
          <w:i/>
          <w:iCs/>
          <w:noProof/>
          <w:szCs w:val="24"/>
        </w:rPr>
        <w:t>ACS Catal.</w:t>
      </w:r>
      <w:r w:rsidRPr="00824647">
        <w:rPr>
          <w:rFonts w:cs="Times New Roman"/>
          <w:noProof/>
          <w:szCs w:val="24"/>
        </w:rPr>
        <w:t xml:space="preserve"> 8, 2595–2600. doi:10.1021/acscatal.7b03817.</w:t>
      </w:r>
    </w:p>
    <w:p w14:paraId="1B88CB2A"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rPr>
        <w:t xml:space="preserve">Xu, X., Song, F., and Hu, X. (2016). A nickel iron diselenide-derived efficient oxygen-evolution catalyst. </w:t>
      </w:r>
      <w:r w:rsidRPr="00824647">
        <w:rPr>
          <w:rFonts w:cs="Times New Roman"/>
          <w:i/>
          <w:iCs/>
          <w:noProof/>
          <w:szCs w:val="24"/>
        </w:rPr>
        <w:t>Nat. Commun.</w:t>
      </w:r>
      <w:r w:rsidRPr="00824647">
        <w:rPr>
          <w:rFonts w:cs="Times New Roman"/>
          <w:noProof/>
          <w:szCs w:val="24"/>
        </w:rPr>
        <w:t xml:space="preserve"> 7, 12324. doi:10.1038/ncomms12324.</w:t>
      </w:r>
    </w:p>
    <w:p w14:paraId="69E6CDEA"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rPr>
        <w:t xml:space="preserve">Ye, W., Yang, Y., Fang, X., Arif, M., Chen, X., and Yan, D. (2019). 2D Cocrystallized Metal–Organic Nanosheet Array as an Efficient and Stable Bifunctional Electrocatalyst for Overall Water Splitting. </w:t>
      </w:r>
      <w:r w:rsidRPr="00824647">
        <w:rPr>
          <w:rFonts w:cs="Times New Roman"/>
          <w:i/>
          <w:iCs/>
          <w:noProof/>
          <w:szCs w:val="24"/>
        </w:rPr>
        <w:t>ACS Sustain. Chem. Eng.</w:t>
      </w:r>
      <w:r w:rsidRPr="00824647">
        <w:rPr>
          <w:rFonts w:cs="Times New Roman"/>
          <w:noProof/>
          <w:szCs w:val="24"/>
        </w:rPr>
        <w:t xml:space="preserve"> 7, 18085–18092. doi:10.1021/acssuschemeng.9b05126.</w:t>
      </w:r>
    </w:p>
    <w:p w14:paraId="56768B09"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lang w:val="sv-FI"/>
        </w:rPr>
      </w:pPr>
      <w:r w:rsidRPr="00824647">
        <w:rPr>
          <w:rFonts w:cs="Times New Roman"/>
          <w:noProof/>
          <w:szCs w:val="24"/>
        </w:rPr>
        <w:t xml:space="preserve">Yu, F., Zhou, H., Huang, Y., Sun, J., Qin, F., Bao, J., et al. (2018). High-performance bifunctional porous non-noble metal phosphide catalyst for overall water splitting. </w:t>
      </w:r>
      <w:r w:rsidRPr="00824647">
        <w:rPr>
          <w:rFonts w:cs="Times New Roman"/>
          <w:i/>
          <w:iCs/>
          <w:noProof/>
          <w:szCs w:val="24"/>
          <w:lang w:val="sv-FI"/>
        </w:rPr>
        <w:t>Nat. Commun.</w:t>
      </w:r>
      <w:r w:rsidRPr="00824647">
        <w:rPr>
          <w:rFonts w:cs="Times New Roman"/>
          <w:noProof/>
          <w:szCs w:val="24"/>
          <w:lang w:val="sv-FI"/>
        </w:rPr>
        <w:t xml:space="preserve"> 9, 2551. doi:10.1038/s41467-018-04746-z.</w:t>
      </w:r>
    </w:p>
    <w:p w14:paraId="1CC0A9DE"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lang w:val="sv-FI"/>
        </w:rPr>
        <w:t xml:space="preserve">Zhang, R., Tang, C., Kong, R., Du, G., Asiri, A. M., Chen, L., et al. </w:t>
      </w:r>
      <w:r w:rsidRPr="00824647">
        <w:rPr>
          <w:rFonts w:cs="Times New Roman"/>
          <w:noProof/>
          <w:szCs w:val="24"/>
        </w:rPr>
        <w:t xml:space="preserve">(2017). Al-Doped CoP nanoarray: a durable water-splitting electrocatalyst with superhigh activity. </w:t>
      </w:r>
      <w:r w:rsidRPr="00824647">
        <w:rPr>
          <w:rFonts w:cs="Times New Roman"/>
          <w:i/>
          <w:iCs/>
          <w:noProof/>
          <w:szCs w:val="24"/>
        </w:rPr>
        <w:t>Nanoscale</w:t>
      </w:r>
      <w:r w:rsidRPr="00824647">
        <w:rPr>
          <w:rFonts w:cs="Times New Roman"/>
          <w:noProof/>
          <w:szCs w:val="24"/>
        </w:rPr>
        <w:t xml:space="preserve"> 9, 4793–4800. doi:10.1039/C7NR00740J.</w:t>
      </w:r>
    </w:p>
    <w:p w14:paraId="26417C12" w14:textId="77777777" w:rsidR="00F13E75" w:rsidRPr="00824647" w:rsidRDefault="00F13E75" w:rsidP="00F13E75">
      <w:pPr>
        <w:widowControl w:val="0"/>
        <w:autoSpaceDE w:val="0"/>
        <w:autoSpaceDN w:val="0"/>
        <w:adjustRightInd w:val="0"/>
        <w:spacing w:before="0" w:after="160"/>
        <w:ind w:left="480" w:hanging="480"/>
        <w:rPr>
          <w:rFonts w:cs="Times New Roman"/>
          <w:noProof/>
          <w:szCs w:val="24"/>
        </w:rPr>
      </w:pPr>
      <w:r w:rsidRPr="00824647">
        <w:rPr>
          <w:rFonts w:cs="Times New Roman"/>
          <w:noProof/>
          <w:szCs w:val="24"/>
        </w:rPr>
        <w:t xml:space="preserve">Zhou, H., Yu, F., Sun, J., He, R., Chen, S., Chu, C.-W., et al. (2017). Highly active catalyst derived from a 3D foam of Fe(PO3)2/Ni2P for extremely efficient water oxidation. </w:t>
      </w:r>
      <w:r w:rsidRPr="00824647">
        <w:rPr>
          <w:rFonts w:cs="Times New Roman"/>
          <w:i/>
          <w:iCs/>
          <w:noProof/>
          <w:szCs w:val="24"/>
        </w:rPr>
        <w:t>Proc. Natl. Acad. Sci. U. S. A.</w:t>
      </w:r>
      <w:r w:rsidRPr="00824647">
        <w:rPr>
          <w:rFonts w:cs="Times New Roman"/>
          <w:noProof/>
          <w:szCs w:val="24"/>
        </w:rPr>
        <w:t xml:space="preserve"> 114, 5607–5611. doi:10.1073/pnas.1701562114.</w:t>
      </w:r>
    </w:p>
    <w:p w14:paraId="0F809658" w14:textId="394190E3" w:rsidR="00F13E75" w:rsidRPr="00824647" w:rsidRDefault="00F13E75" w:rsidP="00F13E75">
      <w:pPr>
        <w:rPr>
          <w:rFonts w:cs="Times New Roman"/>
          <w:b/>
          <w:bCs/>
          <w:szCs w:val="24"/>
        </w:rPr>
      </w:pPr>
      <w:r w:rsidRPr="00824647">
        <w:rPr>
          <w:rFonts w:cs="Times New Roman"/>
          <w:szCs w:val="24"/>
        </w:rPr>
        <w:fldChar w:fldCharType="end"/>
      </w:r>
    </w:p>
    <w:sectPr w:rsidR="00F13E75" w:rsidRPr="00824647"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549E6" w14:textId="77777777" w:rsidR="009E0D51" w:rsidRDefault="009E0D51" w:rsidP="00117666">
      <w:pPr>
        <w:spacing w:after="0"/>
      </w:pPr>
      <w:r>
        <w:separator/>
      </w:r>
    </w:p>
  </w:endnote>
  <w:endnote w:type="continuationSeparator" w:id="0">
    <w:p w14:paraId="30E80954" w14:textId="77777777" w:rsidR="009E0D51" w:rsidRDefault="009E0D5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18129" w14:textId="77777777" w:rsidR="009E0D51" w:rsidRDefault="009E0D51" w:rsidP="00117666">
      <w:pPr>
        <w:spacing w:after="0"/>
      </w:pPr>
      <w:r>
        <w:separator/>
      </w:r>
    </w:p>
  </w:footnote>
  <w:footnote w:type="continuationSeparator" w:id="0">
    <w:p w14:paraId="7B13859D" w14:textId="77777777" w:rsidR="009E0D51" w:rsidRDefault="009E0D5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6DE419B0"/>
    <w:multiLevelType w:val="hybridMultilevel"/>
    <w:tmpl w:val="FDB47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028B0"/>
    <w:rsid w:val="0001436A"/>
    <w:rsid w:val="00030D9A"/>
    <w:rsid w:val="00034304"/>
    <w:rsid w:val="00035434"/>
    <w:rsid w:val="00044B29"/>
    <w:rsid w:val="00052A14"/>
    <w:rsid w:val="00077D53"/>
    <w:rsid w:val="00105FD9"/>
    <w:rsid w:val="00117666"/>
    <w:rsid w:val="00143667"/>
    <w:rsid w:val="00144AC5"/>
    <w:rsid w:val="001547C0"/>
    <w:rsid w:val="001549D3"/>
    <w:rsid w:val="00160065"/>
    <w:rsid w:val="00177D84"/>
    <w:rsid w:val="00187DDA"/>
    <w:rsid w:val="0019510D"/>
    <w:rsid w:val="00196E07"/>
    <w:rsid w:val="00267D18"/>
    <w:rsid w:val="00274347"/>
    <w:rsid w:val="002868E2"/>
    <w:rsid w:val="002869C3"/>
    <w:rsid w:val="002936E4"/>
    <w:rsid w:val="002B4A57"/>
    <w:rsid w:val="002C74CA"/>
    <w:rsid w:val="003123F4"/>
    <w:rsid w:val="00331A10"/>
    <w:rsid w:val="003544FB"/>
    <w:rsid w:val="003627BB"/>
    <w:rsid w:val="003D2F2D"/>
    <w:rsid w:val="00401590"/>
    <w:rsid w:val="00447801"/>
    <w:rsid w:val="00452E9C"/>
    <w:rsid w:val="004735C8"/>
    <w:rsid w:val="004947A6"/>
    <w:rsid w:val="004961FF"/>
    <w:rsid w:val="004E3BAA"/>
    <w:rsid w:val="00517A89"/>
    <w:rsid w:val="005250F2"/>
    <w:rsid w:val="00593EEA"/>
    <w:rsid w:val="005A5EEE"/>
    <w:rsid w:val="006228B6"/>
    <w:rsid w:val="006375C7"/>
    <w:rsid w:val="00654E8F"/>
    <w:rsid w:val="00660D05"/>
    <w:rsid w:val="00662F83"/>
    <w:rsid w:val="006820B1"/>
    <w:rsid w:val="006B7D14"/>
    <w:rsid w:val="00701727"/>
    <w:rsid w:val="0070566C"/>
    <w:rsid w:val="00714C50"/>
    <w:rsid w:val="00725A7D"/>
    <w:rsid w:val="007501BE"/>
    <w:rsid w:val="00790BB3"/>
    <w:rsid w:val="007C10E4"/>
    <w:rsid w:val="007C193B"/>
    <w:rsid w:val="007C206C"/>
    <w:rsid w:val="00817DD6"/>
    <w:rsid w:val="00824647"/>
    <w:rsid w:val="0083759F"/>
    <w:rsid w:val="00885156"/>
    <w:rsid w:val="00886F40"/>
    <w:rsid w:val="008924DB"/>
    <w:rsid w:val="008F608F"/>
    <w:rsid w:val="009151AA"/>
    <w:rsid w:val="0093429D"/>
    <w:rsid w:val="00943573"/>
    <w:rsid w:val="00964134"/>
    <w:rsid w:val="00970F7D"/>
    <w:rsid w:val="00994A3D"/>
    <w:rsid w:val="009C2B12"/>
    <w:rsid w:val="009E0D51"/>
    <w:rsid w:val="009E3E7D"/>
    <w:rsid w:val="00A14110"/>
    <w:rsid w:val="00A16346"/>
    <w:rsid w:val="00A174D9"/>
    <w:rsid w:val="00AA4D24"/>
    <w:rsid w:val="00AB6715"/>
    <w:rsid w:val="00B1671E"/>
    <w:rsid w:val="00B25EB8"/>
    <w:rsid w:val="00B37F4D"/>
    <w:rsid w:val="00BF7B12"/>
    <w:rsid w:val="00C52A7B"/>
    <w:rsid w:val="00C56BAF"/>
    <w:rsid w:val="00C679AA"/>
    <w:rsid w:val="00C75972"/>
    <w:rsid w:val="00CD066B"/>
    <w:rsid w:val="00CE4FEE"/>
    <w:rsid w:val="00CE7174"/>
    <w:rsid w:val="00D060CF"/>
    <w:rsid w:val="00D75FE8"/>
    <w:rsid w:val="00DB59C3"/>
    <w:rsid w:val="00DC259A"/>
    <w:rsid w:val="00DE23E8"/>
    <w:rsid w:val="00E13A8D"/>
    <w:rsid w:val="00E52377"/>
    <w:rsid w:val="00E537AD"/>
    <w:rsid w:val="00E64E17"/>
    <w:rsid w:val="00E866C9"/>
    <w:rsid w:val="00EA3D3C"/>
    <w:rsid w:val="00EC090A"/>
    <w:rsid w:val="00ED20B5"/>
    <w:rsid w:val="00ED3344"/>
    <w:rsid w:val="00F13E75"/>
    <w:rsid w:val="00F46900"/>
    <w:rsid w:val="00F61D89"/>
    <w:rsid w:val="00FB4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ff3">
    <w:name w:val="ff3"/>
    <w:basedOn w:val="DefaultParagraphFont"/>
    <w:rsid w:val="00196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berto.vomiero@ltu.se" TargetMode="External"/><Relationship Id="rId13" Type="http://schemas.openxmlformats.org/officeDocument/2006/relationships/image" Target="media/image4.ti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ofik.ahmed.shifa@ltu.se" TargetMode="External"/><Relationship Id="rId14" Type="http://schemas.openxmlformats.org/officeDocument/2006/relationships/image" Target="media/image5.ti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561E181-DDD9-45DD-A030-6CD4B5F0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47</TotalTime>
  <Pages>7</Pages>
  <Words>7425</Words>
  <Characters>42326</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Shifa Tofik Ahmed</cp:lastModifiedBy>
  <cp:revision>11</cp:revision>
  <cp:lastPrinted>2013-10-03T12:51:00Z</cp:lastPrinted>
  <dcterms:created xsi:type="dcterms:W3CDTF">2021-04-29T22:54:00Z</dcterms:created>
  <dcterms:modified xsi:type="dcterms:W3CDTF">2021-06-02T17:05:00Z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http://www.zotero.org/styles/advanced-functional-materials</vt:lpwstr>
  </property>
  <property fmtid="{D5CDD505-2E9C-101B-9397-08002B2CF9AE}" pid="5" name="Mendeley Recent Style Name 1_1">
    <vt:lpwstr>Advanced Functional Materials</vt:lpwstr>
  </property>
  <property fmtid="{D5CDD505-2E9C-101B-9397-08002B2CF9AE}" pid="6" name="Mendeley Recent Style Id 2_1">
    <vt:lpwstr>http://www.zotero.org/styles/advanced-materials</vt:lpwstr>
  </property>
  <property fmtid="{D5CDD505-2E9C-101B-9397-08002B2CF9AE}" pid="7" name="Mendeley Recent Style Name 2_1">
    <vt:lpwstr>Advanced Materials</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http://www.zotero.org/styles/frontiers</vt:lpwstr>
  </property>
  <property fmtid="{D5CDD505-2E9C-101B-9397-08002B2CF9AE}" pid="15" name="Mendeley Recent Style Name 6_1">
    <vt:lpwstr>Frontiers journals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126d62ff-a45f-36e0-a70a-77ad616dfb22</vt:lpwstr>
  </property>
  <property fmtid="{D5CDD505-2E9C-101B-9397-08002B2CF9AE}" pid="24" name="Mendeley Citation Style_1">
    <vt:lpwstr>http://www.zotero.org/styles/frontiers</vt:lpwstr>
  </property>
</Properties>
</file>