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23DC" w14:textId="77777777" w:rsidR="00D1485D" w:rsidRDefault="00D1485D" w:rsidP="00D14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1.</w:t>
      </w:r>
      <w:r>
        <w:rPr>
          <w:rFonts w:ascii="Times New Roman" w:hAnsi="Times New Roman" w:cs="Times New Roman"/>
          <w:sz w:val="24"/>
          <w:szCs w:val="24"/>
        </w:rPr>
        <w:t xml:space="preserve"> Description of neuropsychological tasks administered.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237"/>
      </w:tblGrid>
      <w:tr w:rsidR="00D1485D" w14:paraId="1A86506D" w14:textId="77777777" w:rsidTr="00AC2727">
        <w:tc>
          <w:tcPr>
            <w:tcW w:w="2779" w:type="dxa"/>
          </w:tcPr>
          <w:p w14:paraId="16739C3F" w14:textId="77777777" w:rsidR="00D1485D" w:rsidRDefault="00D1485D" w:rsidP="005A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Neuropsychological Test</w:t>
            </w:r>
          </w:p>
        </w:tc>
        <w:tc>
          <w:tcPr>
            <w:tcW w:w="6237" w:type="dxa"/>
          </w:tcPr>
          <w:p w14:paraId="6C3DD0F6" w14:textId="77777777" w:rsidR="00D1485D" w:rsidRDefault="00D1485D" w:rsidP="005A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 Components</w:t>
            </w:r>
          </w:p>
        </w:tc>
      </w:tr>
      <w:tr w:rsidR="00D1485D" w14:paraId="3963812C" w14:textId="77777777" w:rsidTr="00AC2727">
        <w:tc>
          <w:tcPr>
            <w:tcW w:w="2779" w:type="dxa"/>
          </w:tcPr>
          <w:p w14:paraId="2DC81E2C" w14:textId="77777777" w:rsidR="00D1485D" w:rsidRDefault="00D1485D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Addenbrooke Cognitive Exam –Revised (ACE-R)</w:t>
            </w:r>
          </w:p>
          <w:p w14:paraId="713A36C7" w14:textId="77777777" w:rsidR="00D1485D" w:rsidRDefault="00D1485D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645B" w14:textId="3E42723A" w:rsidR="00D1485D" w:rsidRPr="004F3AAD" w:rsidRDefault="00D1485D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2006)</w: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&lt;EndNote&gt;&lt;Cite&gt;&lt;Author&gt;Mioshi&lt;/Author&gt;&lt;Year&gt;2006&lt;/Year&gt;&lt;RecNum&gt;405&lt;/RecNum&gt;&lt;DisplayText&gt;&lt;style face="superscript"&gt;1&lt;/style&gt;&lt;/DisplayText&gt;&lt;record&gt;&lt;rec-number&gt;405&lt;/rec-number&gt;&lt;foreign-keys&gt;&lt;key app="EN" db-id="xs9pxwt59tp2pcexaxnp2fxn0vtvtwx9xfaa" timestamp="1616387493"&gt;405&lt;/key&gt;&lt;/foreign-keys&gt;&lt;ref-type name="Journal Article"&gt;17&lt;/ref-type&gt;&lt;contributors&gt;&lt;authors&gt;&lt;author&gt;Mioshi, E.&lt;/author&gt;&lt;author&gt;Dawson, K.&lt;/author&gt;&lt;author&gt;Mitchell, J.&lt;/author&gt;&lt;author&gt;Arnold, R.&lt;/author&gt;&lt;author&gt;Hodges, J. R.&lt;/author&gt;&lt;/authors&gt;&lt;/contributors&gt;&lt;auth-address&gt;MRC Cognition and Brain Sciences Unit, University of Cambridge, Department of Clinical Neurosciences, Addenbrooke&amp;apos;s Hospital, UK.&lt;/auth-address&gt;&lt;titles&gt;&lt;title&gt;The Addenbrooke&amp;apos;s Cognitive Examination Revised (ACE-R): a brief cognitive test battery for dementia screening&lt;/title&gt;&lt;secondary-title&gt;Int J Geriatr Psychiatry&lt;/secondary-title&gt;&lt;/titles&gt;&lt;periodical&gt;&lt;full-title&gt;Int J Geriatr Psychiatry&lt;/full-title&gt;&lt;/periodical&gt;&lt;pages&gt;1078-85&lt;/pages&gt;&lt;volume&gt;21&lt;/volume&gt;&lt;number&gt;11&lt;/number&gt;&lt;edition&gt;2006/09/16&lt;/edition&gt;&lt;keywords&gt;&lt;keyword&gt;Aged&lt;/keyword&gt;&lt;keyword&gt;Aged, 80 and over&lt;/keyword&gt;&lt;keyword&gt;Dementia/*diagnosis/psychology&lt;/keyword&gt;&lt;keyword&gt;Humans&lt;/keyword&gt;&lt;keyword&gt;Male&lt;/keyword&gt;&lt;keyword&gt;Middle Aged&lt;/keyword&gt;&lt;keyword&gt;Neuropsychological Tests/*standards&lt;/keyword&gt;&lt;keyword&gt;Psychiatric Status Rating Scales&lt;/keyword&gt;&lt;keyword&gt;Reproducibility of Results&lt;/keyword&gt;&lt;keyword&gt;Sensitivity and Specificity&lt;/keyword&gt;&lt;/keywords&gt;&lt;dates&gt;&lt;year&gt;2006&lt;/year&gt;&lt;pub-dates&gt;&lt;date&gt;Nov&lt;/date&gt;&lt;/pub-dates&gt;&lt;/dates&gt;&lt;isbn&gt;0885-6230 (Print)&amp;#xD;0885-6230 (Linking)&lt;/isbn&gt;&lt;accession-num&gt;16977673&lt;/accession-num&gt;&lt;urls&gt;&lt;related-urls&gt;&lt;url&gt;https://www.ncbi.nlm.nih.gov/pubmed/16977673&lt;/url&gt;&lt;/related-urls&gt;&lt;/urls&gt;&lt;electronic-resource-num&gt;10.1002/gps.1610&lt;/electronic-resource-num&gt;&lt;/record&gt;&lt;/Cite&gt;&lt;/EndNote&gt;</w:instrTex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42B9E" w:rsidRPr="00C42B9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</w:tcPr>
          <w:p w14:paraId="7D9ADED5" w14:textId="3591CD28" w:rsidR="00452EAB" w:rsidRPr="00AC2727" w:rsidRDefault="00D1485D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ACE-R is a general screening measure of cognition scored out of 100 and contains sub-components assessing: attention and orientation, memory, verbal fluency, language, and visuospatial skills. The memory subtest score comprises (1) recall after brief distract</w:t>
            </w:r>
            <w:r w:rsidR="003E7A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of a three-item list, (2) recall of a seven-item name and address on the third learning trial, (3) delayed recall and recognition of the name and address, (4) recall of the names of 4 specified current and previous politicians.</w:t>
            </w:r>
          </w:p>
        </w:tc>
      </w:tr>
      <w:tr w:rsidR="00D1485D" w14:paraId="6661DF1A" w14:textId="77777777" w:rsidTr="00AC2727">
        <w:tc>
          <w:tcPr>
            <w:tcW w:w="2779" w:type="dxa"/>
          </w:tcPr>
          <w:p w14:paraId="19B2D712" w14:textId="77777777" w:rsidR="00D1485D" w:rsidRDefault="00452EAB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Verbal Fluency</w:t>
            </w:r>
          </w:p>
          <w:p w14:paraId="5C9DF232" w14:textId="77777777" w:rsidR="00452EAB" w:rsidRDefault="00452EAB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4F20" w14:textId="64F5DD95" w:rsidR="00452EAB" w:rsidRDefault="00452EAB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(Abrahams et al., 2000)</w: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&lt;EndNote&gt;&lt;Cite&gt;&lt;Author&gt;Abrahams&lt;/Author&gt;&lt;Year&gt;2000&lt;/Year&gt;&lt;RecNum&gt;174&lt;/RecNum&gt;&lt;DisplayText&gt;&lt;style face="superscript"&gt;2&lt;/style&gt;&lt;/DisplayText&gt;&lt;record&gt;&lt;rec-number&gt;174&lt;/rec-number&gt;&lt;foreign-keys&gt;&lt;key app="EN" db-id="xs9pxwt59tp2pcexaxnp2fxn0vtvtwx9xfaa" timestamp="1530290772"&gt;174&lt;/key&gt;&lt;/foreign-keys&gt;&lt;ref-type name="Journal Article"&gt;17&lt;/ref-type&gt;&lt;contributors&gt;&lt;authors&gt;&lt;author&gt;Abrahams, S.&lt;/author&gt;&lt;author&gt;Leigh, P. N.&lt;/author&gt;&lt;author&gt;Harvey, A.&lt;/author&gt;&lt;author&gt;Vythelingum, G. N.&lt;/author&gt;&lt;author&gt;Grise, D.&lt;/author&gt;&lt;author&gt;Goldstein, L. H.&lt;/author&gt;&lt;/authors&gt;&lt;/contributors&gt;&lt;auth-address&gt;Department of Psychology, Institute of Psychiatry, King&amp;apos;s College London, De Crespigny Park, London, UK. s.abrahams@iop.kcl.ac.uk&lt;/auth-address&gt;&lt;titles&gt;&lt;title&gt;Verbal fluency and executive dysfunction in amyotrophic lateral sclerosis (ALS)&lt;/title&gt;&lt;secondary-title&gt;Neuropsychologia&lt;/secondary-title&gt;&lt;/titles&gt;&lt;periodical&gt;&lt;full-title&gt;Neuropsychologia&lt;/full-title&gt;&lt;/periodical&gt;&lt;pages&gt;734-47&lt;/pages&gt;&lt;volume&gt;38&lt;/volume&gt;&lt;number&gt;6&lt;/number&gt;&lt;keywords&gt;&lt;keyword&gt;Amyotrophic Lateral Sclerosis/*complications&lt;/keyword&gt;&lt;keyword&gt;Cognition Disorders/diagnosis/*etiology&lt;/keyword&gt;&lt;keyword&gt;Female&lt;/keyword&gt;&lt;keyword&gt;Humans&lt;/keyword&gt;&lt;keyword&gt;Linguistics&lt;/keyword&gt;&lt;keyword&gt;Male&lt;/keyword&gt;&lt;keyword&gt;Memory Disorders/diagnosis/*etiology&lt;/keyword&gt;&lt;keyword&gt;Middle Aged&lt;/keyword&gt;&lt;keyword&gt;Neuropsychological Tests&lt;/keyword&gt;&lt;keyword&gt;Severity of Illness Index&lt;/keyword&gt;&lt;keyword&gt;Verbal Behavior/*physiology&lt;/keyword&gt;&lt;/keywords&gt;&lt;dates&gt;&lt;year&gt;2000&lt;/year&gt;&lt;/dates&gt;&lt;isbn&gt;0028-3932 (Print)&amp;#xD;0028-3932 (Linking)&lt;/isbn&gt;&lt;accession-num&gt;10689049&lt;/accession-num&gt;&lt;urls&gt;&lt;related-urls&gt;&lt;url&gt;https://www.ncbi.nlm.nih.gov/pubmed/10689049&lt;/url&gt;&lt;/related-urls&gt;&lt;/urls&gt;&lt;/record&gt;&lt;/Cite&gt;&lt;/EndNote&gt;</w:instrTex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42B9E" w:rsidRPr="00C42B9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</w:tcPr>
          <w:p w14:paraId="47A2FD23" w14:textId="3DE25BB1" w:rsidR="00787418" w:rsidRDefault="00787418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Participants start with a generation condition whereby they are asked to write down as many words for a given condition within 60 seconds. </w:t>
            </w:r>
          </w:p>
          <w:p w14:paraId="70EF7745" w14:textId="6BAAA938" w:rsidR="00D1485D" w:rsidRDefault="00787418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P Items: </w:t>
            </w:r>
            <w:r w:rsidR="0095318E">
              <w:rPr>
                <w:rFonts w:ascii="Times New Roman" w:hAnsi="Times New Roman" w:cs="Times New Roman"/>
                <w:sz w:val="24"/>
                <w:szCs w:val="24"/>
              </w:rPr>
              <w:t>words beginning with the letter P</w:t>
            </w:r>
          </w:p>
          <w:p w14:paraId="64F1F88F" w14:textId="77777777" w:rsidR="0095318E" w:rsidRDefault="0095318E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Excluded Letter E: words that do not contain the letter E</w:t>
            </w:r>
          </w:p>
          <w:p w14:paraId="54822BA3" w14:textId="77777777" w:rsidR="0095318E" w:rsidRDefault="0095318E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(Animals): items belonging to the ‘animal’ category</w:t>
            </w:r>
          </w:p>
          <w:p w14:paraId="186B45CF" w14:textId="001C6A76" w:rsidR="0095318E" w:rsidRPr="00532439" w:rsidRDefault="0095318E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a delay, participants complete a control condition where they copied the previously generated words to control for existing motor impairment. Performance </w:t>
            </w:r>
            <w:r w:rsidR="00047B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scored as a fluency index (fi)</w:t>
            </w:r>
            <w:r w:rsidR="00777A7A">
              <w:rPr>
                <w:rFonts w:ascii="Times New Roman" w:hAnsi="Times New Roman" w:cs="Times New Roman"/>
                <w:sz w:val="24"/>
                <w:szCs w:val="24"/>
              </w:rPr>
              <w:t xml:space="preserve"> representing the average time taken to think of each item.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r w:rsidR="00DA6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485D" w14:paraId="407DEDF8" w14:textId="77777777" w:rsidTr="00AC2727">
        <w:tc>
          <w:tcPr>
            <w:tcW w:w="2779" w:type="dxa"/>
          </w:tcPr>
          <w:p w14:paraId="70671703" w14:textId="6F137167" w:rsidR="00D1485D" w:rsidRDefault="00AC2727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Trail</w:t>
            </w:r>
            <w:r w:rsidR="00B80212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aking Test</w:t>
            </w:r>
          </w:p>
          <w:p w14:paraId="712A4552" w14:textId="77777777" w:rsidR="00AC2727" w:rsidRDefault="00AC2727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DE88" w14:textId="7892719D" w:rsidR="00AC2727" w:rsidRDefault="00AC2727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(Tombaugh, 2004)</w: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&lt;EndNote&gt;&lt;Cite&gt;&lt;Author&gt;Tombaugh&lt;/Author&gt;&lt;Year&gt;2004&lt;/Year&gt;&lt;RecNum&gt;479&lt;/RecNum&gt;&lt;DisplayText&gt;&lt;style face="superscript"&gt;3&lt;/style&gt;&lt;/DisplayText&gt;&lt;record&gt;&lt;rec-number&gt;479&lt;/rec-number&gt;&lt;foreign-keys&gt;&lt;key app="EN" db-id="xs9pxwt59tp2pcexaxnp2fxn0vtvtwx9xfaa" timestamp="1623306317"&gt;479&lt;/key&gt;&lt;/foreign-keys&gt;&lt;ref-type name="Journal Article"&gt;17&lt;/ref-type&gt;&lt;contributors&gt;&lt;authors&gt;&lt;author&gt;Tombaugh, T. N.&lt;/author&gt;&lt;/authors&gt;&lt;/contributors&gt;&lt;auth-address&gt;Psychology Department, Carleton University, 1125 Colonel By Drive, Ottawa, Ont., Canada K1S 5B6. ttombaug@ccs.carleton.ca&lt;/auth-address&gt;&lt;titles&gt;&lt;title&gt;Trail Making Test A and B: normative data stratified by age and education&lt;/title&gt;&lt;secondary-title&gt;Arch Clin Neuropsychol&lt;/secondary-title&gt;&lt;/titles&gt;&lt;periodical&gt;&lt;full-title&gt;Arch Clin Neuropsychol&lt;/full-title&gt;&lt;/periodical&gt;&lt;pages&gt;203-14&lt;/pages&gt;&lt;volume&gt;19&lt;/volume&gt;&lt;number&gt;2&lt;/number&gt;&lt;edition&gt;2004/03/11&lt;/edition&gt;&lt;keywords&gt;&lt;keyword&gt;Adolescent&lt;/keyword&gt;&lt;keyword&gt;Adult&lt;/keyword&gt;&lt;keyword&gt;Age Distribution&lt;/keyword&gt;&lt;keyword&gt;Aged&lt;/keyword&gt;&lt;keyword&gt;Aged, 80 and over&lt;/keyword&gt;&lt;keyword&gt;Educational Status&lt;/keyword&gt;&lt;keyword&gt;Female&lt;/keyword&gt;&lt;keyword&gt;Humans&lt;/keyword&gt;&lt;keyword&gt;Male&lt;/keyword&gt;&lt;keyword&gt;Mental Processes/*physiology&lt;/keyword&gt;&lt;keyword&gt;Middle Aged&lt;/keyword&gt;&lt;keyword&gt;Reference Values&lt;/keyword&gt;&lt;keyword&gt;Residence Characteristics&lt;/keyword&gt;&lt;keyword&gt;Sex Factors&lt;/keyword&gt;&lt;keyword&gt;Trail Making Test/*statistics &amp;amp; numerical data&lt;/keyword&gt;&lt;/keywords&gt;&lt;dates&gt;&lt;year&gt;2004&lt;/year&gt;&lt;pub-dates&gt;&lt;date&gt;Mar&lt;/date&gt;&lt;/pub-dates&gt;&lt;/dates&gt;&lt;isbn&gt;0887-6177 (Print)&amp;#xD;0887-6177 (Linking)&lt;/isbn&gt;&lt;accession-num&gt;15010086&lt;/accession-num&gt;&lt;urls&gt;&lt;related-urls&gt;&lt;url&gt;https://www.ncbi.nlm.nih.gov/pubmed/15010086&lt;/url&gt;&lt;/related-urls&gt;&lt;/urls&gt;&lt;electronic-resource-num&gt;10.1016/S0887-6177(03)00039-8&lt;/electronic-resource-num&gt;&lt;/record&gt;&lt;/Cite&gt;&lt;/EndNote&gt;</w:instrTex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42B9E" w:rsidRPr="00C42B9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="00C42B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</w:tcPr>
          <w:p w14:paraId="763DEB6F" w14:textId="34910CFF" w:rsidR="00D1485D" w:rsidRPr="0049542A" w:rsidRDefault="00B80212" w:rsidP="005A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12">
              <w:rPr>
                <w:rFonts w:ascii="Times New Roman" w:hAnsi="Times New Roman" w:cs="Times New Roman"/>
                <w:sz w:val="24"/>
                <w:szCs w:val="24"/>
              </w:rPr>
              <w:t xml:space="preserve">The Trail Making Test is a neuropsychological test of visual attention and task switching. It consists of two parts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(A, B) </w:t>
            </w:r>
            <w:r w:rsidRPr="00B80212">
              <w:rPr>
                <w:rFonts w:ascii="Times New Roman" w:hAnsi="Times New Roman" w:cs="Times New Roman"/>
                <w:sz w:val="24"/>
                <w:szCs w:val="24"/>
              </w:rPr>
              <w:t>in which the subject is instructed to connect a set of 25 dots as quickly as possible while maintaining accuracy.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212">
              <w:rPr>
                <w:rFonts w:ascii="Times New Roman" w:hAnsi="Times New Roman" w:cs="Times New Roman"/>
                <w:sz w:val="24"/>
                <w:szCs w:val="24"/>
              </w:rPr>
              <w:t>The test can provide information about visual search speed, scanning, speed of processing, mental flexibility, as well as executive functioning.</w:t>
            </w:r>
          </w:p>
        </w:tc>
      </w:tr>
    </w:tbl>
    <w:p w14:paraId="5ACDEC02" w14:textId="74DC745E" w:rsidR="00D1485D" w:rsidRDefault="00D1485D" w:rsidP="00D1485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9237F" w14:textId="4B2CD1EB" w:rsidR="00423B16" w:rsidRDefault="00423B16" w:rsidP="00D1485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7FB37879" w14:textId="77777777" w:rsidR="00C42B9E" w:rsidRPr="00C42B9E" w:rsidRDefault="00C42B9E" w:rsidP="00C42B9E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42B9E">
        <w:t>1.</w:t>
      </w:r>
      <w:r w:rsidRPr="00C42B9E">
        <w:tab/>
        <w:t>Mioshi E, Dawson K, Mitchell J, Arnold R, Hodges JR. The Addenbrooke's Cognitive Examination Revised (ACE-R): a brief cognitive test battery for dementia screening. Int J Geriatr Psychiatry 2006;21:1078-1085.</w:t>
      </w:r>
    </w:p>
    <w:p w14:paraId="2321B631" w14:textId="77777777" w:rsidR="00C42B9E" w:rsidRPr="00C42B9E" w:rsidRDefault="00C42B9E" w:rsidP="00C42B9E">
      <w:pPr>
        <w:pStyle w:val="EndNoteBibliography"/>
        <w:spacing w:after="0"/>
      </w:pPr>
      <w:r w:rsidRPr="00C42B9E">
        <w:t>2.</w:t>
      </w:r>
      <w:r w:rsidRPr="00C42B9E">
        <w:tab/>
        <w:t>Abrahams S, Leigh PN, Harvey A, Vythelingum GN, Grise D, Goldstein LH. Verbal fluency and executive dysfunction in amyotrophic lateral sclerosis (ALS). Neuropsychologia 2000;38:734-747.</w:t>
      </w:r>
    </w:p>
    <w:p w14:paraId="5F572F92" w14:textId="77777777" w:rsidR="00C42B9E" w:rsidRPr="00C42B9E" w:rsidRDefault="00C42B9E" w:rsidP="00C42B9E">
      <w:pPr>
        <w:pStyle w:val="EndNoteBibliography"/>
      </w:pPr>
      <w:r w:rsidRPr="00C42B9E">
        <w:t>3.</w:t>
      </w:r>
      <w:r w:rsidRPr="00C42B9E">
        <w:tab/>
        <w:t>Tombaugh TN. Trail Making Test A and B: normative data stratified by age and education. Arch Clin Neuropsychol 2004;19:203-214.</w:t>
      </w:r>
    </w:p>
    <w:p w14:paraId="117E0D0D" w14:textId="2EC8CF9A" w:rsidR="00423B16" w:rsidRDefault="00C42B9E" w:rsidP="00C42B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end"/>
      </w:r>
    </w:p>
    <w:p w14:paraId="28E3FB25" w14:textId="77777777" w:rsidR="00D1485D" w:rsidRDefault="00D1485D" w:rsidP="00D148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EF028D" w14:textId="586D29DC" w:rsidR="00A87823" w:rsidRPr="0053264E" w:rsidRDefault="00A87823" w:rsidP="00A878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D1485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575A8">
        <w:rPr>
          <w:rFonts w:ascii="Times New Roman" w:hAnsi="Times New Roman" w:cs="Times New Roman"/>
          <w:sz w:val="24"/>
          <w:szCs w:val="24"/>
        </w:rPr>
        <w:t>emographic characteristics and clinical profile</w:t>
      </w:r>
      <w:r>
        <w:rPr>
          <w:rFonts w:ascii="Times New Roman" w:hAnsi="Times New Roman" w:cs="Times New Roman"/>
          <w:sz w:val="24"/>
          <w:szCs w:val="24"/>
        </w:rPr>
        <w:t xml:space="preserve"> of ALS patients with an MRI scan</w:t>
      </w:r>
      <w:r w:rsidRPr="00A575A8">
        <w:rPr>
          <w:rFonts w:ascii="Times New Roman" w:hAnsi="Times New Roman" w:cs="Times New Roman"/>
          <w:sz w:val="24"/>
          <w:szCs w:val="24"/>
        </w:rPr>
        <w:t>. Mean and standard deviation.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2580"/>
      </w:tblGrid>
      <w:tr w:rsidR="00A87823" w:rsidRPr="00FE727F" w14:paraId="09D55C4F" w14:textId="77777777" w:rsidTr="00A150D4">
        <w:trPr>
          <w:jc w:val="center"/>
        </w:trPr>
        <w:tc>
          <w:tcPr>
            <w:tcW w:w="3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452" w14:textId="77777777" w:rsidR="00A87823" w:rsidRPr="00FE727F" w:rsidRDefault="00A87823" w:rsidP="00A1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3D100" w14:textId="77777777" w:rsidR="00A87823" w:rsidRDefault="00A87823" w:rsidP="00A1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ALS</w:t>
            </w:r>
          </w:p>
          <w:p w14:paraId="1ED5C438" w14:textId="77777777" w:rsidR="00A87823" w:rsidRPr="00FE727F" w:rsidRDefault="00A87823" w:rsidP="00A1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(n=14)</w:t>
            </w:r>
          </w:p>
        </w:tc>
      </w:tr>
      <w:tr w:rsidR="00A87823" w:rsidRPr="00FE727F" w14:paraId="563EB34F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5942EC82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(M/F)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nil"/>
            </w:tcBorders>
          </w:tcPr>
          <w:p w14:paraId="77781EB3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12M, 2F</w:t>
            </w:r>
          </w:p>
        </w:tc>
      </w:tr>
      <w:tr w:rsidR="00A87823" w:rsidRPr="00FE727F" w14:paraId="713131BB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3E71C853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Handedness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(L/R/B)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nil"/>
            </w:tcBorders>
          </w:tcPr>
          <w:p w14:paraId="2E1EDDD6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12R</w:t>
            </w:r>
          </w:p>
        </w:tc>
      </w:tr>
      <w:tr w:rsidR="00A87823" w:rsidRPr="00FE727F" w14:paraId="52B2C2CE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074DCEB8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y.o</w:t>
            </w:r>
            <w:proofErr w:type="spellEnd"/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nil"/>
            </w:tcBorders>
          </w:tcPr>
          <w:p w14:paraId="4F001F04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61.8 (10.5)</w:t>
            </w:r>
          </w:p>
        </w:tc>
      </w:tr>
      <w:tr w:rsidR="00A87823" w:rsidRPr="00FE727F" w14:paraId="7CAEB4EC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E83752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9F2081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(2.6)</w:t>
            </w:r>
          </w:p>
        </w:tc>
      </w:tr>
      <w:tr w:rsidR="00A87823" w:rsidRPr="00FE727F" w14:paraId="36E9DF1B" w14:textId="77777777" w:rsidTr="00A150D4">
        <w:trPr>
          <w:jc w:val="center"/>
        </w:trPr>
        <w:tc>
          <w:tcPr>
            <w:tcW w:w="357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5FCD8D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Disease Duration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(months)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</w:tcBorders>
          </w:tcPr>
          <w:p w14:paraId="575D71F6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 (27.4)</w:t>
            </w:r>
          </w:p>
        </w:tc>
      </w:tr>
      <w:tr w:rsidR="00A87823" w:rsidRPr="00FE727F" w14:paraId="5DBAF16D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4520E87F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ALSFRS-R</w:t>
            </w:r>
          </w:p>
        </w:tc>
        <w:tc>
          <w:tcPr>
            <w:tcW w:w="1429" w:type="pct"/>
            <w:tcBorders>
              <w:left w:val="single" w:sz="4" w:space="0" w:color="auto"/>
              <w:bottom w:val="nil"/>
            </w:tcBorders>
          </w:tcPr>
          <w:p w14:paraId="1A843A3D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 (3.1)</w:t>
            </w:r>
          </w:p>
        </w:tc>
      </w:tr>
      <w:tr w:rsidR="00A87823" w:rsidRPr="00FE727F" w14:paraId="59252025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CCD66F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of Initial Symptom Onset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4B597C" w14:textId="77777777" w:rsidR="00A87823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Bulbar</w:t>
            </w:r>
          </w:p>
          <w:p w14:paraId="3DB4B8DF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Limb</w:t>
            </w:r>
          </w:p>
        </w:tc>
      </w:tr>
      <w:tr w:rsidR="00A87823" w:rsidRPr="00FE727F" w14:paraId="233CE4C9" w14:textId="77777777" w:rsidTr="00A150D4">
        <w:trPr>
          <w:jc w:val="center"/>
        </w:trPr>
        <w:tc>
          <w:tcPr>
            <w:tcW w:w="357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4F232E" w14:textId="77777777" w:rsidR="00A87823" w:rsidRPr="00FE727F" w:rsidRDefault="00A87823" w:rsidP="00A150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CNS-LS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</w:tcBorders>
          </w:tcPr>
          <w:p w14:paraId="77055939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23" w:rsidRPr="00FE727F" w14:paraId="19866B7E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7221A54B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(/35)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0FCF29E2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 (5.1)</w:t>
            </w:r>
          </w:p>
        </w:tc>
      </w:tr>
      <w:tr w:rsidR="00A87823" w:rsidRPr="00FE727F" w14:paraId="264ECE7C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54D67094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Laughter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(/20)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41A9B342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(2.5)</w:t>
            </w:r>
          </w:p>
        </w:tc>
      </w:tr>
      <w:tr w:rsidR="00A87823" w:rsidRPr="00FE727F" w14:paraId="4D31C5D7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385426EA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Crying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(/15)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0F65BDDF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 (2.9)</w:t>
            </w:r>
          </w:p>
        </w:tc>
      </w:tr>
      <w:tr w:rsidR="00A87823" w:rsidRPr="00FE727F" w14:paraId="3B77E495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097F9AEE" w14:textId="77777777" w:rsidR="00A87823" w:rsidRPr="00FE727F" w:rsidRDefault="00A87823" w:rsidP="00A150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-R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7F675D6C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23" w:rsidRPr="00FE727F" w14:paraId="307A63D7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0188F4C9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7E236F86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 (5.6)</w:t>
            </w:r>
          </w:p>
        </w:tc>
      </w:tr>
      <w:tr w:rsidR="00A87823" w:rsidRPr="00FE727F" w14:paraId="3389051E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6254ED5E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6F232D2D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 (5.6)</w:t>
            </w:r>
          </w:p>
        </w:tc>
      </w:tr>
      <w:tr w:rsidR="00A87823" w:rsidRPr="00FE727F" w14:paraId="3A69315D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2A962DC9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5E674259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90.3 (9.7)</w:t>
            </w:r>
          </w:p>
        </w:tc>
      </w:tr>
      <w:tr w:rsidR="00A87823" w:rsidRPr="00FE727F" w14:paraId="320F8200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70979F3D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Fluency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03C4DAEE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84.5 (14.4)</w:t>
            </w:r>
          </w:p>
        </w:tc>
      </w:tr>
      <w:tr w:rsidR="00A87823" w:rsidRPr="00FE727F" w14:paraId="764C4592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17FB13EB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1637D0A7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 (7.9)</w:t>
            </w:r>
          </w:p>
        </w:tc>
      </w:tr>
      <w:tr w:rsidR="00A87823" w:rsidRPr="00FE727F" w14:paraId="4EEA59D3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6715E700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Visuospatial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4E4BD9AB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97.5 (4.8)</w:t>
            </w:r>
          </w:p>
        </w:tc>
      </w:tr>
      <w:tr w:rsidR="00A87823" w:rsidRPr="00FE727F" w14:paraId="696C63CE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0F84D24A" w14:textId="77777777" w:rsidR="00A87823" w:rsidRPr="00FE727F" w:rsidRDefault="00A87823" w:rsidP="00A150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Verbal Fluency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7584242A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23" w:rsidRPr="00FE727F" w14:paraId="73B1DE8E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7E3DBC1C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Items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21667C0E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 (2.1)</w:t>
            </w:r>
          </w:p>
        </w:tc>
      </w:tr>
      <w:tr w:rsidR="00A87823" w:rsidRPr="00FE727F" w14:paraId="5065C660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09B3D3A4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Animals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52CAFD57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(1.2)</w:t>
            </w:r>
          </w:p>
        </w:tc>
      </w:tr>
      <w:tr w:rsidR="00A87823" w:rsidRPr="00FE727F" w14:paraId="3EB3E967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6B782D8F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Excluded Letter E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7C78BB3C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 (3)</w:t>
            </w:r>
          </w:p>
        </w:tc>
      </w:tr>
      <w:tr w:rsidR="00A87823" w:rsidRPr="00FE727F" w14:paraId="47D03CC2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170DF0F5" w14:textId="77777777" w:rsidR="00A87823" w:rsidRPr="00FE727F" w:rsidRDefault="00A87823" w:rsidP="00A150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Trail-making Test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0CE1A6FF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23" w:rsidRPr="00FE727F" w14:paraId="517768BD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1AB7BA31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156EA9DE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 (10.4)</w:t>
            </w:r>
          </w:p>
        </w:tc>
      </w:tr>
      <w:tr w:rsidR="00A87823" w:rsidRPr="00FE727F" w14:paraId="6ED79CA7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nil"/>
              <w:right w:val="single" w:sz="4" w:space="0" w:color="auto"/>
            </w:tcBorders>
          </w:tcPr>
          <w:p w14:paraId="6CF9F240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4BCF680D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80.5 (49.8)</w:t>
            </w:r>
          </w:p>
        </w:tc>
      </w:tr>
      <w:tr w:rsidR="00A87823" w:rsidRPr="00FE727F" w14:paraId="035B380F" w14:textId="77777777" w:rsidTr="00A150D4">
        <w:trPr>
          <w:jc w:val="center"/>
        </w:trPr>
        <w:tc>
          <w:tcPr>
            <w:tcW w:w="357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A19C04" w14:textId="77777777" w:rsidR="00A87823" w:rsidRPr="00FE727F" w:rsidRDefault="00A87823" w:rsidP="00A150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B-A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14:paraId="32EB2E47" w14:textId="77777777" w:rsidR="00A87823" w:rsidRPr="00FE727F" w:rsidRDefault="00A87823" w:rsidP="00A150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 (40.4)</w:t>
            </w:r>
          </w:p>
        </w:tc>
      </w:tr>
    </w:tbl>
    <w:p w14:paraId="5D8237E4" w14:textId="1F467AB6" w:rsidR="00BF6502" w:rsidRDefault="00A87823" w:rsidP="00A8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Center for Neurologic Study – Liability Scale (CNS-LS)</w:t>
      </w:r>
    </w:p>
    <w:p w14:paraId="6DDE619F" w14:textId="77777777" w:rsidR="00BF6502" w:rsidRDefault="00BF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0C86C6" w14:textId="039BD627" w:rsidR="00687A41" w:rsidRDefault="00BF6502" w:rsidP="00A8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D1485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94AF6">
        <w:rPr>
          <w:rFonts w:ascii="Times New Roman" w:hAnsi="Times New Roman" w:cs="Times New Roman"/>
          <w:sz w:val="24"/>
          <w:szCs w:val="24"/>
        </w:rPr>
        <w:t xml:space="preserve">Correlation between </w:t>
      </w:r>
      <w:r w:rsidR="00687A41">
        <w:rPr>
          <w:rFonts w:ascii="Times New Roman" w:hAnsi="Times New Roman" w:cs="Times New Roman"/>
          <w:sz w:val="24"/>
          <w:szCs w:val="24"/>
        </w:rPr>
        <w:t>mean diffusivity measures</w:t>
      </w:r>
      <w:r w:rsidR="00094AF6">
        <w:rPr>
          <w:rFonts w:ascii="Times New Roman" w:hAnsi="Times New Roman" w:cs="Times New Roman"/>
          <w:sz w:val="24"/>
          <w:szCs w:val="24"/>
        </w:rPr>
        <w:t xml:space="preserve"> of cerebellar peduncle</w:t>
      </w:r>
      <w:r w:rsidR="00687A41">
        <w:rPr>
          <w:rFonts w:ascii="Times New Roman" w:hAnsi="Times New Roman" w:cs="Times New Roman"/>
          <w:sz w:val="24"/>
          <w:szCs w:val="24"/>
        </w:rPr>
        <w:t xml:space="preserve"> integrity</w:t>
      </w:r>
      <w:r w:rsidR="00094AF6">
        <w:rPr>
          <w:rFonts w:ascii="Times New Roman" w:hAnsi="Times New Roman" w:cs="Times New Roman"/>
          <w:sz w:val="24"/>
          <w:szCs w:val="24"/>
        </w:rPr>
        <w:t xml:space="preserve"> and CNS-LS scores.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2411"/>
        <w:gridCol w:w="1560"/>
        <w:gridCol w:w="1277"/>
        <w:gridCol w:w="1080"/>
      </w:tblGrid>
      <w:tr w:rsidR="00E156DE" w14:paraId="6CE0356A" w14:textId="77777777" w:rsidTr="00E156DE">
        <w:tc>
          <w:tcPr>
            <w:tcW w:w="5000" w:type="pct"/>
            <w:gridSpan w:val="5"/>
          </w:tcPr>
          <w:p w14:paraId="0BF90FCF" w14:textId="21494E65" w:rsidR="00E156DE" w:rsidRPr="00E156DE" w:rsidRDefault="00E156DE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Fractional Anisotropy (FA)</w:t>
            </w:r>
          </w:p>
        </w:tc>
      </w:tr>
      <w:tr w:rsidR="00E156DE" w14:paraId="0EDDFCC4" w14:textId="77777777" w:rsidTr="00EB5655">
        <w:tc>
          <w:tcPr>
            <w:tcW w:w="1491" w:type="pct"/>
          </w:tcPr>
          <w:p w14:paraId="69202929" w14:textId="1E3E4D09" w:rsidR="00F21FB9" w:rsidRPr="00E156DE" w:rsidRDefault="00F21FB9" w:rsidP="00A87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CNS-LS Total Score</w:t>
            </w:r>
          </w:p>
        </w:tc>
        <w:tc>
          <w:tcPr>
            <w:tcW w:w="1337" w:type="pct"/>
          </w:tcPr>
          <w:p w14:paraId="11D80109" w14:textId="48FE838F" w:rsidR="00F21FB9" w:rsidRPr="00EB5655" w:rsidRDefault="00F21FB9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Cerebellar Peduncle</w:t>
            </w:r>
          </w:p>
        </w:tc>
        <w:tc>
          <w:tcPr>
            <w:tcW w:w="865" w:type="pct"/>
          </w:tcPr>
          <w:p w14:paraId="26AC6267" w14:textId="11517568" w:rsidR="00F21FB9" w:rsidRPr="00EB5655" w:rsidRDefault="00F21FB9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Hemisphere</w:t>
            </w:r>
          </w:p>
        </w:tc>
        <w:tc>
          <w:tcPr>
            <w:tcW w:w="708" w:type="pct"/>
          </w:tcPr>
          <w:p w14:paraId="3E47E2BC" w14:textId="61639A3F" w:rsidR="00F21FB9" w:rsidRPr="00EB5655" w:rsidRDefault="00F21FB9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9" w:type="pct"/>
          </w:tcPr>
          <w:p w14:paraId="66D20D8D" w14:textId="6783B57E" w:rsidR="00F21FB9" w:rsidRPr="00EB5655" w:rsidRDefault="00F21FB9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E156DE" w14:paraId="50E9F035" w14:textId="77777777" w:rsidTr="00EB5655">
        <w:tc>
          <w:tcPr>
            <w:tcW w:w="1491" w:type="pct"/>
          </w:tcPr>
          <w:p w14:paraId="753698AF" w14:textId="77777777" w:rsidR="00F21FB9" w:rsidRPr="00E156DE" w:rsidRDefault="00F21FB9" w:rsidP="00A87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4A8C553B" w14:textId="1C284446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04AE8264" w14:textId="4FCFF145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35CCF485" w14:textId="3009A137" w:rsidR="00F21FB9" w:rsidRPr="00CF2387" w:rsidRDefault="00AC2762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0.36</w:t>
            </w:r>
          </w:p>
        </w:tc>
        <w:tc>
          <w:tcPr>
            <w:tcW w:w="599" w:type="pct"/>
          </w:tcPr>
          <w:p w14:paraId="12CD6304" w14:textId="17BF0417" w:rsidR="00F21FB9" w:rsidRPr="00CF2387" w:rsidRDefault="00AC2762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A949CE"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156DE" w14:paraId="7D06241E" w14:textId="77777777" w:rsidTr="00EB5655">
        <w:tc>
          <w:tcPr>
            <w:tcW w:w="1491" w:type="pct"/>
          </w:tcPr>
          <w:p w14:paraId="08A31C8A" w14:textId="77777777" w:rsidR="00F21FB9" w:rsidRPr="00E156DE" w:rsidRDefault="00F21FB9" w:rsidP="00A87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748A836A" w14:textId="20840171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00E07CF0" w14:textId="03380D05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3F25A761" w14:textId="4A00CC99" w:rsidR="00F21FB9" w:rsidRPr="00CF2387" w:rsidRDefault="00AC2762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0.34</w:t>
            </w:r>
          </w:p>
        </w:tc>
        <w:tc>
          <w:tcPr>
            <w:tcW w:w="599" w:type="pct"/>
          </w:tcPr>
          <w:p w14:paraId="229303D1" w14:textId="160CABD1" w:rsidR="00F21FB9" w:rsidRPr="00CF2387" w:rsidRDefault="00AC2762" w:rsidP="00F2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A949CE"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156DE" w14:paraId="1B139047" w14:textId="77777777" w:rsidTr="00EB5655">
        <w:tc>
          <w:tcPr>
            <w:tcW w:w="1491" w:type="pct"/>
          </w:tcPr>
          <w:p w14:paraId="5026F67B" w14:textId="77777777" w:rsidR="00F21FB9" w:rsidRPr="00E156DE" w:rsidRDefault="00F21FB9" w:rsidP="00A87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01CAA8ED" w14:textId="03AF098C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865" w:type="pct"/>
          </w:tcPr>
          <w:p w14:paraId="56BF3036" w14:textId="08616F85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L/R</w:t>
            </w:r>
          </w:p>
        </w:tc>
        <w:tc>
          <w:tcPr>
            <w:tcW w:w="708" w:type="pct"/>
          </w:tcPr>
          <w:p w14:paraId="7FA97696" w14:textId="40BF9305" w:rsidR="00F21FB9" w:rsidRDefault="00AC2762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599" w:type="pct"/>
          </w:tcPr>
          <w:p w14:paraId="233749B6" w14:textId="4EC88633" w:rsidR="00F21FB9" w:rsidRDefault="00AC2762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E156DE" w14:paraId="41B407B9" w14:textId="77777777" w:rsidTr="00EB5655">
        <w:tc>
          <w:tcPr>
            <w:tcW w:w="1491" w:type="pct"/>
          </w:tcPr>
          <w:p w14:paraId="262AFE97" w14:textId="77777777" w:rsidR="00F21FB9" w:rsidRPr="00E156DE" w:rsidRDefault="00F21FB9" w:rsidP="00A87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5A759D54" w14:textId="3C3D8E8C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6D217B60" w14:textId="0CE659E9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3887063D" w14:textId="1255716A" w:rsidR="00F21FB9" w:rsidRDefault="00F9424F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99" w:type="pct"/>
          </w:tcPr>
          <w:p w14:paraId="2F072F72" w14:textId="45F8ACEB" w:rsidR="00F21FB9" w:rsidRDefault="00F9424F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E156DE" w14:paraId="0BEE14F9" w14:textId="77777777" w:rsidTr="00EB5655">
        <w:tc>
          <w:tcPr>
            <w:tcW w:w="1491" w:type="pct"/>
          </w:tcPr>
          <w:p w14:paraId="542BB180" w14:textId="77777777" w:rsidR="00F21FB9" w:rsidRPr="00E156DE" w:rsidRDefault="00F21FB9" w:rsidP="00A87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2B456467" w14:textId="56021A2A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20298249" w14:textId="29B290F4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7377ED34" w14:textId="288B32A3" w:rsidR="00F21FB9" w:rsidRDefault="00F9424F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599" w:type="pct"/>
          </w:tcPr>
          <w:p w14:paraId="5AD3D70E" w14:textId="2D7E1415" w:rsidR="00F21FB9" w:rsidRDefault="00F9424F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E156DE" w14:paraId="6B1A4051" w14:textId="77777777" w:rsidTr="00EB5655">
        <w:tc>
          <w:tcPr>
            <w:tcW w:w="1491" w:type="pct"/>
          </w:tcPr>
          <w:p w14:paraId="585F8D05" w14:textId="07D1B2B5" w:rsidR="00F21FB9" w:rsidRPr="00E156DE" w:rsidRDefault="00F21FB9" w:rsidP="00A87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CNS-LS Laughter Score</w:t>
            </w:r>
          </w:p>
        </w:tc>
        <w:tc>
          <w:tcPr>
            <w:tcW w:w="1337" w:type="pct"/>
          </w:tcPr>
          <w:p w14:paraId="64B1E5D6" w14:textId="77777777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17CB2799" w14:textId="77777777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7BADECA" w14:textId="7646FA83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701CCCB" w14:textId="77777777" w:rsidR="00F21FB9" w:rsidRDefault="00F21FB9" w:rsidP="00F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DE" w14:paraId="6645F8BD" w14:textId="77777777" w:rsidTr="00EB5655">
        <w:tc>
          <w:tcPr>
            <w:tcW w:w="1491" w:type="pct"/>
          </w:tcPr>
          <w:p w14:paraId="5861AD1E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363B2B98" w14:textId="43FFE102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17043BF1" w14:textId="4A67D062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187C383D" w14:textId="5408FDEB" w:rsidR="00EB6273" w:rsidRPr="00CF2387" w:rsidRDefault="00EB6273" w:rsidP="00EB6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0.44</w:t>
            </w:r>
          </w:p>
        </w:tc>
        <w:tc>
          <w:tcPr>
            <w:tcW w:w="599" w:type="pct"/>
          </w:tcPr>
          <w:p w14:paraId="70862BA9" w14:textId="1BE58915" w:rsidR="00EB6273" w:rsidRPr="00CF2387" w:rsidRDefault="00EB6273" w:rsidP="00EB6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&lt;0.01</w:t>
            </w:r>
            <w:r w:rsid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156DE" w14:paraId="09B082FB" w14:textId="77777777" w:rsidTr="00EB5655">
        <w:tc>
          <w:tcPr>
            <w:tcW w:w="1491" w:type="pct"/>
          </w:tcPr>
          <w:p w14:paraId="0A72E9DE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7582AAFC" w14:textId="539D9586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30E66E5F" w14:textId="5F7E1450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132510D9" w14:textId="38A8C97D" w:rsidR="00EB6273" w:rsidRPr="00CF2387" w:rsidRDefault="00EB6273" w:rsidP="00EB6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0.44</w:t>
            </w:r>
          </w:p>
        </w:tc>
        <w:tc>
          <w:tcPr>
            <w:tcW w:w="599" w:type="pct"/>
          </w:tcPr>
          <w:p w14:paraId="1004229C" w14:textId="4FC8BC73" w:rsidR="00EB6273" w:rsidRPr="00CF2387" w:rsidRDefault="00EB6273" w:rsidP="00EB6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&lt;0.01</w:t>
            </w:r>
            <w:r w:rsidR="00CF2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156DE" w14:paraId="4DD8A479" w14:textId="77777777" w:rsidTr="00EB5655">
        <w:tc>
          <w:tcPr>
            <w:tcW w:w="1491" w:type="pct"/>
          </w:tcPr>
          <w:p w14:paraId="7B78A28D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5E00E7A4" w14:textId="0B2A9CFD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865" w:type="pct"/>
          </w:tcPr>
          <w:p w14:paraId="63C3787C" w14:textId="57D58683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L/R</w:t>
            </w:r>
          </w:p>
        </w:tc>
        <w:tc>
          <w:tcPr>
            <w:tcW w:w="708" w:type="pct"/>
          </w:tcPr>
          <w:p w14:paraId="5CF21B31" w14:textId="009DA7A3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99" w:type="pct"/>
          </w:tcPr>
          <w:p w14:paraId="4F0A0117" w14:textId="3B34BECE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E156DE" w14:paraId="49C40F80" w14:textId="77777777" w:rsidTr="00EB5655">
        <w:tc>
          <w:tcPr>
            <w:tcW w:w="1491" w:type="pct"/>
          </w:tcPr>
          <w:p w14:paraId="1A3886D9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0599FCF1" w14:textId="019387C8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7F894F50" w14:textId="13CCB4D0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51B49EE1" w14:textId="29B16DE1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599" w:type="pct"/>
          </w:tcPr>
          <w:p w14:paraId="19401075" w14:textId="6418FC9E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E156DE" w14:paraId="55E8B6CA" w14:textId="77777777" w:rsidTr="00EB5655">
        <w:tc>
          <w:tcPr>
            <w:tcW w:w="1491" w:type="pct"/>
          </w:tcPr>
          <w:p w14:paraId="639E07C1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409C5706" w14:textId="5BB94251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48C347D6" w14:textId="6D31FC95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06A7C199" w14:textId="69CFD907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599" w:type="pct"/>
          </w:tcPr>
          <w:p w14:paraId="6CBAD0CA" w14:textId="0DDA1FA3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E156DE" w14:paraId="4830762E" w14:textId="77777777" w:rsidTr="00EB5655">
        <w:tc>
          <w:tcPr>
            <w:tcW w:w="1491" w:type="pct"/>
          </w:tcPr>
          <w:p w14:paraId="3E519039" w14:textId="568CBA40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CNS-LS Crying Score</w:t>
            </w:r>
          </w:p>
        </w:tc>
        <w:tc>
          <w:tcPr>
            <w:tcW w:w="1337" w:type="pct"/>
          </w:tcPr>
          <w:p w14:paraId="5A16AA6E" w14:textId="77777777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329521FE" w14:textId="77777777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E45D38F" w14:textId="54EE47BF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77D1D6F5" w14:textId="77777777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DE" w14:paraId="5AE40566" w14:textId="77777777" w:rsidTr="00EB5655">
        <w:tc>
          <w:tcPr>
            <w:tcW w:w="1491" w:type="pct"/>
          </w:tcPr>
          <w:p w14:paraId="353CD926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7A6346DD" w14:textId="12C52A55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4DA2981A" w14:textId="30F5CC5B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71B1F52F" w14:textId="7C258A79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599" w:type="pct"/>
          </w:tcPr>
          <w:p w14:paraId="531800D0" w14:textId="2C28BB42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E156DE" w14:paraId="28395495" w14:textId="77777777" w:rsidTr="00EB5655">
        <w:tc>
          <w:tcPr>
            <w:tcW w:w="1491" w:type="pct"/>
          </w:tcPr>
          <w:p w14:paraId="056C2292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2076E227" w14:textId="3A6E95A5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0BCEC4F8" w14:textId="3F6FB9A7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1667068F" w14:textId="56928DD2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599" w:type="pct"/>
          </w:tcPr>
          <w:p w14:paraId="097352BA" w14:textId="4EEF402F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E156DE" w14:paraId="7482AA40" w14:textId="77777777" w:rsidTr="00EB5655">
        <w:tc>
          <w:tcPr>
            <w:tcW w:w="1491" w:type="pct"/>
          </w:tcPr>
          <w:p w14:paraId="2CCAF9D1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01DEA1D1" w14:textId="53CA3F74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865" w:type="pct"/>
          </w:tcPr>
          <w:p w14:paraId="54F28F10" w14:textId="7BE1014F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L/R</w:t>
            </w:r>
          </w:p>
        </w:tc>
        <w:tc>
          <w:tcPr>
            <w:tcW w:w="708" w:type="pct"/>
          </w:tcPr>
          <w:p w14:paraId="7867453C" w14:textId="36CFBBDF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599" w:type="pct"/>
          </w:tcPr>
          <w:p w14:paraId="2CD7F945" w14:textId="71AE443D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E156DE" w14:paraId="452B452D" w14:textId="77777777" w:rsidTr="00EB5655">
        <w:tc>
          <w:tcPr>
            <w:tcW w:w="1491" w:type="pct"/>
          </w:tcPr>
          <w:p w14:paraId="3AE4EB9B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7B2F6A87" w14:textId="2809B926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6516B959" w14:textId="1810AC91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33D1725C" w14:textId="49A6D3A3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599" w:type="pct"/>
          </w:tcPr>
          <w:p w14:paraId="051D03E6" w14:textId="2DD7D789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E156DE" w14:paraId="6F0A5399" w14:textId="77777777" w:rsidTr="00EB5655">
        <w:tc>
          <w:tcPr>
            <w:tcW w:w="1491" w:type="pct"/>
          </w:tcPr>
          <w:p w14:paraId="59FE9EE9" w14:textId="77777777" w:rsidR="00EB6273" w:rsidRPr="00E156DE" w:rsidRDefault="00EB6273" w:rsidP="00EB6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18232863" w14:textId="7A36086B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17D12C58" w14:textId="05EDEA2F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4E9EDF4B" w14:textId="54BF937A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599" w:type="pct"/>
          </w:tcPr>
          <w:p w14:paraId="3FE92A58" w14:textId="71747231" w:rsidR="00EB6273" w:rsidRDefault="00EB6273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EB5655" w14:paraId="52811B57" w14:textId="77777777" w:rsidTr="00EB5655">
        <w:tc>
          <w:tcPr>
            <w:tcW w:w="5000" w:type="pct"/>
            <w:gridSpan w:val="5"/>
          </w:tcPr>
          <w:p w14:paraId="1DDD6BE6" w14:textId="1C5CC3AC" w:rsidR="00EB5655" w:rsidRDefault="00EB5655" w:rsidP="00E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Radial</w:t>
            </w: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Diffusivity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</w:tr>
      <w:tr w:rsidR="00EB5655" w14:paraId="22E379D3" w14:textId="77777777" w:rsidTr="00EB5655">
        <w:tc>
          <w:tcPr>
            <w:tcW w:w="1491" w:type="pct"/>
          </w:tcPr>
          <w:p w14:paraId="1BD60E17" w14:textId="7D9E2A3F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CNS-LS Total Score</w:t>
            </w:r>
          </w:p>
        </w:tc>
        <w:tc>
          <w:tcPr>
            <w:tcW w:w="1337" w:type="pct"/>
          </w:tcPr>
          <w:p w14:paraId="7DE745A5" w14:textId="37C7B8B6" w:rsidR="00E156DE" w:rsidRPr="00EB5655" w:rsidRDefault="00E156DE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Cerebellar Peduncle</w:t>
            </w:r>
          </w:p>
        </w:tc>
        <w:tc>
          <w:tcPr>
            <w:tcW w:w="865" w:type="pct"/>
          </w:tcPr>
          <w:p w14:paraId="2C67BB1C" w14:textId="0405E17B" w:rsidR="00E156DE" w:rsidRPr="00EB5655" w:rsidRDefault="00E156DE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Hemisphere</w:t>
            </w:r>
          </w:p>
        </w:tc>
        <w:tc>
          <w:tcPr>
            <w:tcW w:w="708" w:type="pct"/>
          </w:tcPr>
          <w:p w14:paraId="2281F7DE" w14:textId="70A7EA79" w:rsidR="00E156DE" w:rsidRPr="00EB5655" w:rsidRDefault="00E156DE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9" w:type="pct"/>
          </w:tcPr>
          <w:p w14:paraId="6F0EB931" w14:textId="74DB0609" w:rsidR="00E156DE" w:rsidRPr="00EB5655" w:rsidRDefault="00E156DE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EB5655" w14:paraId="66367C37" w14:textId="77777777" w:rsidTr="00EB5655">
        <w:tc>
          <w:tcPr>
            <w:tcW w:w="1491" w:type="pct"/>
          </w:tcPr>
          <w:p w14:paraId="20593C6F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1A7043BF" w14:textId="53483068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5FE3AC8F" w14:textId="1375EB3D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3C5FD04D" w14:textId="091D10BF" w:rsidR="00E156DE" w:rsidRPr="00E81E74" w:rsidRDefault="00E81E74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0.52</w:t>
            </w:r>
          </w:p>
        </w:tc>
        <w:tc>
          <w:tcPr>
            <w:tcW w:w="599" w:type="pct"/>
          </w:tcPr>
          <w:p w14:paraId="42C6F875" w14:textId="7F6769F4" w:rsidR="00E156DE" w:rsidRPr="00E81E74" w:rsidRDefault="00E81E74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&lt;0.01*</w:t>
            </w:r>
          </w:p>
        </w:tc>
      </w:tr>
      <w:tr w:rsidR="00EB5655" w14:paraId="6D6ECE02" w14:textId="77777777" w:rsidTr="00EB5655">
        <w:tc>
          <w:tcPr>
            <w:tcW w:w="1491" w:type="pct"/>
          </w:tcPr>
          <w:p w14:paraId="5F60B215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1B9CBB01" w14:textId="4EE22134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66BED400" w14:textId="5420B91B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41D7FE82" w14:textId="106DB851" w:rsidR="00E156DE" w:rsidRPr="00E81E74" w:rsidRDefault="00E81E74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0.59</w:t>
            </w:r>
          </w:p>
        </w:tc>
        <w:tc>
          <w:tcPr>
            <w:tcW w:w="599" w:type="pct"/>
          </w:tcPr>
          <w:p w14:paraId="164B9A65" w14:textId="526C8049" w:rsidR="00E156DE" w:rsidRPr="00E81E74" w:rsidRDefault="00E81E74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&lt;0.01*</w:t>
            </w:r>
          </w:p>
        </w:tc>
      </w:tr>
      <w:tr w:rsidR="00EB5655" w14:paraId="60EE7E4D" w14:textId="77777777" w:rsidTr="00EB5655">
        <w:tc>
          <w:tcPr>
            <w:tcW w:w="1491" w:type="pct"/>
          </w:tcPr>
          <w:p w14:paraId="6F4153F3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383E8950" w14:textId="387029D0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865" w:type="pct"/>
          </w:tcPr>
          <w:p w14:paraId="52269B9A" w14:textId="4200E23C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L/R</w:t>
            </w:r>
          </w:p>
        </w:tc>
        <w:tc>
          <w:tcPr>
            <w:tcW w:w="708" w:type="pct"/>
          </w:tcPr>
          <w:p w14:paraId="2E2C3F1C" w14:textId="39C9B2B0" w:rsidR="00E156DE" w:rsidRPr="00A949CE" w:rsidRDefault="00A949C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C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99" w:type="pct"/>
          </w:tcPr>
          <w:p w14:paraId="727DD8AE" w14:textId="7BF075DB" w:rsidR="00E156DE" w:rsidRPr="00A949CE" w:rsidRDefault="00A949C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EB5655" w14:paraId="5FA559FA" w14:textId="77777777" w:rsidTr="00EB5655">
        <w:tc>
          <w:tcPr>
            <w:tcW w:w="1491" w:type="pct"/>
          </w:tcPr>
          <w:p w14:paraId="543EDFA5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0B168FE4" w14:textId="6579AA8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7B9AD439" w14:textId="078FEDAA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7DCC89F6" w14:textId="59C63C06" w:rsidR="00E156DE" w:rsidRPr="00A949CE" w:rsidRDefault="00E81E7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99" w:type="pct"/>
          </w:tcPr>
          <w:p w14:paraId="2AD59AEE" w14:textId="61E1A2F5" w:rsidR="00E156DE" w:rsidRPr="00A949CE" w:rsidRDefault="00E81E7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EB5655" w14:paraId="59703DBF" w14:textId="77777777" w:rsidTr="00EB5655">
        <w:tc>
          <w:tcPr>
            <w:tcW w:w="1491" w:type="pct"/>
          </w:tcPr>
          <w:p w14:paraId="10FECB4E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19CA18EC" w14:textId="41FDB9AE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792AE84D" w14:textId="3DC922A6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7E1ED89E" w14:textId="0EEF6084" w:rsidR="00E156DE" w:rsidRPr="00A949CE" w:rsidRDefault="00E81E7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599" w:type="pct"/>
          </w:tcPr>
          <w:p w14:paraId="00690EFA" w14:textId="172F5C6B" w:rsidR="00E156DE" w:rsidRPr="00A949CE" w:rsidRDefault="00E81E7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EB5655" w14:paraId="4873DF15" w14:textId="77777777" w:rsidTr="00EB5655">
        <w:tc>
          <w:tcPr>
            <w:tcW w:w="1491" w:type="pct"/>
          </w:tcPr>
          <w:p w14:paraId="2E0264EE" w14:textId="2041F5A8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CNS-LS Laughter Score</w:t>
            </w:r>
          </w:p>
        </w:tc>
        <w:tc>
          <w:tcPr>
            <w:tcW w:w="1337" w:type="pct"/>
          </w:tcPr>
          <w:p w14:paraId="2CE6BBFB" w14:textId="7777777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2AC64488" w14:textId="7777777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33FDFAA" w14:textId="77777777" w:rsidR="00E156DE" w:rsidRPr="00A949C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14743076" w14:textId="77777777" w:rsidR="00E156DE" w:rsidRPr="00A949C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55" w14:paraId="34A0F285" w14:textId="77777777" w:rsidTr="00EB5655">
        <w:tc>
          <w:tcPr>
            <w:tcW w:w="1491" w:type="pct"/>
          </w:tcPr>
          <w:p w14:paraId="140BB551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2037A17F" w14:textId="1D84ADE3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113B3A0A" w14:textId="060FA194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282E4E40" w14:textId="42C6D45F" w:rsidR="00E156DE" w:rsidRPr="00531BC0" w:rsidRDefault="00531BC0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0.48</w:t>
            </w:r>
          </w:p>
        </w:tc>
        <w:tc>
          <w:tcPr>
            <w:tcW w:w="599" w:type="pct"/>
          </w:tcPr>
          <w:p w14:paraId="137CC512" w14:textId="37D178C7" w:rsidR="00E156DE" w:rsidRPr="00531BC0" w:rsidRDefault="00531BC0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&lt;0.01*</w:t>
            </w:r>
          </w:p>
        </w:tc>
      </w:tr>
      <w:tr w:rsidR="00EB5655" w14:paraId="00BD9AE9" w14:textId="77777777" w:rsidTr="00EB5655">
        <w:tc>
          <w:tcPr>
            <w:tcW w:w="1491" w:type="pct"/>
          </w:tcPr>
          <w:p w14:paraId="13788B43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128343A3" w14:textId="04EC86FC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50C683D4" w14:textId="010316B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6ABC3E05" w14:textId="561C2EFD" w:rsidR="00E156DE" w:rsidRPr="00531BC0" w:rsidRDefault="00531BC0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0.54</w:t>
            </w:r>
          </w:p>
        </w:tc>
        <w:tc>
          <w:tcPr>
            <w:tcW w:w="599" w:type="pct"/>
          </w:tcPr>
          <w:p w14:paraId="52A43622" w14:textId="7A132BDA" w:rsidR="00E156DE" w:rsidRPr="00531BC0" w:rsidRDefault="00531BC0" w:rsidP="00E1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&lt;0.01*</w:t>
            </w:r>
          </w:p>
        </w:tc>
      </w:tr>
      <w:tr w:rsidR="00EB5655" w14:paraId="599CDE1C" w14:textId="77777777" w:rsidTr="00EB5655">
        <w:tc>
          <w:tcPr>
            <w:tcW w:w="1491" w:type="pct"/>
          </w:tcPr>
          <w:p w14:paraId="5A4F9CE6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3B430C01" w14:textId="7201AE69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865" w:type="pct"/>
          </w:tcPr>
          <w:p w14:paraId="16306426" w14:textId="458CF4F8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L/R</w:t>
            </w:r>
          </w:p>
        </w:tc>
        <w:tc>
          <w:tcPr>
            <w:tcW w:w="708" w:type="pct"/>
          </w:tcPr>
          <w:p w14:paraId="597EBADA" w14:textId="4AEF560B" w:rsidR="00E156DE" w:rsidRPr="00A949CE" w:rsidRDefault="00531BC0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599" w:type="pct"/>
          </w:tcPr>
          <w:p w14:paraId="6DD32E1C" w14:textId="3DCCE74A" w:rsidR="00E156DE" w:rsidRPr="00A949CE" w:rsidRDefault="00531BC0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EB5655" w14:paraId="54CAB72E" w14:textId="77777777" w:rsidTr="00EB5655">
        <w:tc>
          <w:tcPr>
            <w:tcW w:w="1491" w:type="pct"/>
          </w:tcPr>
          <w:p w14:paraId="0AEE0B2C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692F425E" w14:textId="7FE25259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5511F081" w14:textId="287E1D1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2C447555" w14:textId="640DF79E" w:rsidR="00E156DE" w:rsidRPr="00A949CE" w:rsidRDefault="003D48B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599" w:type="pct"/>
          </w:tcPr>
          <w:p w14:paraId="59560A01" w14:textId="5685BCA2" w:rsidR="00E156DE" w:rsidRPr="00A949CE" w:rsidRDefault="003D48B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EB5655" w14:paraId="2660ADF6" w14:textId="77777777" w:rsidTr="00EB5655">
        <w:tc>
          <w:tcPr>
            <w:tcW w:w="1491" w:type="pct"/>
          </w:tcPr>
          <w:p w14:paraId="10169EB4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4ED307B4" w14:textId="65FE837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10DB5398" w14:textId="700668E9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4922A178" w14:textId="3F08751B" w:rsidR="00E156DE" w:rsidRPr="00A949CE" w:rsidRDefault="003D48B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99" w:type="pct"/>
          </w:tcPr>
          <w:p w14:paraId="50995BB9" w14:textId="2AE50823" w:rsidR="00E156DE" w:rsidRPr="00A949CE" w:rsidRDefault="003D48B4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EB5655" w14:paraId="11B4733C" w14:textId="77777777" w:rsidTr="00EB5655">
        <w:tc>
          <w:tcPr>
            <w:tcW w:w="1491" w:type="pct"/>
          </w:tcPr>
          <w:p w14:paraId="73302DE3" w14:textId="52B5866F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CNS-LS Crying Score</w:t>
            </w:r>
          </w:p>
        </w:tc>
        <w:tc>
          <w:tcPr>
            <w:tcW w:w="1337" w:type="pct"/>
          </w:tcPr>
          <w:p w14:paraId="1A5D5175" w14:textId="7777777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090AAFE0" w14:textId="7777777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A09EAF4" w14:textId="77777777" w:rsidR="00E156DE" w:rsidRPr="00A949C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98796E3" w14:textId="77777777" w:rsidR="00E156DE" w:rsidRPr="00A949C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55" w14:paraId="285E506F" w14:textId="77777777" w:rsidTr="00EB5655">
        <w:tc>
          <w:tcPr>
            <w:tcW w:w="1491" w:type="pct"/>
          </w:tcPr>
          <w:p w14:paraId="53F48446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66834F9D" w14:textId="45407888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5692203C" w14:textId="555CDAD0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3EEB94B5" w14:textId="5D54BC5F" w:rsidR="00E156DE" w:rsidRPr="00445FC9" w:rsidRDefault="00E81A89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45F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9" w:type="pct"/>
          </w:tcPr>
          <w:p w14:paraId="6EB4C7B5" w14:textId="145D9ECD" w:rsidR="00E156DE" w:rsidRPr="00445FC9" w:rsidRDefault="00E81A89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45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5655" w14:paraId="380F76EB" w14:textId="77777777" w:rsidTr="00EB5655">
        <w:tc>
          <w:tcPr>
            <w:tcW w:w="1491" w:type="pct"/>
          </w:tcPr>
          <w:p w14:paraId="1E3670B4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298E6E54" w14:textId="4451DBBB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65" w:type="pct"/>
          </w:tcPr>
          <w:p w14:paraId="582B4430" w14:textId="13675DEB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0EE3BDB5" w14:textId="749B7166" w:rsidR="00E156DE" w:rsidRPr="00445FC9" w:rsidRDefault="00E81A89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45F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" w:type="pct"/>
          </w:tcPr>
          <w:p w14:paraId="51F17B2E" w14:textId="1655DADF" w:rsidR="00E156DE" w:rsidRPr="00445FC9" w:rsidRDefault="00445FC9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EB5655" w14:paraId="5A207CF7" w14:textId="77777777" w:rsidTr="00EB5655">
        <w:tc>
          <w:tcPr>
            <w:tcW w:w="1491" w:type="pct"/>
          </w:tcPr>
          <w:p w14:paraId="7ABE866F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7A384489" w14:textId="2B66FC87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865" w:type="pct"/>
          </w:tcPr>
          <w:p w14:paraId="5BAA317B" w14:textId="28F296FE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L/R</w:t>
            </w:r>
          </w:p>
        </w:tc>
        <w:tc>
          <w:tcPr>
            <w:tcW w:w="708" w:type="pct"/>
          </w:tcPr>
          <w:p w14:paraId="2B392350" w14:textId="2BEEA012" w:rsidR="00E156DE" w:rsidRPr="00A949CE" w:rsidRDefault="00F67CE2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599" w:type="pct"/>
          </w:tcPr>
          <w:p w14:paraId="4A0C6F8E" w14:textId="0348C894" w:rsidR="00E156DE" w:rsidRPr="00A949CE" w:rsidRDefault="00F67CE2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EB5655" w14:paraId="34DE1AFC" w14:textId="77777777" w:rsidTr="00EB5655">
        <w:tc>
          <w:tcPr>
            <w:tcW w:w="1491" w:type="pct"/>
          </w:tcPr>
          <w:p w14:paraId="59B8D20A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225EB4A2" w14:textId="47BE0199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26446D04" w14:textId="5F50326E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pct"/>
          </w:tcPr>
          <w:p w14:paraId="2A16F4D7" w14:textId="29949739" w:rsidR="00E156DE" w:rsidRPr="00A949CE" w:rsidRDefault="00A74A23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599" w:type="pct"/>
          </w:tcPr>
          <w:p w14:paraId="4DBBB365" w14:textId="500EF82F" w:rsidR="00E156DE" w:rsidRPr="00A949CE" w:rsidRDefault="00A74A23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EB5655" w14:paraId="416CAD93" w14:textId="77777777" w:rsidTr="00EB5655">
        <w:tc>
          <w:tcPr>
            <w:tcW w:w="1491" w:type="pct"/>
          </w:tcPr>
          <w:p w14:paraId="0794A89E" w14:textId="77777777" w:rsidR="00E156DE" w:rsidRPr="00E156DE" w:rsidRDefault="00E156DE" w:rsidP="00E15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6D157A2E" w14:textId="014BA5DD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865" w:type="pct"/>
          </w:tcPr>
          <w:p w14:paraId="6BFD2D2C" w14:textId="4E26D15F" w:rsidR="00E156DE" w:rsidRDefault="00E156DE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pct"/>
          </w:tcPr>
          <w:p w14:paraId="6ABAD191" w14:textId="27F78787" w:rsidR="00E156DE" w:rsidRPr="00A949CE" w:rsidRDefault="00A74A23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599" w:type="pct"/>
          </w:tcPr>
          <w:p w14:paraId="1C0686C3" w14:textId="434DF64C" w:rsidR="00E156DE" w:rsidRPr="00A949CE" w:rsidRDefault="00A74A23" w:rsidP="00E1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</w:tbl>
    <w:p w14:paraId="67A7189E" w14:textId="5F61BB0A" w:rsidR="00A87823" w:rsidRDefault="00A949CE" w:rsidP="00917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*Significant at Bonferroni-corrected threshold, p=0.01</w:t>
      </w:r>
    </w:p>
    <w:sectPr w:rsidR="00A87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s9pxwt59tp2pcexaxnp2fxn0vtvtwx9xfaa&quot;&gt;My EndNote Library-recovered&lt;record-ids&gt;&lt;item&gt;174&lt;/item&gt;&lt;item&gt;405&lt;/item&gt;&lt;item&gt;479&lt;/item&gt;&lt;/record-ids&gt;&lt;/item&gt;&lt;/Libraries&gt;"/>
  </w:docVars>
  <w:rsids>
    <w:rsidRoot w:val="00A87823"/>
    <w:rsid w:val="00047BCD"/>
    <w:rsid w:val="00094AF6"/>
    <w:rsid w:val="002538C4"/>
    <w:rsid w:val="002558E7"/>
    <w:rsid w:val="003D48B4"/>
    <w:rsid w:val="003E4E4F"/>
    <w:rsid w:val="003E7A2C"/>
    <w:rsid w:val="00423B16"/>
    <w:rsid w:val="00426AA6"/>
    <w:rsid w:val="00436414"/>
    <w:rsid w:val="00445FC9"/>
    <w:rsid w:val="00452EAB"/>
    <w:rsid w:val="004950D6"/>
    <w:rsid w:val="00531BC0"/>
    <w:rsid w:val="005F2745"/>
    <w:rsid w:val="00615551"/>
    <w:rsid w:val="00687A41"/>
    <w:rsid w:val="006E1D9E"/>
    <w:rsid w:val="0073037F"/>
    <w:rsid w:val="00777A7A"/>
    <w:rsid w:val="00787418"/>
    <w:rsid w:val="0083629F"/>
    <w:rsid w:val="008909D1"/>
    <w:rsid w:val="0091792D"/>
    <w:rsid w:val="0095318E"/>
    <w:rsid w:val="009A3ABC"/>
    <w:rsid w:val="009C4B70"/>
    <w:rsid w:val="00A74A23"/>
    <w:rsid w:val="00A87823"/>
    <w:rsid w:val="00A949CE"/>
    <w:rsid w:val="00AC2727"/>
    <w:rsid w:val="00AC2762"/>
    <w:rsid w:val="00AC48F3"/>
    <w:rsid w:val="00B80212"/>
    <w:rsid w:val="00BF6502"/>
    <w:rsid w:val="00C33ED1"/>
    <w:rsid w:val="00C42B9E"/>
    <w:rsid w:val="00C60957"/>
    <w:rsid w:val="00C94C69"/>
    <w:rsid w:val="00CF2387"/>
    <w:rsid w:val="00D1485D"/>
    <w:rsid w:val="00D555B9"/>
    <w:rsid w:val="00DA6133"/>
    <w:rsid w:val="00E156DE"/>
    <w:rsid w:val="00E81A89"/>
    <w:rsid w:val="00E81E74"/>
    <w:rsid w:val="00EB5655"/>
    <w:rsid w:val="00EB6273"/>
    <w:rsid w:val="00F21FB9"/>
    <w:rsid w:val="00F67CE2"/>
    <w:rsid w:val="00F717BA"/>
    <w:rsid w:val="00F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6061"/>
  <w15:chartTrackingRefBased/>
  <w15:docId w15:val="{808BA40A-8E97-4A43-9CAB-28A803E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42B9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2B9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42B9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2B9E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61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1351</Words>
  <Characters>8352</Characters>
  <Application>Microsoft Office Word</Application>
  <DocSecurity>0</DocSecurity>
  <Lines>189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Sicong Tu</dc:creator>
  <cp:keywords/>
  <dc:description/>
  <cp:lastModifiedBy>Sicong Tu</cp:lastModifiedBy>
  <cp:revision>49</cp:revision>
  <dcterms:created xsi:type="dcterms:W3CDTF">2021-05-01T10:57:00Z</dcterms:created>
  <dcterms:modified xsi:type="dcterms:W3CDTF">2021-06-11T03:26:00Z</dcterms:modified>
</cp:coreProperties>
</file>