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D31BAA" w14:textId="77777777" w:rsidR="00EA5AD9" w:rsidRDefault="00701810">
      <w:pPr>
        <w:pStyle w:val="SupplementaryMaterial"/>
        <w:rPr>
          <w:b w:val="0"/>
        </w:rPr>
      </w:pPr>
      <w:r>
        <w:t>Supplementary Material</w:t>
      </w:r>
    </w:p>
    <w:p w14:paraId="55D94F1A" w14:textId="77777777" w:rsidR="00EA5AD9" w:rsidRDefault="00701810">
      <w:pPr>
        <w:pStyle w:val="Heading1"/>
      </w:pPr>
      <w:r>
        <w:rPr>
          <w:rFonts w:hint="eastAsia"/>
        </w:rPr>
        <w:t>Supplementary Methods</w:t>
      </w:r>
    </w:p>
    <w:p w14:paraId="0CBC8C83" w14:textId="77777777" w:rsidR="00EA5AD9" w:rsidRDefault="00701810">
      <w:pPr>
        <w:pStyle w:val="Heading2"/>
      </w:pPr>
      <w:r>
        <w:rPr>
          <w:rFonts w:hint="eastAsia"/>
        </w:rPr>
        <w:t>DNA extraction and library construction</w:t>
      </w:r>
    </w:p>
    <w:p w14:paraId="38673EEE" w14:textId="77777777" w:rsidR="00EA5AD9" w:rsidRDefault="00701810">
      <w:pPr>
        <w:jc w:val="both"/>
        <w:rPr>
          <w:rFonts w:cs="Times New Roman"/>
          <w:szCs w:val="24"/>
        </w:rPr>
      </w:pPr>
      <w:r>
        <w:rPr>
          <w:rFonts w:cs="Times New Roman" w:hint="eastAsia"/>
          <w:szCs w:val="24"/>
        </w:rPr>
        <w:t xml:space="preserve">Fresh feces were collected by participants themselves at Guangdong Hospital of Chinese Medicine and sent to the laboratory immediately, and stored at -20 </w:t>
      </w:r>
      <w:r>
        <w:rPr>
          <w:rFonts w:cs="Times New Roman" w:hint="eastAsia"/>
          <w:szCs w:val="24"/>
        </w:rPr>
        <w:t>°</w:t>
      </w:r>
      <w:r>
        <w:rPr>
          <w:rFonts w:cs="Times New Roman" w:hint="eastAsia"/>
          <w:szCs w:val="24"/>
        </w:rPr>
        <w:t xml:space="preserve">C until </w:t>
      </w:r>
      <w:r>
        <w:rPr>
          <w:rFonts w:cs="Times New Roman" w:hint="eastAsia"/>
          <w:szCs w:val="24"/>
        </w:rPr>
        <w:t xml:space="preserve">transport. After transport on dry ice, fecal samples were stored at -80 </w:t>
      </w:r>
      <w:r>
        <w:rPr>
          <w:rFonts w:cs="Times New Roman" w:hint="eastAsia"/>
          <w:szCs w:val="24"/>
        </w:rPr>
        <w:t>°</w:t>
      </w:r>
      <w:r>
        <w:rPr>
          <w:rFonts w:cs="Times New Roman" w:hint="eastAsia"/>
          <w:szCs w:val="24"/>
        </w:rPr>
        <w:t xml:space="preserve">C until DNA extraction. Total bacterial DNA from each fecal sample was extracted from ~200 mg of stool with the </w:t>
      </w:r>
      <w:proofErr w:type="spellStart"/>
      <w:r>
        <w:rPr>
          <w:rFonts w:cs="Times New Roman" w:hint="eastAsia"/>
          <w:szCs w:val="24"/>
        </w:rPr>
        <w:t>NucleoSpin</w:t>
      </w:r>
      <w:proofErr w:type="spellEnd"/>
      <w:r>
        <w:rPr>
          <w:rFonts w:cs="Times New Roman" w:hint="eastAsia"/>
          <w:szCs w:val="24"/>
        </w:rPr>
        <w:t>® Soil kit (</w:t>
      </w:r>
      <w:proofErr w:type="spellStart"/>
      <w:r>
        <w:rPr>
          <w:rFonts w:cs="Times New Roman" w:hint="eastAsia"/>
          <w:szCs w:val="24"/>
        </w:rPr>
        <w:t>Macherey</w:t>
      </w:r>
      <w:proofErr w:type="spellEnd"/>
      <w:r>
        <w:rPr>
          <w:rFonts w:cs="Times New Roman" w:hint="eastAsia"/>
          <w:szCs w:val="24"/>
        </w:rPr>
        <w:t>-Nagel, Germany) according to the manufac</w:t>
      </w:r>
      <w:r>
        <w:rPr>
          <w:rFonts w:cs="Times New Roman" w:hint="eastAsia"/>
          <w:szCs w:val="24"/>
        </w:rPr>
        <w:t>turer</w:t>
      </w:r>
      <w:r>
        <w:rPr>
          <w:rFonts w:cs="Times New Roman" w:hint="eastAsia"/>
          <w:szCs w:val="24"/>
        </w:rPr>
        <w:t>’</w:t>
      </w:r>
      <w:r>
        <w:rPr>
          <w:rFonts w:cs="Times New Roman" w:hint="eastAsia"/>
          <w:szCs w:val="24"/>
        </w:rPr>
        <w:t xml:space="preserve">s instructions. Qubit (Invitrogen, USA) and 1% agarose gel electrophoresis were used to analyze the quality of DNA. The detail of DNA library construction was described as follow: 1 </w:t>
      </w:r>
      <w:proofErr w:type="spellStart"/>
      <w:r>
        <w:rPr>
          <w:rFonts w:cs="Times New Roman" w:hint="eastAsia"/>
          <w:szCs w:val="24"/>
        </w:rPr>
        <w:t>μ</w:t>
      </w:r>
      <w:r>
        <w:rPr>
          <w:rFonts w:cs="Times New Roman" w:hint="eastAsia"/>
          <w:szCs w:val="24"/>
        </w:rPr>
        <w:t>g</w:t>
      </w:r>
      <w:proofErr w:type="spellEnd"/>
      <w:r>
        <w:rPr>
          <w:rFonts w:cs="Times New Roman" w:hint="eastAsia"/>
          <w:szCs w:val="24"/>
        </w:rPr>
        <w:t xml:space="preserve"> genomics DNA was randomly fragmented by </w:t>
      </w:r>
      <w:proofErr w:type="spellStart"/>
      <w:r>
        <w:rPr>
          <w:rFonts w:cs="Times New Roman" w:hint="eastAsia"/>
          <w:szCs w:val="24"/>
        </w:rPr>
        <w:t>Covaris</w:t>
      </w:r>
      <w:proofErr w:type="spellEnd"/>
      <w:r>
        <w:rPr>
          <w:rFonts w:cs="Times New Roman" w:hint="eastAsia"/>
          <w:szCs w:val="24"/>
        </w:rPr>
        <w:t xml:space="preserve"> and the fragmente</w:t>
      </w:r>
      <w:r>
        <w:rPr>
          <w:rFonts w:cs="Times New Roman" w:hint="eastAsia"/>
          <w:szCs w:val="24"/>
        </w:rPr>
        <w:t>d DNAs were tested by Gel-</w:t>
      </w:r>
      <w:proofErr w:type="spellStart"/>
      <w:r>
        <w:rPr>
          <w:rFonts w:cs="Times New Roman" w:hint="eastAsia"/>
          <w:szCs w:val="24"/>
        </w:rPr>
        <w:t>Electrophotometric</w:t>
      </w:r>
      <w:proofErr w:type="spellEnd"/>
      <w:r>
        <w:rPr>
          <w:rFonts w:cs="Times New Roman" w:hint="eastAsia"/>
          <w:szCs w:val="24"/>
        </w:rPr>
        <w:t xml:space="preserve"> then purified by kit. The fragmented DNAs were combined with End Repair Mix, incubated at 20 </w:t>
      </w:r>
      <w:r>
        <w:rPr>
          <w:rFonts w:cs="Times New Roman" w:hint="eastAsia"/>
          <w:szCs w:val="24"/>
        </w:rPr>
        <w:t>℃</w:t>
      </w:r>
      <w:r>
        <w:rPr>
          <w:rFonts w:cs="Times New Roman" w:hint="eastAsia"/>
          <w:szCs w:val="24"/>
        </w:rPr>
        <w:t xml:space="preserve"> for 30 min then purified by kit. The repaired DNAs were combined with A-Tailing Mix, and incubated at 37 </w:t>
      </w:r>
      <w:r>
        <w:rPr>
          <w:rFonts w:cs="Times New Roman" w:hint="eastAsia"/>
          <w:szCs w:val="24"/>
        </w:rPr>
        <w:t>℃</w:t>
      </w:r>
      <w:r>
        <w:rPr>
          <w:rFonts w:cs="Times New Roman" w:hint="eastAsia"/>
          <w:szCs w:val="24"/>
        </w:rPr>
        <w:t xml:space="preserve"> for 30 mi</w:t>
      </w:r>
      <w:r>
        <w:rPr>
          <w:rFonts w:cs="Times New Roman" w:hint="eastAsia"/>
          <w:szCs w:val="24"/>
        </w:rPr>
        <w:t>n. Illumina adaptors were ligated to the Adenylated 3</w:t>
      </w:r>
      <w:r>
        <w:rPr>
          <w:rFonts w:cs="Times New Roman" w:hint="eastAsia"/>
          <w:szCs w:val="24"/>
        </w:rPr>
        <w:t>’</w:t>
      </w:r>
      <w:r>
        <w:rPr>
          <w:rFonts w:cs="Times New Roman" w:hint="eastAsia"/>
          <w:szCs w:val="24"/>
        </w:rPr>
        <w:t xml:space="preserve">Ends DNA, and incubated at 16 </w:t>
      </w:r>
      <w:r>
        <w:rPr>
          <w:rFonts w:cs="Times New Roman" w:hint="eastAsia"/>
          <w:szCs w:val="24"/>
        </w:rPr>
        <w:t>℃</w:t>
      </w:r>
      <w:r>
        <w:rPr>
          <w:rFonts w:cs="Times New Roman" w:hint="eastAsia"/>
          <w:szCs w:val="24"/>
        </w:rPr>
        <w:t xml:space="preserve"> for 16 h, then purified the DNA with kit. After selecting the correct insert size DNA fragments, several rounds of PCR amplification with PCR Primer Cocktail and PCR Mast</w:t>
      </w:r>
      <w:r>
        <w:rPr>
          <w:rFonts w:cs="Times New Roman" w:hint="eastAsia"/>
          <w:szCs w:val="24"/>
        </w:rPr>
        <w:t xml:space="preserve">er Mix were performed to enrich the Adapter-ligated DNA fragments, the purified the PCR products with kit. </w:t>
      </w:r>
      <w:proofErr w:type="spellStart"/>
      <w:r>
        <w:rPr>
          <w:rFonts w:cs="Times New Roman" w:hint="eastAsia"/>
          <w:szCs w:val="24"/>
        </w:rPr>
        <w:t>AxyPrep</w:t>
      </w:r>
      <w:proofErr w:type="spellEnd"/>
      <w:r>
        <w:rPr>
          <w:rFonts w:cs="Times New Roman" w:hint="eastAsia"/>
          <w:szCs w:val="24"/>
        </w:rPr>
        <w:t xml:space="preserve"> Mag PCR Clean-up Kit (</w:t>
      </w:r>
      <w:proofErr w:type="spellStart"/>
      <w:r>
        <w:rPr>
          <w:rFonts w:cs="Times New Roman" w:hint="eastAsia"/>
          <w:szCs w:val="24"/>
        </w:rPr>
        <w:t>Axygen</w:t>
      </w:r>
      <w:proofErr w:type="spellEnd"/>
      <w:r>
        <w:rPr>
          <w:rFonts w:cs="Times New Roman" w:hint="eastAsia"/>
          <w:szCs w:val="24"/>
        </w:rPr>
        <w:t>, USA) was used to purify DNA in all steps of DNA library construction. The final DNA libraries were used to dete</w:t>
      </w:r>
      <w:r>
        <w:rPr>
          <w:rFonts w:cs="Times New Roman" w:hint="eastAsia"/>
          <w:szCs w:val="24"/>
        </w:rPr>
        <w:t xml:space="preserve">rmine the average insert size using the Agilent 2100 Bioanalyzer (Agilent Technologies, USA) and quantified by ABI </w:t>
      </w:r>
      <w:proofErr w:type="spellStart"/>
      <w:r>
        <w:rPr>
          <w:rFonts w:cs="Times New Roman" w:hint="eastAsia"/>
          <w:szCs w:val="24"/>
        </w:rPr>
        <w:t>StepOnePlus</w:t>
      </w:r>
      <w:proofErr w:type="spellEnd"/>
      <w:r>
        <w:rPr>
          <w:rFonts w:cs="Times New Roman" w:hint="eastAsia"/>
          <w:szCs w:val="24"/>
        </w:rPr>
        <w:t xml:space="preserve"> Real-Time PCR system (Applied Biosystems, USA).</w:t>
      </w:r>
    </w:p>
    <w:p w14:paraId="6BE5F2EC" w14:textId="77777777" w:rsidR="00EA5AD9" w:rsidRDefault="00701810">
      <w:pPr>
        <w:pStyle w:val="Heading2"/>
      </w:pPr>
      <w:r>
        <w:rPr>
          <w:rFonts w:hint="eastAsia"/>
        </w:rPr>
        <w:t>Metagenomic sequencing</w:t>
      </w:r>
    </w:p>
    <w:p w14:paraId="6FA525FE" w14:textId="77777777" w:rsidR="00EA5AD9" w:rsidRDefault="00701810">
      <w:pPr>
        <w:jc w:val="both"/>
        <w:rPr>
          <w:rFonts w:cs="Times New Roman"/>
          <w:szCs w:val="24"/>
        </w:rPr>
      </w:pPr>
      <w:r>
        <w:rPr>
          <w:rFonts w:cs="Times New Roman" w:hint="eastAsia"/>
          <w:szCs w:val="24"/>
        </w:rPr>
        <w:t xml:space="preserve">Samples were sequenced on the Illumina </w:t>
      </w:r>
      <w:proofErr w:type="spellStart"/>
      <w:r>
        <w:rPr>
          <w:rFonts w:cs="Times New Roman" w:hint="eastAsia"/>
          <w:szCs w:val="24"/>
        </w:rPr>
        <w:t>HiSeq</w:t>
      </w:r>
      <w:proofErr w:type="spellEnd"/>
      <w:r>
        <w:rPr>
          <w:rFonts w:cs="Times New Roman" w:hint="eastAsia"/>
          <w:szCs w:val="24"/>
        </w:rPr>
        <w:t xml:space="preserve"> X Ten platfor</w:t>
      </w:r>
      <w:r>
        <w:rPr>
          <w:rFonts w:cs="Times New Roman" w:hint="eastAsia"/>
          <w:szCs w:val="24"/>
        </w:rPr>
        <w:t>m with an insert size of 300 bp (paired end, 150 base pairs). Before further bioinformatic analysis, raw reads containing adaptor sequence, low quality (lower Q-score 20 rate more than 50%) and ambiguous bases (N base rate less than 5%) were filtered out w</w:t>
      </w:r>
      <w:r>
        <w:rPr>
          <w:rFonts w:cs="Times New Roman" w:hint="eastAsia"/>
          <w:szCs w:val="24"/>
        </w:rPr>
        <w:t xml:space="preserve">ith </w:t>
      </w:r>
      <w:proofErr w:type="spellStart"/>
      <w:r>
        <w:rPr>
          <w:rFonts w:cs="Times New Roman" w:hint="eastAsia"/>
          <w:szCs w:val="24"/>
        </w:rPr>
        <w:t>SOAPnuke</w:t>
      </w:r>
      <w:proofErr w:type="spellEnd"/>
      <w:r>
        <w:rPr>
          <w:rFonts w:cs="Times New Roman" w:hint="eastAsia"/>
          <w:szCs w:val="24"/>
        </w:rPr>
        <w:t xml:space="preserve">. 1036.69 Gb of high-quality PE reads for the 110 samples were acquired with an average of 8.22 </w:t>
      </w:r>
      <w:r>
        <w:rPr>
          <w:rFonts w:cs="Times New Roman" w:hint="eastAsia"/>
          <w:szCs w:val="24"/>
        </w:rPr>
        <w:t>±</w:t>
      </w:r>
      <w:r>
        <w:rPr>
          <w:rFonts w:cs="Times New Roman" w:hint="eastAsia"/>
          <w:szCs w:val="24"/>
        </w:rPr>
        <w:t xml:space="preserve"> 0.83 Gb (mean </w:t>
      </w:r>
      <w:r>
        <w:rPr>
          <w:rFonts w:cs="Times New Roman" w:hint="eastAsia"/>
          <w:szCs w:val="24"/>
        </w:rPr>
        <w:t>±</w:t>
      </w:r>
      <w:r>
        <w:rPr>
          <w:rFonts w:cs="Times New Roman" w:hint="eastAsia"/>
          <w:szCs w:val="24"/>
        </w:rPr>
        <w:t xml:space="preserve"> </w:t>
      </w:r>
      <w:proofErr w:type="spellStart"/>
      <w:r>
        <w:rPr>
          <w:rFonts w:cs="Times New Roman" w:hint="eastAsia"/>
          <w:szCs w:val="24"/>
        </w:rPr>
        <w:t>s.d.</w:t>
      </w:r>
      <w:proofErr w:type="spellEnd"/>
      <w:r>
        <w:rPr>
          <w:rFonts w:cs="Times New Roman" w:hint="eastAsia"/>
          <w:szCs w:val="24"/>
        </w:rPr>
        <w:t xml:space="preserve">) per sample. In order to remove human host DNA contamination, reads were aligned to human genome reference (hg19) by </w:t>
      </w:r>
      <w:proofErr w:type="spellStart"/>
      <w:r>
        <w:rPr>
          <w:rFonts w:cs="Times New Roman" w:hint="eastAsia"/>
          <w:szCs w:val="24"/>
        </w:rPr>
        <w:t>SOAPalig</w:t>
      </w:r>
      <w:r>
        <w:rPr>
          <w:rFonts w:cs="Times New Roman" w:hint="eastAsia"/>
          <w:szCs w:val="24"/>
        </w:rPr>
        <w:t>ner</w:t>
      </w:r>
      <w:proofErr w:type="spellEnd"/>
      <w:r>
        <w:rPr>
          <w:rFonts w:cs="Times New Roman" w:hint="eastAsia"/>
          <w:szCs w:val="24"/>
        </w:rPr>
        <w:t xml:space="preserve"> (v2.22, parameters: -m 280 -x 420 -r 1 -l 32 -s 75 -c 0.9 -v 13) and the mapping reads were discarded. The average rate of host contamination was 0.47 </w:t>
      </w:r>
      <w:r>
        <w:rPr>
          <w:rFonts w:cs="Times New Roman" w:hint="eastAsia"/>
          <w:szCs w:val="24"/>
        </w:rPr>
        <w:t>±</w:t>
      </w:r>
      <w:r>
        <w:rPr>
          <w:rFonts w:cs="Times New Roman" w:hint="eastAsia"/>
          <w:szCs w:val="24"/>
        </w:rPr>
        <w:t xml:space="preserve"> 0.97% and an average of 8.18 </w:t>
      </w:r>
      <w:r>
        <w:rPr>
          <w:rFonts w:cs="Times New Roman" w:hint="eastAsia"/>
          <w:szCs w:val="24"/>
        </w:rPr>
        <w:t>±</w:t>
      </w:r>
      <w:r>
        <w:rPr>
          <w:rFonts w:cs="Times New Roman" w:hint="eastAsia"/>
          <w:szCs w:val="24"/>
        </w:rPr>
        <w:t xml:space="preserve"> 0.83 Gb (mean </w:t>
      </w:r>
      <w:r>
        <w:rPr>
          <w:rFonts w:cs="Times New Roman" w:hint="eastAsia"/>
          <w:szCs w:val="24"/>
        </w:rPr>
        <w:t>±</w:t>
      </w:r>
      <w:r>
        <w:rPr>
          <w:rFonts w:cs="Times New Roman" w:hint="eastAsia"/>
          <w:szCs w:val="24"/>
        </w:rPr>
        <w:t xml:space="preserve"> </w:t>
      </w:r>
      <w:proofErr w:type="spellStart"/>
      <w:r>
        <w:rPr>
          <w:rFonts w:cs="Times New Roman" w:hint="eastAsia"/>
          <w:szCs w:val="24"/>
        </w:rPr>
        <w:t>s.d.</w:t>
      </w:r>
      <w:proofErr w:type="spellEnd"/>
      <w:r>
        <w:rPr>
          <w:rFonts w:cs="Times New Roman" w:hint="eastAsia"/>
          <w:szCs w:val="24"/>
        </w:rPr>
        <w:t>) per sample (Supplementary Table S2).</w:t>
      </w:r>
    </w:p>
    <w:p w14:paraId="2DAF6E98" w14:textId="77777777" w:rsidR="00EA5AD9" w:rsidRDefault="00701810">
      <w:pPr>
        <w:pStyle w:val="Heading2"/>
      </w:pPr>
      <w:r>
        <w:rPr>
          <w:rFonts w:hint="eastAsia"/>
        </w:rPr>
        <w:t>Metagenom</w:t>
      </w:r>
      <w:r>
        <w:rPr>
          <w:rFonts w:hint="eastAsia"/>
        </w:rPr>
        <w:t>ic microbial community and functional profiling</w:t>
      </w:r>
    </w:p>
    <w:p w14:paraId="3E3297A8" w14:textId="77777777" w:rsidR="00EA5AD9" w:rsidRDefault="00701810">
      <w:pPr>
        <w:jc w:val="both"/>
        <w:rPr>
          <w:rFonts w:cs="Times New Roman"/>
          <w:szCs w:val="24"/>
        </w:rPr>
      </w:pPr>
      <w:r>
        <w:rPr>
          <w:rFonts w:cs="Times New Roman" w:hint="eastAsia"/>
          <w:szCs w:val="24"/>
        </w:rPr>
        <w:t>The profile of microbial composition for each sample was calculated using MetaPhlAn2 (v2.0), which uses ~1M unique clade-specific marker genes (including bacterial, archaeal, viral and eukaryotic) to estimate</w:t>
      </w:r>
      <w:r>
        <w:rPr>
          <w:rFonts w:cs="Times New Roman" w:hint="eastAsia"/>
          <w:szCs w:val="24"/>
        </w:rPr>
        <w:t xml:space="preserve"> organismal relative abundance. The parameters of MetaPhlAn2 was set as </w:t>
      </w:r>
      <w:r>
        <w:rPr>
          <w:rFonts w:cs="Times New Roman" w:hint="eastAsia"/>
          <w:szCs w:val="24"/>
        </w:rPr>
        <w:t>‘</w:t>
      </w:r>
      <w:r>
        <w:rPr>
          <w:rFonts w:cs="Times New Roman" w:hint="eastAsia"/>
          <w:szCs w:val="24"/>
        </w:rPr>
        <w:t>--</w:t>
      </w:r>
      <w:proofErr w:type="spellStart"/>
      <w:r>
        <w:rPr>
          <w:rFonts w:cs="Times New Roman" w:hint="eastAsia"/>
          <w:szCs w:val="24"/>
        </w:rPr>
        <w:t>nproc</w:t>
      </w:r>
      <w:proofErr w:type="spellEnd"/>
      <w:r>
        <w:rPr>
          <w:rFonts w:cs="Times New Roman" w:hint="eastAsia"/>
          <w:szCs w:val="24"/>
        </w:rPr>
        <w:t xml:space="preserve"> 10 --stat </w:t>
      </w:r>
      <w:proofErr w:type="spellStart"/>
      <w:r>
        <w:rPr>
          <w:rFonts w:cs="Times New Roman" w:hint="eastAsia"/>
          <w:szCs w:val="24"/>
        </w:rPr>
        <w:t>avg_g</w:t>
      </w:r>
      <w:proofErr w:type="spellEnd"/>
      <w:r>
        <w:rPr>
          <w:rFonts w:cs="Times New Roman" w:hint="eastAsia"/>
          <w:szCs w:val="24"/>
        </w:rPr>
        <w:t xml:space="preserve"> --</w:t>
      </w:r>
      <w:proofErr w:type="spellStart"/>
      <w:r>
        <w:rPr>
          <w:rFonts w:cs="Times New Roman" w:hint="eastAsia"/>
          <w:szCs w:val="24"/>
        </w:rPr>
        <w:t>ignore_viruses</w:t>
      </w:r>
      <w:proofErr w:type="spellEnd"/>
      <w:r>
        <w:rPr>
          <w:rFonts w:cs="Times New Roman" w:hint="eastAsia"/>
          <w:szCs w:val="24"/>
        </w:rPr>
        <w:t xml:space="preserve"> --</w:t>
      </w:r>
      <w:proofErr w:type="spellStart"/>
      <w:r>
        <w:rPr>
          <w:rFonts w:cs="Times New Roman" w:hint="eastAsia"/>
          <w:szCs w:val="24"/>
        </w:rPr>
        <w:t>ignore_eukaryotes</w:t>
      </w:r>
      <w:proofErr w:type="spellEnd"/>
      <w:r>
        <w:rPr>
          <w:rFonts w:cs="Times New Roman" w:hint="eastAsia"/>
          <w:szCs w:val="24"/>
        </w:rPr>
        <w:t xml:space="preserve"> --</w:t>
      </w:r>
      <w:proofErr w:type="spellStart"/>
      <w:r>
        <w:rPr>
          <w:rFonts w:cs="Times New Roman" w:hint="eastAsia"/>
          <w:szCs w:val="24"/>
        </w:rPr>
        <w:t>ignore_archaea</w:t>
      </w:r>
      <w:proofErr w:type="spellEnd"/>
      <w:r>
        <w:rPr>
          <w:rFonts w:cs="Times New Roman" w:hint="eastAsia"/>
          <w:szCs w:val="24"/>
        </w:rPr>
        <w:t>’</w:t>
      </w:r>
      <w:r>
        <w:rPr>
          <w:rFonts w:cs="Times New Roman" w:hint="eastAsia"/>
          <w:szCs w:val="24"/>
        </w:rPr>
        <w:t>. And then, all sample profiles were merged using merge_metaphlan_tables.py.</w:t>
      </w:r>
    </w:p>
    <w:p w14:paraId="35F0EB16" w14:textId="77777777" w:rsidR="00EA5AD9" w:rsidRDefault="00701810">
      <w:pPr>
        <w:jc w:val="both"/>
        <w:rPr>
          <w:rFonts w:cs="Times New Roman"/>
          <w:szCs w:val="24"/>
        </w:rPr>
      </w:pPr>
      <w:r>
        <w:rPr>
          <w:rFonts w:cs="Times New Roman" w:hint="eastAsia"/>
          <w:szCs w:val="24"/>
        </w:rPr>
        <w:lastRenderedPageBreak/>
        <w:t>Functional profiling for eac</w:t>
      </w:r>
      <w:r>
        <w:rPr>
          <w:rFonts w:cs="Times New Roman" w:hint="eastAsia"/>
          <w:szCs w:val="24"/>
        </w:rPr>
        <w:t>h sample was performed using HUMAnN2 (v0.11.2). In brief, HUMAnN2 rapidly identified known microbial species in samples with MetaPhlAn2, then constructed a customized pan-genomes database which all genomes have been preconstructed and functionally annotate</w:t>
      </w:r>
      <w:r>
        <w:rPr>
          <w:rFonts w:cs="Times New Roman" w:hint="eastAsia"/>
          <w:szCs w:val="24"/>
        </w:rPr>
        <w:t xml:space="preserve">d. Sample reads were mapped to this database with Bowtie2, with the unmapped reads were translated and mapped to a protein database (UniRef90) with Diamond. Finally, all mapping reads were used to estimate gene family abundance then annotated to metabolic </w:t>
      </w:r>
      <w:r>
        <w:rPr>
          <w:rFonts w:cs="Times New Roman" w:hint="eastAsia"/>
          <w:szCs w:val="24"/>
        </w:rPr>
        <w:t>enzymes to reconstruct and quantify metabolic pathways (</w:t>
      </w:r>
      <w:proofErr w:type="spellStart"/>
      <w:r>
        <w:rPr>
          <w:rFonts w:cs="Times New Roman" w:hint="eastAsia"/>
          <w:szCs w:val="24"/>
        </w:rPr>
        <w:t>MetaCyc</w:t>
      </w:r>
      <w:proofErr w:type="spellEnd"/>
      <w:r>
        <w:rPr>
          <w:rFonts w:cs="Times New Roman" w:hint="eastAsia"/>
          <w:szCs w:val="24"/>
        </w:rPr>
        <w:t xml:space="preserve">). HUMAnN2 was run by the default parameters. All sample profiles were merged and renormalized using humann2_join_tables and humann2_renorm_table, respectively. </w:t>
      </w:r>
    </w:p>
    <w:p w14:paraId="767789C6" w14:textId="77777777" w:rsidR="00EA5AD9" w:rsidRDefault="00701810">
      <w:pPr>
        <w:spacing w:before="100" w:beforeAutospacing="1" w:after="100" w:afterAutospacing="1"/>
        <w:jc w:val="both"/>
        <w:rPr>
          <w:rFonts w:eastAsia="Times New Roman" w:cs="Times New Roman"/>
          <w:szCs w:val="24"/>
          <w:lang w:val="en-GB" w:eastAsia="en-GB"/>
        </w:rPr>
      </w:pPr>
      <w:r>
        <w:rPr>
          <w:rFonts w:cs="Times New Roman" w:hint="eastAsia"/>
          <w:szCs w:val="24"/>
        </w:rPr>
        <w:t>Taxa, gene families, or pathway</w:t>
      </w:r>
      <w:r>
        <w:rPr>
          <w:rFonts w:cs="Times New Roman" w:hint="eastAsia"/>
          <w:szCs w:val="24"/>
        </w:rPr>
        <w:t>s which presented in less than 10% samples were discarded in further analysis.</w:t>
      </w:r>
    </w:p>
    <w:p w14:paraId="62ED6883" w14:textId="77777777" w:rsidR="00EA5AD9" w:rsidRDefault="00701810">
      <w:pPr>
        <w:pStyle w:val="Heading1"/>
      </w:pPr>
      <w:r>
        <w:t xml:space="preserve">Supplementary Figures </w:t>
      </w:r>
    </w:p>
    <w:p w14:paraId="48CF65E5" w14:textId="3E542C61" w:rsidR="00EA5AD9" w:rsidRDefault="00701810">
      <w:pPr>
        <w:jc w:val="center"/>
        <w:rPr>
          <w:rFonts w:eastAsia="SimSun" w:cs="Times New Roman"/>
          <w:szCs w:val="24"/>
          <w:lang w:eastAsia="zh-CN"/>
        </w:rPr>
      </w:pPr>
      <w:r>
        <w:rPr>
          <w:noProof/>
        </w:rPr>
        <w:drawing>
          <wp:inline distT="0" distB="0" distL="114300" distR="114300" wp14:anchorId="578F1B2D" wp14:editId="28127127">
            <wp:extent cx="5742305" cy="4666615"/>
            <wp:effectExtent l="0" t="0" r="10795" b="635"/>
            <wp:docPr id="9" name="图片 9" descr="Figure.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igure.S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466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0F9F3" w14:textId="63AAE2F3" w:rsidR="00EA5AD9" w:rsidRDefault="00701810">
      <w:r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fldChar w:fldCharType="begin"/>
      </w:r>
      <w:r>
        <w:rPr>
          <w:rFonts w:cs="Times New Roman"/>
          <w:b/>
          <w:szCs w:val="24"/>
        </w:rPr>
        <w:instrText xml:space="preserve"> SEQ Figure \* ARABIC </w:instrText>
      </w:r>
      <w:r>
        <w:rPr>
          <w:rFonts w:cs="Times New Roman"/>
          <w:b/>
          <w:szCs w:val="24"/>
        </w:rPr>
        <w:fldChar w:fldCharType="separate"/>
      </w:r>
      <w:r>
        <w:rPr>
          <w:rFonts w:cs="Times New Roman"/>
          <w:b/>
          <w:szCs w:val="24"/>
        </w:rPr>
        <w:t>1</w:t>
      </w:r>
      <w:r>
        <w:rPr>
          <w:rFonts w:cs="Times New Roman"/>
          <w:b/>
          <w:szCs w:val="24"/>
        </w:rPr>
        <w:fldChar w:fldCharType="end"/>
      </w:r>
      <w:r>
        <w:rPr>
          <w:rFonts w:cs="Times New Roman"/>
          <w:b/>
          <w:szCs w:val="24"/>
        </w:rPr>
        <w:t>.</w:t>
      </w:r>
      <w:r>
        <w:rPr>
          <w:rFonts w:cs="Times New Roman"/>
          <w:szCs w:val="24"/>
        </w:rPr>
        <w:t xml:space="preserve"> </w:t>
      </w:r>
      <w:r w:rsidRPr="008B01C1">
        <w:rPr>
          <w:rFonts w:cs="Times New Roman"/>
          <w:szCs w:val="24"/>
        </w:rPr>
        <w:t>Alpha diversity and microbial composition of healthy controls (HC) and RA patients (RA). (A) Species n</w:t>
      </w:r>
      <w:r w:rsidRPr="008B01C1">
        <w:rPr>
          <w:rFonts w:cs="Times New Roman"/>
          <w:szCs w:val="24"/>
        </w:rPr>
        <w:t xml:space="preserve">umber and alpha diversity (Shannon index) between HC and RA samples. P value were calculated using Wilcoxon rank-sum test. (B) </w:t>
      </w:r>
      <w:proofErr w:type="spellStart"/>
      <w:r w:rsidRPr="008B01C1">
        <w:rPr>
          <w:rFonts w:cs="Times New Roman"/>
          <w:szCs w:val="24"/>
        </w:rPr>
        <w:t>PCoA</w:t>
      </w:r>
      <w:proofErr w:type="spellEnd"/>
      <w:r w:rsidRPr="008B01C1">
        <w:rPr>
          <w:rFonts w:cs="Times New Roman"/>
          <w:szCs w:val="24"/>
        </w:rPr>
        <w:t xml:space="preserve"> based on the Bray-Curtis distance on the gene family level. (C) Enterotype analysis based on the genus relative abundance </w:t>
      </w:r>
      <w:r w:rsidRPr="008B01C1">
        <w:rPr>
          <w:rFonts w:cs="Times New Roman"/>
          <w:szCs w:val="24"/>
        </w:rPr>
        <w:lastRenderedPageBreak/>
        <w:t>pr</w:t>
      </w:r>
      <w:r w:rsidRPr="008B01C1">
        <w:rPr>
          <w:rFonts w:cs="Times New Roman"/>
          <w:szCs w:val="24"/>
        </w:rPr>
        <w:t>ofile. (D) The dominant phyla of HC and RA samples. The top 5 phyla were shown. (E) The dominant genera of HC and RA samples. The top 15 genera were</w:t>
      </w:r>
      <w:r>
        <w:rPr>
          <w:rFonts w:eastAsia="SimSun" w:cs="Times New Roman" w:hint="eastAsia"/>
          <w:szCs w:val="24"/>
          <w:lang w:eastAsia="zh-CN"/>
        </w:rPr>
        <w:t xml:space="preserve"> </w:t>
      </w:r>
      <w:r>
        <w:rPr>
          <w:rFonts w:eastAsia="SimSun" w:cs="Times New Roman" w:hint="eastAsia"/>
          <w:szCs w:val="24"/>
          <w:lang w:eastAsia="zh-CN"/>
        </w:rPr>
        <w:t>show</w:t>
      </w:r>
      <w:r>
        <w:rPr>
          <w:rFonts w:eastAsia="SimSun" w:cs="Times New Roman" w:hint="eastAsia"/>
          <w:szCs w:val="24"/>
          <w:lang w:eastAsia="zh-CN"/>
        </w:rPr>
        <w:t>n</w:t>
      </w:r>
      <w:r>
        <w:rPr>
          <w:rFonts w:eastAsia="SimSun" w:cs="Times New Roman" w:hint="eastAsia"/>
          <w:szCs w:val="24"/>
          <w:lang w:eastAsia="zh-CN"/>
        </w:rPr>
        <w:t>.</w:t>
      </w:r>
    </w:p>
    <w:p w14:paraId="57B19A05" w14:textId="77777777" w:rsidR="00EA5AD9" w:rsidRDefault="00EA5AD9"/>
    <w:p w14:paraId="536E9B3D" w14:textId="77777777" w:rsidR="00EA5AD9" w:rsidRDefault="00EA5AD9">
      <w:pPr>
        <w:rPr>
          <w:rFonts w:ascii="Times New Roman Bold" w:hAnsi="Times New Roman Bold" w:cs="Times New Roman Bold"/>
          <w:b/>
          <w:bCs/>
        </w:rPr>
      </w:pPr>
    </w:p>
    <w:p w14:paraId="554662CD" w14:textId="77777777" w:rsidR="00EA5AD9" w:rsidRDefault="00EA5AD9">
      <w:pPr>
        <w:rPr>
          <w:rFonts w:ascii="Times New Roman Bold" w:hAnsi="Times New Roman Bold" w:cs="Times New Roman Bold"/>
          <w:b/>
          <w:bCs/>
        </w:rPr>
      </w:pPr>
    </w:p>
    <w:p w14:paraId="0849450B" w14:textId="77777777" w:rsidR="00EA5AD9" w:rsidRDefault="00701810">
      <w:pPr>
        <w:rPr>
          <w:rFonts w:ascii="Times New Roman Bold" w:hAnsi="Times New Roman Bold" w:cs="Times New Roman Bold"/>
          <w:b/>
          <w:bCs/>
        </w:rPr>
      </w:pPr>
      <w:r>
        <w:rPr>
          <w:rFonts w:hint="eastAsia"/>
          <w:noProof/>
        </w:rPr>
        <w:drawing>
          <wp:inline distT="0" distB="0" distL="114300" distR="114300" wp14:anchorId="025C6A82" wp14:editId="2E6EC0F7">
            <wp:extent cx="6205220" cy="2879725"/>
            <wp:effectExtent l="0" t="0" r="5080" b="15875"/>
            <wp:docPr id="12" name="图片 12" descr="HC_RA_genus (1).boxp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HC_RA_genus (1).boxplot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0522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A600E" w14:textId="77777777" w:rsidR="00EA5AD9" w:rsidRDefault="00701810">
      <w:r>
        <w:rPr>
          <w:rFonts w:ascii="Times New Roman Bold" w:hAnsi="Times New Roman Bold" w:cs="Times New Roman Bold"/>
          <w:b/>
          <w:bCs/>
        </w:rPr>
        <w:t>Supplementary Figure 2.</w:t>
      </w:r>
      <w:r>
        <w:t xml:space="preserve"> </w:t>
      </w:r>
      <w:bookmarkStart w:id="0" w:name="OLE_LINK1"/>
      <w:r>
        <w:t>Significant differences</w:t>
      </w:r>
      <w:bookmarkEnd w:id="0"/>
      <w:r>
        <w:t xml:space="preserve"> genera between HC and RA (Wilcoxon rank-sum test, P &lt; 0.05).</w:t>
      </w:r>
    </w:p>
    <w:p w14:paraId="2373E79B" w14:textId="77777777" w:rsidR="00EA5AD9" w:rsidRDefault="00701810">
      <w:pPr>
        <w:rPr>
          <w:rFonts w:eastAsia="SimSun"/>
          <w:lang w:eastAsia="zh-CN"/>
        </w:rPr>
      </w:pPr>
      <w:r>
        <w:rPr>
          <w:rFonts w:eastAsia="SimSun" w:hint="eastAsia"/>
          <w:noProof/>
          <w:lang w:eastAsia="zh-CN"/>
        </w:rPr>
        <w:lastRenderedPageBreak/>
        <w:drawing>
          <wp:inline distT="0" distB="0" distL="114300" distR="114300" wp14:anchorId="69ED7F00" wp14:editId="572E077A">
            <wp:extent cx="6169025" cy="5105400"/>
            <wp:effectExtent l="0" t="0" r="3175" b="0"/>
            <wp:docPr id="8" name="图片 8" descr="Figure.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igure.S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69025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8FC27" w14:textId="77777777" w:rsidR="00EA5AD9" w:rsidRDefault="00701810">
      <w:pPr>
        <w:rPr>
          <w:lang w:eastAsia="zh-Hans"/>
        </w:rPr>
      </w:pPr>
      <w:r>
        <w:rPr>
          <w:rFonts w:ascii="Times New Roman Bold" w:hAnsi="Times New Roman Bold" w:cs="Times New Roman Bold"/>
          <w:b/>
          <w:bCs/>
        </w:rPr>
        <w:t>Supplementary Figure 3.</w:t>
      </w:r>
      <w:r>
        <w:t xml:space="preserve"> </w:t>
      </w:r>
      <w:proofErr w:type="spellStart"/>
      <w:r>
        <w:rPr>
          <w:i/>
          <w:iCs/>
        </w:rPr>
        <w:t>Prevotella</w:t>
      </w:r>
      <w:proofErr w:type="spellEnd"/>
      <w:r>
        <w:rPr>
          <w:i/>
          <w:iCs/>
        </w:rPr>
        <w:t xml:space="preserve"> spp.</w:t>
      </w:r>
      <w:r>
        <w:t xml:space="preserve"> relative a</w:t>
      </w:r>
      <w:r>
        <w:t xml:space="preserve">bundance </w:t>
      </w:r>
      <w:r>
        <w:rPr>
          <w:rFonts w:hint="eastAsia"/>
          <w:lang w:eastAsia="zh-Hans"/>
        </w:rPr>
        <w:t>in</w:t>
      </w:r>
      <w:r>
        <w:rPr>
          <w:lang w:eastAsia="zh-Hans"/>
        </w:rPr>
        <w:t xml:space="preserve"> </w:t>
      </w:r>
      <w:r>
        <w:rPr>
          <w:rFonts w:hint="eastAsia"/>
          <w:lang w:eastAsia="zh-Hans"/>
        </w:rPr>
        <w:t>HC-RA</w:t>
      </w:r>
      <w:r>
        <w:rPr>
          <w:lang w:eastAsia="zh-Hans"/>
        </w:rPr>
        <w:t xml:space="preserve"> (A) </w:t>
      </w:r>
      <w:r>
        <w:rPr>
          <w:rFonts w:hint="eastAsia"/>
          <w:lang w:eastAsia="zh-Hans"/>
        </w:rPr>
        <w:t>cohort</w:t>
      </w:r>
      <w:r>
        <w:rPr>
          <w:lang w:eastAsia="zh-Hans"/>
        </w:rPr>
        <w:t xml:space="preserve"> </w:t>
      </w:r>
      <w:r>
        <w:rPr>
          <w:rFonts w:hint="eastAsia"/>
          <w:lang w:eastAsia="zh-Hans"/>
        </w:rPr>
        <w:t>and</w:t>
      </w:r>
      <w:r>
        <w:rPr>
          <w:lang w:eastAsia="zh-Hans"/>
        </w:rPr>
        <w:t xml:space="preserve"> </w:t>
      </w:r>
      <w:r>
        <w:rPr>
          <w:rFonts w:hint="eastAsia"/>
          <w:lang w:eastAsia="zh-Hans"/>
        </w:rPr>
        <w:t>treatment</w:t>
      </w:r>
      <w:r>
        <w:rPr>
          <w:lang w:eastAsia="zh-Hans"/>
        </w:rPr>
        <w:t xml:space="preserve"> </w:t>
      </w:r>
      <w:r>
        <w:rPr>
          <w:rFonts w:hint="eastAsia"/>
          <w:lang w:eastAsia="zh-Hans"/>
        </w:rPr>
        <w:t>cohort</w:t>
      </w:r>
      <w:r>
        <w:rPr>
          <w:lang w:eastAsia="zh-Hans"/>
        </w:rPr>
        <w:t xml:space="preserve"> (B, </w:t>
      </w:r>
      <w:r>
        <w:rPr>
          <w:rFonts w:eastAsia="SimSun" w:hint="eastAsia"/>
          <w:lang w:eastAsia="zh-CN"/>
        </w:rPr>
        <w:t>HQT</w:t>
      </w:r>
      <w:r>
        <w:rPr>
          <w:lang w:eastAsia="zh-Hans"/>
        </w:rPr>
        <w:t xml:space="preserve"> treatment; C, LEF treatment).  </w:t>
      </w:r>
      <w:proofErr w:type="spellStart"/>
      <w:r>
        <w:rPr>
          <w:i/>
          <w:iCs/>
          <w:lang w:eastAsia="zh-Hans"/>
        </w:rPr>
        <w:t>Prevotella</w:t>
      </w:r>
      <w:proofErr w:type="spellEnd"/>
      <w:r>
        <w:rPr>
          <w:i/>
          <w:iCs/>
          <w:lang w:eastAsia="zh-Hans"/>
        </w:rPr>
        <w:t xml:space="preserve"> spp. </w:t>
      </w:r>
      <w:r>
        <w:rPr>
          <w:lang w:eastAsia="zh-Hans"/>
        </w:rPr>
        <w:t>that occurrence rate in all groups less than 20% were excluded.</w:t>
      </w:r>
    </w:p>
    <w:p w14:paraId="123E2BA7" w14:textId="0960EF86" w:rsidR="00EA5AD9" w:rsidRDefault="00701810">
      <w:pPr>
        <w:rPr>
          <w:rFonts w:eastAsia="SimSun"/>
          <w:lang w:eastAsia="zh-CN"/>
        </w:rPr>
      </w:pPr>
      <w:r>
        <w:rPr>
          <w:rFonts w:eastAsia="SimSun" w:hint="eastAsia"/>
          <w:noProof/>
          <w:lang w:eastAsia="zh-CN"/>
        </w:rPr>
        <w:lastRenderedPageBreak/>
        <w:drawing>
          <wp:inline distT="0" distB="0" distL="114300" distR="114300" wp14:anchorId="1BE1C36A" wp14:editId="3F128928">
            <wp:extent cx="5367655" cy="2886710"/>
            <wp:effectExtent l="0" t="0" r="4445" b="8890"/>
            <wp:docPr id="10" name="图片 10" descr="Figure.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igure.S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67655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D6415" w14:textId="77777777" w:rsidR="00EA5AD9" w:rsidRDefault="00701810">
      <w:pPr>
        <w:rPr>
          <w:szCs w:val="24"/>
          <w:lang w:eastAsia="zh-CN"/>
        </w:rPr>
      </w:pPr>
      <w:r>
        <w:rPr>
          <w:rFonts w:ascii="Times New Roman Bold" w:hAnsi="Times New Roman Bold" w:cs="Times New Roman Bold"/>
          <w:b/>
          <w:bCs/>
        </w:rPr>
        <w:t xml:space="preserve">Supplementary Figure </w:t>
      </w:r>
      <w:r>
        <w:rPr>
          <w:rFonts w:ascii="Times New Roman Bold" w:eastAsia="SimSun" w:hAnsi="Times New Roman Bold" w:cs="Times New Roman Bold" w:hint="eastAsia"/>
          <w:b/>
          <w:bCs/>
          <w:lang w:eastAsia="zh-CN"/>
        </w:rPr>
        <w:t>4</w:t>
      </w:r>
      <w:r>
        <w:rPr>
          <w:rFonts w:ascii="Times New Roman Bold" w:hAnsi="Times New Roman Bold" w:cs="Times New Roman Bold"/>
          <w:b/>
          <w:bCs/>
        </w:rPr>
        <w:t>.</w:t>
      </w:r>
      <w:r>
        <w:rPr>
          <w:szCs w:val="24"/>
          <w:lang w:eastAsia="zh-CN"/>
        </w:rPr>
        <w:t xml:space="preserve"> </w:t>
      </w:r>
      <w:r>
        <w:rPr>
          <w:rFonts w:hint="eastAsia"/>
          <w:szCs w:val="24"/>
          <w:lang w:eastAsia="zh-CN"/>
        </w:rPr>
        <w:t xml:space="preserve">Different effects of the two treatments on </w:t>
      </w:r>
      <w:r>
        <w:rPr>
          <w:rFonts w:hint="eastAsia"/>
          <w:szCs w:val="24"/>
          <w:lang w:eastAsia="zh-CN"/>
        </w:rPr>
        <w:t>secondary clinical indicators</w:t>
      </w:r>
      <w:r>
        <w:rPr>
          <w:rFonts w:hint="eastAsia"/>
          <w:szCs w:val="24"/>
          <w:lang w:eastAsia="zh-CN"/>
        </w:rPr>
        <w:t xml:space="preserve">. </w:t>
      </w:r>
      <w:r>
        <w:rPr>
          <w:szCs w:val="24"/>
          <w:lang w:eastAsia="zh-CN"/>
        </w:rPr>
        <w:t xml:space="preserve">Changes between time points in RA-related </w:t>
      </w:r>
      <w:r>
        <w:rPr>
          <w:rFonts w:hint="eastAsia"/>
          <w:szCs w:val="24"/>
          <w:lang w:eastAsia="zh-CN"/>
        </w:rPr>
        <w:t>secondary</w:t>
      </w:r>
      <w:r>
        <w:rPr>
          <w:rFonts w:hint="eastAsia"/>
          <w:szCs w:val="24"/>
          <w:lang w:eastAsia="zh-CN"/>
        </w:rPr>
        <w:t xml:space="preserve"> </w:t>
      </w:r>
      <w:r>
        <w:rPr>
          <w:szCs w:val="24"/>
          <w:lang w:eastAsia="zh-CN"/>
        </w:rPr>
        <w:t>clinical indices in HQT and LEF groups. * P &lt; 0.05; ** P &lt; 0.01, ns, no significance, between different time points according to Wilcoxon rank-sum test.</w:t>
      </w:r>
      <w:r>
        <w:rPr>
          <w:rFonts w:hint="eastAsia"/>
          <w:szCs w:val="24"/>
          <w:lang w:eastAsia="zh-CN"/>
        </w:rPr>
        <w:t xml:space="preserve"> </w:t>
      </w:r>
      <w:r>
        <w:rPr>
          <w:rFonts w:hint="eastAsia"/>
          <w:szCs w:val="24"/>
          <w:lang w:eastAsia="zh-CN"/>
        </w:rPr>
        <w:t xml:space="preserve">JSS, joint swelling </w:t>
      </w:r>
      <w:r>
        <w:rPr>
          <w:rFonts w:hint="eastAsia"/>
          <w:szCs w:val="24"/>
          <w:lang w:eastAsia="zh-CN"/>
        </w:rPr>
        <w:t xml:space="preserve">score; MS, </w:t>
      </w:r>
      <w:r>
        <w:rPr>
          <w:szCs w:val="24"/>
          <w:lang w:eastAsia="zh-CN"/>
        </w:rPr>
        <w:t>morning stiffness duration</w:t>
      </w:r>
      <w:r>
        <w:rPr>
          <w:rFonts w:hint="eastAsia"/>
          <w:szCs w:val="24"/>
          <w:lang w:eastAsia="zh-CN"/>
        </w:rPr>
        <w:t>;</w:t>
      </w:r>
      <w:r>
        <w:rPr>
          <w:rFonts w:hint="eastAsia"/>
          <w:szCs w:val="24"/>
          <w:lang w:eastAsia="zh-CN"/>
        </w:rPr>
        <w:t xml:space="preserve"> RPJ, r</w:t>
      </w:r>
      <w:r>
        <w:rPr>
          <w:rFonts w:hint="eastAsia"/>
          <w:szCs w:val="24"/>
          <w:lang w:eastAsia="zh-CN"/>
        </w:rPr>
        <w:t>esting pain in joints</w:t>
      </w:r>
      <w:r>
        <w:rPr>
          <w:rFonts w:hint="eastAsia"/>
          <w:szCs w:val="24"/>
          <w:lang w:eastAsia="zh-CN"/>
        </w:rPr>
        <w:t>;</w:t>
      </w:r>
      <w:r>
        <w:rPr>
          <w:rFonts w:hint="eastAsia"/>
          <w:szCs w:val="24"/>
          <w:lang w:eastAsia="zh-CN"/>
        </w:rPr>
        <w:t xml:space="preserve"> JTS, joint tenderness score; VAS-D, visual analogue scale for disability; VAS-P, visual analogue scale for pain.</w:t>
      </w:r>
    </w:p>
    <w:p w14:paraId="60955F3B" w14:textId="77777777" w:rsidR="00EA5AD9" w:rsidRDefault="00EA5AD9">
      <w:pPr>
        <w:rPr>
          <w:lang w:eastAsia="zh-Hans"/>
        </w:rPr>
      </w:pPr>
    </w:p>
    <w:p w14:paraId="5D733FF6" w14:textId="77777777" w:rsidR="00EA5AD9" w:rsidRDefault="00EA5AD9">
      <w:pPr>
        <w:rPr>
          <w:lang w:eastAsia="zh-Hans"/>
        </w:rPr>
      </w:pPr>
    </w:p>
    <w:p w14:paraId="29699EEE" w14:textId="77777777" w:rsidR="00EA5AD9" w:rsidRDefault="00EA5AD9"/>
    <w:p w14:paraId="5402CCC7" w14:textId="20AA2711" w:rsidR="00EA5AD9" w:rsidRDefault="00701810">
      <w:pPr>
        <w:rPr>
          <w:rFonts w:eastAsia="SimSun"/>
          <w:lang w:eastAsia="zh-CN"/>
        </w:rPr>
      </w:pPr>
      <w:r>
        <w:rPr>
          <w:rFonts w:hint="eastAsia"/>
          <w:noProof/>
        </w:rPr>
        <w:drawing>
          <wp:inline distT="0" distB="0" distL="114300" distR="114300" wp14:anchorId="727808C2" wp14:editId="01F4FF2E">
            <wp:extent cx="5010785" cy="1880870"/>
            <wp:effectExtent l="0" t="0" r="18415" b="5080"/>
            <wp:docPr id="11" name="图片 11" descr="Figure.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Figure.S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10785" cy="188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6D09A" w14:textId="7B90F72B" w:rsidR="00EA5AD9" w:rsidRDefault="00701810">
      <w:pPr>
        <w:rPr>
          <w:rFonts w:cs="Times New Roman"/>
          <w:szCs w:val="24"/>
          <w:lang w:eastAsia="zh-CN"/>
        </w:rPr>
      </w:pPr>
      <w:r>
        <w:rPr>
          <w:rFonts w:ascii="Times New Roman Bold" w:hAnsi="Times New Roman Bold" w:cs="Times New Roman Bold"/>
          <w:b/>
          <w:bCs/>
        </w:rPr>
        <w:t xml:space="preserve">Supplementary Figure </w:t>
      </w:r>
      <w:r>
        <w:rPr>
          <w:rFonts w:ascii="Times New Roman Bold" w:hAnsi="Times New Roman Bold" w:cs="Times New Roman Bold" w:hint="eastAsia"/>
          <w:b/>
          <w:bCs/>
          <w:lang w:eastAsia="zh-CN"/>
        </w:rPr>
        <w:t>5</w:t>
      </w:r>
      <w:r>
        <w:rPr>
          <w:rFonts w:ascii="Times New Roman Bold" w:hAnsi="Times New Roman Bold" w:cs="Times New Roman Bold"/>
          <w:b/>
          <w:bCs/>
        </w:rPr>
        <w:t>.</w:t>
      </w:r>
      <w:r>
        <w:rPr>
          <w:rFonts w:hint="eastAsia"/>
          <w:lang w:eastAsia="zh-CN"/>
        </w:rPr>
        <w:t xml:space="preserve"> </w:t>
      </w:r>
      <w:r>
        <w:rPr>
          <w:rFonts w:hint="eastAsia"/>
          <w:szCs w:val="21"/>
        </w:rPr>
        <w:t>Alteration</w:t>
      </w:r>
      <w:r>
        <w:rPr>
          <w:rFonts w:hint="eastAsia"/>
          <w:lang w:eastAsia="zh-CN"/>
        </w:rPr>
        <w:t xml:space="preserve"> of gut microbial composition after treatment by HQT and LEF. (A) Alpha diver</w:t>
      </w:r>
      <w:r>
        <w:rPr>
          <w:rFonts w:cs="Times New Roman" w:hint="eastAsia"/>
          <w:szCs w:val="24"/>
          <w:lang w:eastAsia="zh-CN"/>
        </w:rPr>
        <w:t>sity (Shannon index) between baseline and different treatment time points in RA patients treated with two drugs. P value were calculated using Wilcoxon rank-sum test. (B) Beta div</w:t>
      </w:r>
      <w:r>
        <w:rPr>
          <w:rFonts w:cs="Times New Roman" w:hint="eastAsia"/>
          <w:szCs w:val="24"/>
          <w:lang w:eastAsia="zh-CN"/>
        </w:rPr>
        <w:t>ersity between baseline and different treatment time points in RA patients treated with two drugs. P value were calculated using Wilcoxon singled-rank test.</w:t>
      </w:r>
    </w:p>
    <w:p w14:paraId="0B2D636A" w14:textId="77777777" w:rsidR="00EA5AD9" w:rsidRDefault="00701810">
      <w:pPr>
        <w:jc w:val="center"/>
        <w:rPr>
          <w:lang w:eastAsia="zh-CN"/>
        </w:rPr>
      </w:pPr>
      <w:r>
        <w:rPr>
          <w:rFonts w:hint="eastAsia"/>
          <w:noProof/>
          <w:lang w:eastAsia="zh-CN"/>
        </w:rPr>
        <w:lastRenderedPageBreak/>
        <w:drawing>
          <wp:inline distT="0" distB="0" distL="114300" distR="114300" wp14:anchorId="3D615E0F" wp14:editId="5B623B65">
            <wp:extent cx="4419600" cy="3447415"/>
            <wp:effectExtent l="0" t="0" r="0" b="635"/>
            <wp:docPr id="6" name="图片 6" descr="Figure.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igure.S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344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B8736" w14:textId="77777777" w:rsidR="00EA5AD9" w:rsidRDefault="00701810">
      <w:r>
        <w:rPr>
          <w:rFonts w:ascii="Times New Roman Bold" w:hAnsi="Times New Roman Bold" w:cs="Times New Roman Bold"/>
          <w:b/>
          <w:bCs/>
        </w:rPr>
        <w:t>Supplementary Figure</w:t>
      </w:r>
      <w:r>
        <w:rPr>
          <w:rFonts w:ascii="Times New Roman Bold" w:eastAsia="SimSun" w:hAnsi="Times New Roman Bold" w:cs="Times New Roman Bold" w:hint="eastAsia"/>
          <w:b/>
          <w:bCs/>
          <w:lang w:eastAsia="zh-CN"/>
        </w:rPr>
        <w:t xml:space="preserve"> 6</w:t>
      </w:r>
      <w:r>
        <w:rPr>
          <w:rFonts w:ascii="Times New Roman Bold" w:hAnsi="Times New Roman Bold" w:cs="Times New Roman Bold"/>
          <w:b/>
          <w:bCs/>
          <w:lang w:eastAsia="zh-CN"/>
        </w:rPr>
        <w:t>.</w:t>
      </w:r>
      <w:r>
        <w:rPr>
          <w:rFonts w:hint="eastAsia"/>
          <w:lang w:eastAsia="zh-CN"/>
        </w:rPr>
        <w:t xml:space="preserve"> </w:t>
      </w:r>
      <w:r>
        <w:rPr>
          <w:rFonts w:hint="eastAsia"/>
        </w:rPr>
        <w:t xml:space="preserve">The significant altar of species (A) and </w:t>
      </w:r>
      <w:proofErr w:type="spellStart"/>
      <w:r>
        <w:rPr>
          <w:rFonts w:hint="eastAsia"/>
        </w:rPr>
        <w:t>MetaCyc</w:t>
      </w:r>
      <w:proofErr w:type="spellEnd"/>
      <w:r>
        <w:rPr>
          <w:rFonts w:hint="eastAsia"/>
        </w:rPr>
        <w:t xml:space="preserve"> metabolic pathways (B) with LEF treatment progression (</w:t>
      </w:r>
      <w:proofErr w:type="spellStart"/>
      <w:r>
        <w:rPr>
          <w:rFonts w:hint="eastAsia"/>
        </w:rPr>
        <w:t>Jonckheere</w:t>
      </w:r>
      <w:proofErr w:type="spellEnd"/>
      <w:r>
        <w:rPr>
          <w:rFonts w:hint="eastAsia"/>
        </w:rPr>
        <w:t>–</w:t>
      </w:r>
      <w:r>
        <w:rPr>
          <w:rFonts w:hint="eastAsia"/>
        </w:rPr>
        <w:t>Terpstra test, P &lt; 0.05).</w:t>
      </w:r>
    </w:p>
    <w:sectPr w:rsidR="00EA5AD9">
      <w:headerReference w:type="even" r:id="rId14"/>
      <w:footerReference w:type="even" r:id="rId15"/>
      <w:footerReference w:type="default" r:id="rId16"/>
      <w:headerReference w:type="first" r:id="rId17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4D3653" w14:textId="77777777" w:rsidR="00701810" w:rsidRDefault="00701810">
      <w:r>
        <w:separator/>
      </w:r>
    </w:p>
  </w:endnote>
  <w:endnote w:type="continuationSeparator" w:id="0">
    <w:p w14:paraId="1FA48DB9" w14:textId="77777777" w:rsidR="00701810" w:rsidRDefault="007018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 Bold">
    <w:altName w:val="Times New Roman"/>
    <w:panose1 w:val="02020803070505020304"/>
    <w:charset w:val="00"/>
    <w:family w:val="auto"/>
    <w:pitch w:val="default"/>
    <w:sig w:usb0="00000000" w:usb1="00000000" w:usb2="00000001" w:usb3="00000000" w:csb0="400001BF" w:csb1="DFF7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720F6E" w14:textId="77777777" w:rsidR="00EA5AD9" w:rsidRDefault="00701810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54881B92" wp14:editId="04969F03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9A7F2E" w14:textId="77777777" w:rsidR="00EA5AD9" w:rsidRDefault="00701810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t>2</w: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shape id="Text Box 1" o:spid="_x0000_s1026" o:spt="202" type="#_x0000_t202" style="position:absolute;left:0pt;margin-left:434.15pt;margin-top:724.2pt;height:31.15pt;width:118.8pt;mso-position-horizontal-relative:page;mso-position-vertical-relative:page;z-index:251660288;mso-width-relative:page;mso-height-relative:page;" filled="f" stroked="f" coordsize="21600,21600" o:gfxdata="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TFdEItIAAAAEAQAADwAAAAAAAAABACAAAAAiAAAAZHJzL2Rvd25yZXYueG1sUEsBAhQA&#10;FAAAAAgAh07iQFsR1fExAgAAcwQAAA4AAAAAAAAAAQAgAAAAIQ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style="mso-fit-shape-to-text:t;">
                <w:txbxContent>
                  <w:p>
                    <w:pPr>
                      <w:jc w:val="right"/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</w:pP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begin"/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instrText xml:space="preserve"> PAGE  \* Arabic  \* MERGEFORMAT </w:instrText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separate"/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t>2</w:t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B8113F" w14:textId="77777777" w:rsidR="00EA5AD9" w:rsidRDefault="00701810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15EE9F1" wp14:editId="514190B3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28E89EC" w14:textId="77777777" w:rsidR="00EA5AD9" w:rsidRDefault="00701810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t>3</w: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shape id="Text Box 56" o:spid="_x0000_s1026" o:spt="202" type="#_x0000_t202" style="position:absolute;left:0pt;margin-left:434.15pt;margin-top:726.5pt;height:31.15pt;width:118.8pt;mso-position-horizontal-relative:page;mso-position-vertical-relative:page;z-index:251659264;mso-width-relative:page;mso-height-relative:page;" filled="f" stroked="f" coordsize="21600,21600" o:gfxdata="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">
              <v:fill on="f" focussize="0,0"/>
              <v:stroke on="f" weight="0.5pt"/>
              <v:imagedata o:title=""/>
              <o:lock v:ext="edit" aspectratio="f"/>
              <v:textbox style="mso-fit-shape-to-text:t;">
                <w:txbxContent>
                  <w:p>
                    <w:pPr>
                      <w:jc w:val="right"/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</w:pP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begin"/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instrText xml:space="preserve"> PAGE  \* Arabic  \* MERGEFORMAT </w:instrText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separate"/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t>3</w:t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A89E82" w14:textId="77777777" w:rsidR="00701810" w:rsidRDefault="00701810">
      <w:pPr>
        <w:spacing w:before="0" w:after="0"/>
      </w:pPr>
      <w:r>
        <w:separator/>
      </w:r>
    </w:p>
  </w:footnote>
  <w:footnote w:type="continuationSeparator" w:id="0">
    <w:p w14:paraId="3FDD712C" w14:textId="77777777" w:rsidR="00701810" w:rsidRDefault="00701810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1B3705" w14:textId="77777777" w:rsidR="00EA5AD9" w:rsidRDefault="00701810">
    <w:pPr>
      <w:rPr>
        <w:rFonts w:cs="Times New Roman"/>
      </w:rPr>
    </w:pPr>
    <w:r>
      <w:rPr>
        <w:rFonts w:cs="Times New Roman"/>
      </w:rPr>
      <w:ptab w:relativeTo="margin" w:alignment="center" w:leader="none"/>
    </w:r>
    <w:r>
      <w:rPr>
        <w:rFonts w:cs="Times New Roman"/>
      </w:rPr>
      <w:ptab w:relativeTo="margin" w:alignment="right" w:leader="none"/>
    </w:r>
    <w:r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67993F" w14:textId="77777777" w:rsidR="00EA5AD9" w:rsidRDefault="00701810">
    <w:r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5B590E2C" wp14:editId="0281A473">
          <wp:extent cx="1382395" cy="496570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C0601A"/>
    <w:multiLevelType w:val="multilevel"/>
    <w:tmpl w:val="1EC0601A"/>
    <w:lvl w:ilvl="0">
      <w:start w:val="1"/>
      <w:numFmt w:val="decimal"/>
      <w:pStyle w:val="Heading1"/>
      <w:lvlText w:val="%1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left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left" w:pos="567"/>
        </w:tabs>
        <w:ind w:left="567" w:hanging="567"/>
      </w:pPr>
      <w:rPr>
        <w:rFonts w:hint="default"/>
      </w:rPr>
    </w:lvl>
  </w:abstractNum>
  <w:abstractNum w:abstractNumId="1" w15:restartNumberingAfterBreak="0">
    <w:nsid w:val="225305B5"/>
    <w:multiLevelType w:val="multilevel"/>
    <w:tmpl w:val="225305B5"/>
    <w:lvl w:ilvl="0">
      <w:start w:val="1"/>
      <w:numFmt w:val="bullet"/>
      <w:pStyle w:val="ListParagraph1"/>
      <w:lvlText w:val=""/>
      <w:lvlJc w:val="left"/>
      <w:pPr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evenAndOddHeaders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D20B5"/>
    <w:rsid w:val="DCDFBCDB"/>
    <w:rsid w:val="F7EF913A"/>
    <w:rsid w:val="0001436A"/>
    <w:rsid w:val="00034304"/>
    <w:rsid w:val="00035434"/>
    <w:rsid w:val="00052A14"/>
    <w:rsid w:val="00077D53"/>
    <w:rsid w:val="00105FD9"/>
    <w:rsid w:val="00117666"/>
    <w:rsid w:val="001549D3"/>
    <w:rsid w:val="00160065"/>
    <w:rsid w:val="00177D84"/>
    <w:rsid w:val="00267D18"/>
    <w:rsid w:val="00274347"/>
    <w:rsid w:val="002868E2"/>
    <w:rsid w:val="002869C3"/>
    <w:rsid w:val="002936E4"/>
    <w:rsid w:val="002B4A57"/>
    <w:rsid w:val="002C74CA"/>
    <w:rsid w:val="003123F4"/>
    <w:rsid w:val="003544FB"/>
    <w:rsid w:val="003A266B"/>
    <w:rsid w:val="003D2F2D"/>
    <w:rsid w:val="00401590"/>
    <w:rsid w:val="00447801"/>
    <w:rsid w:val="00452E9C"/>
    <w:rsid w:val="004735C8"/>
    <w:rsid w:val="004947A6"/>
    <w:rsid w:val="004961FF"/>
    <w:rsid w:val="00517A89"/>
    <w:rsid w:val="005250F2"/>
    <w:rsid w:val="00593EEA"/>
    <w:rsid w:val="005A5EEE"/>
    <w:rsid w:val="006375C7"/>
    <w:rsid w:val="00654E8F"/>
    <w:rsid w:val="00660D05"/>
    <w:rsid w:val="006820B1"/>
    <w:rsid w:val="006B7D14"/>
    <w:rsid w:val="00701727"/>
    <w:rsid w:val="00701810"/>
    <w:rsid w:val="0070566C"/>
    <w:rsid w:val="00714C50"/>
    <w:rsid w:val="00725A7D"/>
    <w:rsid w:val="007501BE"/>
    <w:rsid w:val="00790BB3"/>
    <w:rsid w:val="007C206C"/>
    <w:rsid w:val="00817DD6"/>
    <w:rsid w:val="0083759F"/>
    <w:rsid w:val="00885156"/>
    <w:rsid w:val="008B01C1"/>
    <w:rsid w:val="009151AA"/>
    <w:rsid w:val="0093429D"/>
    <w:rsid w:val="00943573"/>
    <w:rsid w:val="00964134"/>
    <w:rsid w:val="00970F7D"/>
    <w:rsid w:val="00994A3D"/>
    <w:rsid w:val="009C2B12"/>
    <w:rsid w:val="00A174D9"/>
    <w:rsid w:val="00AA4D24"/>
    <w:rsid w:val="00AB6715"/>
    <w:rsid w:val="00B1671E"/>
    <w:rsid w:val="00B25EB8"/>
    <w:rsid w:val="00B37F4D"/>
    <w:rsid w:val="00C52A7B"/>
    <w:rsid w:val="00C56BAF"/>
    <w:rsid w:val="00C679AA"/>
    <w:rsid w:val="00C75972"/>
    <w:rsid w:val="00CD066B"/>
    <w:rsid w:val="00CE4FEE"/>
    <w:rsid w:val="00D060CF"/>
    <w:rsid w:val="00DB59C3"/>
    <w:rsid w:val="00DC259A"/>
    <w:rsid w:val="00DE23E8"/>
    <w:rsid w:val="00E52377"/>
    <w:rsid w:val="00E537AD"/>
    <w:rsid w:val="00E64E17"/>
    <w:rsid w:val="00E866C9"/>
    <w:rsid w:val="00EA3D3C"/>
    <w:rsid w:val="00EA5AD9"/>
    <w:rsid w:val="00EC090A"/>
    <w:rsid w:val="00ED20B5"/>
    <w:rsid w:val="00F46900"/>
    <w:rsid w:val="00F61D89"/>
    <w:rsid w:val="09066481"/>
    <w:rsid w:val="0BCA3EA3"/>
    <w:rsid w:val="0D7D20F8"/>
    <w:rsid w:val="1BFF31F6"/>
    <w:rsid w:val="26E06DCC"/>
    <w:rsid w:val="3F7631A4"/>
    <w:rsid w:val="408E519D"/>
    <w:rsid w:val="443716E7"/>
    <w:rsid w:val="482E0094"/>
    <w:rsid w:val="4CA676C6"/>
    <w:rsid w:val="55CB57B9"/>
    <w:rsid w:val="560414DE"/>
    <w:rsid w:val="58EC57A5"/>
    <w:rsid w:val="689D0649"/>
    <w:rsid w:val="6F4926EF"/>
    <w:rsid w:val="72A06DBB"/>
    <w:rsid w:val="7CFA530F"/>
    <w:rsid w:val="7EAD20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38D0DE6"/>
  <w15:docId w15:val="{101E409B-189F-400A-A29C-B8A3BACBAE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uiPriority="2" w:qFormat="1"/>
    <w:lsdException w:name="heading 3" w:uiPriority="2" w:qFormat="1"/>
    <w:lsdException w:name="heading 4" w:uiPriority="2" w:qFormat="1"/>
    <w:lsdException w:name="heading 5" w:uiPriority="2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unhideWhenUsed="1" w:qFormat="1"/>
    <w:lsdException w:name="annotation text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unhideWhenUsed="1" w:qFormat="1"/>
    <w:lsdException w:name="annotation reference" w:unhideWhenUsed="1" w:qFormat="1"/>
    <w:lsdException w:name="line number" w:unhideWhenUsed="1" w:qFormat="1"/>
    <w:lsdException w:name="page number" w:semiHidden="1" w:unhideWhenUsed="1"/>
    <w:lsdException w:name="endnote reference" w:unhideWhenUsed="1" w:qFormat="1"/>
    <w:lsdException w:name="endnote text" w:unhideWhenUsed="1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5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before="120" w:after="240"/>
    </w:pPr>
    <w:rPr>
      <w:rFonts w:eastAsiaTheme="minorHAnsi" w:cstheme="minorBidi"/>
      <w:sz w:val="24"/>
      <w:szCs w:val="22"/>
      <w:lang w:val="en-US" w:eastAsia="en-US"/>
    </w:rPr>
  </w:style>
  <w:style w:type="paragraph" w:styleId="Heading1">
    <w:name w:val="heading 1"/>
    <w:basedOn w:val="ListParagraph1"/>
    <w:next w:val="Normal"/>
    <w:link w:val="Heading1Char"/>
    <w:uiPriority w:val="2"/>
    <w:qFormat/>
    <w:pPr>
      <w:numPr>
        <w:numId w:val="1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pPr>
      <w:keepNext/>
      <w:keepLines/>
      <w:numPr>
        <w:ilvl w:val="2"/>
        <w:numId w:val="1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stParagraph1">
    <w:name w:val="List Paragraph1"/>
    <w:basedOn w:val="Normal"/>
    <w:uiPriority w:val="3"/>
    <w:qFormat/>
    <w:pPr>
      <w:numPr>
        <w:numId w:val="2"/>
      </w:numPr>
      <w:contextualSpacing/>
    </w:pPr>
    <w:rPr>
      <w:rFonts w:eastAsia="Cambria" w:cs="Times New Roman"/>
      <w:szCs w:val="24"/>
    </w:rPr>
  </w:style>
  <w:style w:type="paragraph" w:styleId="Caption">
    <w:name w:val="caption"/>
    <w:basedOn w:val="Normal"/>
    <w:next w:val="NoSpacing1"/>
    <w:uiPriority w:val="35"/>
    <w:unhideWhenUsed/>
    <w:qFormat/>
    <w:pPr>
      <w:keepNext/>
    </w:pPr>
    <w:rPr>
      <w:rFonts w:cs="Times New Roman"/>
      <w:b/>
      <w:bCs/>
      <w:szCs w:val="24"/>
    </w:rPr>
  </w:style>
  <w:style w:type="paragraph" w:customStyle="1" w:styleId="NoSpacing1">
    <w:name w:val="No Spacing1"/>
    <w:uiPriority w:val="99"/>
    <w:unhideWhenUsed/>
    <w:qFormat/>
    <w:rPr>
      <w:rFonts w:eastAsiaTheme="minorHAnsi" w:cstheme="minorBidi"/>
      <w:sz w:val="24"/>
      <w:szCs w:val="22"/>
      <w:lang w:val="en-US" w:eastAsia="en-US"/>
    </w:rPr>
  </w:style>
  <w:style w:type="paragraph" w:styleId="CommentText">
    <w:name w:val="annotation text"/>
    <w:basedOn w:val="Normal"/>
    <w:link w:val="CommentTextChar"/>
    <w:uiPriority w:val="99"/>
    <w:unhideWhenUsed/>
    <w:qFormat/>
    <w:rPr>
      <w:sz w:val="20"/>
      <w:szCs w:val="20"/>
    </w:rPr>
  </w:style>
  <w:style w:type="paragraph" w:styleId="EndnoteText">
    <w:name w:val="endnote text"/>
    <w:basedOn w:val="Normal"/>
    <w:link w:val="EndnoteTextChar"/>
    <w:uiPriority w:val="99"/>
    <w:unhideWhenUsed/>
    <w:qFormat/>
    <w:pPr>
      <w:spacing w:after="0"/>
    </w:pPr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unhideWhenUsed/>
    <w:qFormat/>
    <w:pPr>
      <w:spacing w:after="0"/>
    </w:pPr>
    <w:rPr>
      <w:rFonts w:ascii="Tahoma" w:hAnsi="Tahoma" w:cs="Tahoma"/>
      <w:sz w:val="16"/>
      <w:szCs w:val="16"/>
    </w:r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844"/>
        <w:tab w:val="right" w:pos="9689"/>
      </w:tabs>
      <w:spacing w:after="0"/>
    </w:p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844"/>
        <w:tab w:val="right" w:pos="9689"/>
      </w:tabs>
    </w:pPr>
    <w:rPr>
      <w:b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pPr>
      <w:spacing w:before="240"/>
    </w:pPr>
    <w:rPr>
      <w:rFonts w:cs="Times New Roman"/>
      <w:b/>
      <w:szCs w:val="24"/>
    </w:rPr>
  </w:style>
  <w:style w:type="paragraph" w:styleId="FootnoteText">
    <w:name w:val="footnote text"/>
    <w:basedOn w:val="Normal"/>
    <w:link w:val="FootnoteTextChar"/>
    <w:uiPriority w:val="99"/>
    <w:unhideWhenUsed/>
    <w:qFormat/>
    <w:pPr>
      <w:spacing w:after="0"/>
    </w:pPr>
    <w:rPr>
      <w:sz w:val="20"/>
      <w:szCs w:val="20"/>
    </w:rPr>
  </w:style>
  <w:style w:type="paragraph" w:styleId="NormalWeb">
    <w:name w:val="Normal (Web)"/>
    <w:basedOn w:val="Normal"/>
    <w:uiPriority w:val="99"/>
    <w:unhideWhenUsed/>
    <w:qFormat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Title">
    <w:name w:val="Title"/>
    <w:basedOn w:val="Normal"/>
    <w:next w:val="Normal"/>
    <w:link w:val="TitleChar"/>
    <w:qFormat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paragraph" w:styleId="CommentSubject">
    <w:name w:val="annotation subject"/>
    <w:basedOn w:val="CommentText"/>
    <w:next w:val="CommentText"/>
    <w:link w:val="CommentSubjectChar"/>
    <w:uiPriority w:val="99"/>
    <w:unhideWhenUsed/>
    <w:qFormat/>
    <w:rPr>
      <w:b/>
      <w:bCs/>
    </w:rPr>
  </w:style>
  <w:style w:type="table" w:styleId="TableGrid">
    <w:name w:val="Table Grid"/>
    <w:basedOn w:val="TableNormal"/>
    <w:uiPriority w:val="59"/>
    <w:qFormat/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Pr>
      <w:rFonts w:ascii="Times New Roman" w:hAnsi="Times New Roman"/>
      <w:b/>
      <w:bCs/>
    </w:rPr>
  </w:style>
  <w:style w:type="character" w:styleId="EndnoteReference">
    <w:name w:val="endnote reference"/>
    <w:basedOn w:val="DefaultParagraphFont"/>
    <w:uiPriority w:val="99"/>
    <w:unhideWhenUsed/>
    <w:qFormat/>
    <w:rPr>
      <w:vertAlign w:val="superscript"/>
    </w:rPr>
  </w:style>
  <w:style w:type="character" w:styleId="FollowedHyperlink">
    <w:name w:val="FollowedHyperlink"/>
    <w:basedOn w:val="DefaultParagraphFont"/>
    <w:uiPriority w:val="99"/>
    <w:unhideWhenUsed/>
    <w:qFormat/>
    <w:rPr>
      <w:color w:val="800080" w:themeColor="followedHyperlink"/>
      <w:u w:val="single"/>
    </w:rPr>
  </w:style>
  <w:style w:type="character" w:styleId="Emphasis">
    <w:name w:val="Emphasis"/>
    <w:basedOn w:val="DefaultParagraphFont"/>
    <w:uiPriority w:val="20"/>
    <w:qFormat/>
    <w:rPr>
      <w:rFonts w:ascii="Times New Roman" w:hAnsi="Times New Roman"/>
      <w:i/>
      <w:iCs/>
    </w:rPr>
  </w:style>
  <w:style w:type="character" w:styleId="LineNumber">
    <w:name w:val="line number"/>
    <w:basedOn w:val="DefaultParagraphFont"/>
    <w:uiPriority w:val="99"/>
    <w:unhideWhenUsed/>
    <w:qFormat/>
  </w:style>
  <w:style w:type="character" w:styleId="Hyperlink">
    <w:name w:val="Hyperlink"/>
    <w:basedOn w:val="DefaultParagraphFont"/>
    <w:uiPriority w:val="99"/>
    <w:unhideWhenUsed/>
    <w:qFormat/>
    <w:rPr>
      <w:color w:val="0000FF"/>
      <w:u w:val="single"/>
    </w:rPr>
  </w:style>
  <w:style w:type="character" w:styleId="CommentReference">
    <w:name w:val="annotation reference"/>
    <w:basedOn w:val="DefaultParagraphFont"/>
    <w:uiPriority w:val="99"/>
    <w:unhideWhenUsed/>
    <w:qFormat/>
    <w:rPr>
      <w:sz w:val="16"/>
      <w:szCs w:val="16"/>
    </w:rPr>
  </w:style>
  <w:style w:type="character" w:styleId="FootnoteReference">
    <w:name w:val="footnote reference"/>
    <w:basedOn w:val="DefaultParagraphFont"/>
    <w:uiPriority w:val="99"/>
    <w:unhideWhenUsed/>
    <w:qFormat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2"/>
    <w:qFormat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qFormat/>
    <w:rPr>
      <w:rFonts w:ascii="Times New Roman" w:eastAsia="Cambria" w:hAnsi="Times New Roman" w:cs="Times New Roman"/>
      <w:b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qFormat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basedOn w:val="Subtitle"/>
    <w:next w:val="Normal"/>
    <w:uiPriority w:val="1"/>
    <w:qFormat/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BookTitle1">
    <w:name w:val="Book Title1"/>
    <w:basedOn w:val="DefaultParagraphFont"/>
    <w:uiPriority w:val="33"/>
    <w:qFormat/>
    <w:rPr>
      <w:rFonts w:ascii="Times New Roman" w:hAnsi="Times New Roman"/>
      <w:b/>
      <w:bCs/>
      <w:i/>
      <w:iCs/>
      <w:spacing w:val="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Pr>
      <w:rFonts w:ascii="Times New Roman" w:hAnsi="Times New Roman"/>
      <w:b/>
      <w:bCs/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rFonts w:ascii="Times New Roman" w:hAnsi="Times New Roman"/>
      <w:sz w:val="24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qFormat/>
    <w:rPr>
      <w:rFonts w:ascii="Times New Roman" w:hAnsi="Times New Roman"/>
      <w:b/>
      <w:sz w:val="24"/>
    </w:rPr>
  </w:style>
  <w:style w:type="character" w:customStyle="1" w:styleId="IntenseEmphasis1">
    <w:name w:val="Intense Emphasis1"/>
    <w:basedOn w:val="DefaultParagraphFont"/>
    <w:uiPriority w:val="21"/>
    <w:unhideWhenUsed/>
    <w:qFormat/>
    <w:rPr>
      <w:rFonts w:ascii="Times New Roman" w:hAnsi="Times New Roman"/>
      <w:i/>
      <w:iCs/>
      <w:color w:val="auto"/>
    </w:rPr>
  </w:style>
  <w:style w:type="character" w:customStyle="1" w:styleId="IntenseReference1">
    <w:name w:val="Intense Reference1"/>
    <w:basedOn w:val="DefaultParagraphFont"/>
    <w:uiPriority w:val="32"/>
    <w:qFormat/>
    <w:rPr>
      <w:b/>
      <w:bCs/>
      <w:smallCaps/>
      <w:color w:val="auto"/>
      <w:spacing w:val="5"/>
    </w:rPr>
  </w:style>
  <w:style w:type="character" w:customStyle="1" w:styleId="Heading3Char">
    <w:name w:val="Heading 3 Char"/>
    <w:basedOn w:val="DefaultParagraphFont"/>
    <w:link w:val="Heading3"/>
    <w:uiPriority w:val="2"/>
    <w:qFormat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qFormat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qFormat/>
    <w:rPr>
      <w:rFonts w:ascii="Times New Roman" w:eastAsiaTheme="majorEastAsia" w:hAnsi="Times New Roman" w:cstheme="majorBidi"/>
      <w:b/>
      <w:iCs/>
      <w:sz w:val="24"/>
      <w:szCs w:val="24"/>
    </w:rPr>
  </w:style>
  <w:style w:type="paragraph" w:customStyle="1" w:styleId="Quote1">
    <w:name w:val="Quote1"/>
    <w:basedOn w:val="Normal"/>
    <w:next w:val="Normal"/>
    <w:link w:val="QuoteChar"/>
    <w:uiPriority w:val="29"/>
    <w:qFormat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1"/>
    <w:uiPriority w:val="29"/>
    <w:qFormat/>
    <w:rPr>
      <w:rFonts w:ascii="Times New Roman" w:hAnsi="Times New Roman"/>
      <w:i/>
      <w:iCs/>
      <w:color w:val="404040" w:themeColor="text1" w:themeTint="BF"/>
      <w:sz w:val="24"/>
    </w:rPr>
  </w:style>
  <w:style w:type="character" w:customStyle="1" w:styleId="SubtleEmphasis1">
    <w:name w:val="Subtle Emphasis1"/>
    <w:basedOn w:val="DefaultParagraphFont"/>
    <w:uiPriority w:val="19"/>
    <w:qFormat/>
    <w:rPr>
      <w:rFonts w:ascii="Times New Roman" w:hAnsi="Times New Roman"/>
      <w:i/>
      <w:iCs/>
      <w:color w:val="404040" w:themeColor="text1" w:themeTint="BF"/>
    </w:rPr>
  </w:style>
  <w:style w:type="character" w:customStyle="1" w:styleId="TitleChar">
    <w:name w:val="Title Char"/>
    <w:basedOn w:val="DefaultParagraphFont"/>
    <w:link w:val="Title"/>
    <w:qFormat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tif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889</Words>
  <Characters>5070</Characters>
  <Application>Microsoft Office Word</Application>
  <DocSecurity>0</DocSecurity>
  <Lines>42</Lines>
  <Paragraphs>11</Paragraphs>
  <ScaleCrop>false</ScaleCrop>
  <Company/>
  <LinksUpToDate>false</LinksUpToDate>
  <CharactersWithSpaces>5948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Megan Bond</cp:lastModifiedBy>
  <cp:revision>2</cp:revision>
  <cp:lastPrinted>2013-10-04T04:51:00Z</cp:lastPrinted>
  <dcterms:created xsi:type="dcterms:W3CDTF">2021-09-24T10:19:00Z</dcterms:created>
  <dcterms:modified xsi:type="dcterms:W3CDTF">2021-09-24T10:19:00Z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151B009C5AEB4BAC94F69BA5B333A959</vt:lpwstr>
  </property>
</Properties>
</file>