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31F2" w14:textId="77777777" w:rsidR="00F805C2" w:rsidRPr="001549D3" w:rsidRDefault="00F805C2" w:rsidP="00F805C2">
      <w:pPr>
        <w:pStyle w:val="SupplementaryMaterial"/>
        <w:rPr>
          <w:b w:val="0"/>
        </w:rPr>
      </w:pPr>
      <w:bookmarkStart w:id="0" w:name="_Hlk43387242"/>
      <w:r w:rsidRPr="001549D3">
        <w:t>Supplementary Material</w:t>
      </w:r>
    </w:p>
    <w:p w14:paraId="42FE91D9" w14:textId="28086125" w:rsidR="00DE06FE" w:rsidRDefault="00DE06FE" w:rsidP="00DE06FE">
      <w:pPr>
        <w:spacing w:line="480" w:lineRule="auto"/>
        <w:rPr>
          <w:rFonts w:ascii="Arial" w:hAnsi="Arial" w:cs="Arial"/>
          <w:vertAlign w:val="superscript"/>
        </w:rPr>
      </w:pPr>
    </w:p>
    <w:p w14:paraId="1C5032FE" w14:textId="39DC4D18" w:rsidR="00F805C2" w:rsidRDefault="00F805C2" w:rsidP="002F651C">
      <w:pPr>
        <w:pStyle w:val="C-BodyText"/>
        <w:numPr>
          <w:ilvl w:val="0"/>
          <w:numId w:val="4"/>
        </w:numPr>
        <w:spacing w:line="240" w:lineRule="auto"/>
        <w:ind w:left="450" w:hanging="450"/>
        <w:rPr>
          <w:b/>
          <w:bCs/>
          <w:szCs w:val="24"/>
        </w:rPr>
      </w:pPr>
      <w:bookmarkStart w:id="1" w:name="_Toc433737231"/>
      <w:r w:rsidRPr="00F805C2">
        <w:rPr>
          <w:b/>
          <w:bCs/>
          <w:szCs w:val="24"/>
        </w:rPr>
        <w:t>Supplementary Data</w:t>
      </w:r>
    </w:p>
    <w:p w14:paraId="24121EBB" w14:textId="77777777" w:rsidR="008F553D" w:rsidRDefault="008F553D" w:rsidP="00641648">
      <w:pPr>
        <w:pStyle w:val="C-BodyText"/>
        <w:spacing w:line="240" w:lineRule="auto"/>
        <w:rPr>
          <w:b/>
          <w:bCs/>
          <w:szCs w:val="24"/>
        </w:rPr>
      </w:pPr>
    </w:p>
    <w:p w14:paraId="2B83C8BB" w14:textId="02A8E2D1" w:rsidR="009C4E14" w:rsidRPr="00F805C2" w:rsidRDefault="00641648" w:rsidP="00641648">
      <w:pPr>
        <w:pStyle w:val="C-BodyText"/>
        <w:spacing w:line="240" w:lineRule="auto"/>
        <w:rPr>
          <w:b/>
          <w:bCs/>
          <w:szCs w:val="24"/>
        </w:rPr>
      </w:pPr>
      <w:r>
        <w:rPr>
          <w:b/>
          <w:bCs/>
          <w:szCs w:val="24"/>
        </w:rPr>
        <w:t xml:space="preserve">1.1. </w:t>
      </w:r>
      <w:r w:rsidR="009C4E14" w:rsidRPr="00F805C2">
        <w:rPr>
          <w:b/>
          <w:bCs/>
          <w:szCs w:val="24"/>
        </w:rPr>
        <w:t>Materials and Methods</w:t>
      </w:r>
    </w:p>
    <w:p w14:paraId="364EA8A7" w14:textId="77777777" w:rsidR="008F553D" w:rsidRDefault="008F553D" w:rsidP="00F805C2">
      <w:pPr>
        <w:pStyle w:val="C-BodyText"/>
        <w:spacing w:line="240" w:lineRule="auto"/>
        <w:rPr>
          <w:b/>
          <w:bCs/>
          <w:i/>
          <w:iCs/>
          <w:szCs w:val="24"/>
        </w:rPr>
      </w:pPr>
    </w:p>
    <w:p w14:paraId="0C3ACDB2" w14:textId="22BC8BDF" w:rsidR="00C02A93" w:rsidRPr="00F805C2" w:rsidRDefault="006533AF" w:rsidP="00F805C2">
      <w:pPr>
        <w:pStyle w:val="C-BodyText"/>
        <w:spacing w:line="240" w:lineRule="auto"/>
        <w:rPr>
          <w:b/>
          <w:bCs/>
          <w:i/>
          <w:iCs/>
          <w:szCs w:val="24"/>
        </w:rPr>
      </w:pPr>
      <w:r w:rsidRPr="00F805C2">
        <w:rPr>
          <w:b/>
          <w:bCs/>
          <w:i/>
          <w:iCs/>
          <w:szCs w:val="24"/>
        </w:rPr>
        <w:t>Clinical s</w:t>
      </w:r>
      <w:r w:rsidR="00C02A93" w:rsidRPr="00F805C2">
        <w:rPr>
          <w:b/>
          <w:bCs/>
          <w:i/>
          <w:iCs/>
          <w:szCs w:val="24"/>
        </w:rPr>
        <w:t xml:space="preserve">afety </w:t>
      </w:r>
      <w:r w:rsidRPr="00F805C2">
        <w:rPr>
          <w:b/>
          <w:bCs/>
          <w:i/>
          <w:iCs/>
          <w:szCs w:val="24"/>
        </w:rPr>
        <w:t>as</w:t>
      </w:r>
      <w:r w:rsidR="00C02A93" w:rsidRPr="00F805C2">
        <w:rPr>
          <w:b/>
          <w:bCs/>
          <w:i/>
          <w:iCs/>
          <w:szCs w:val="24"/>
        </w:rPr>
        <w:t>sessments</w:t>
      </w:r>
    </w:p>
    <w:p w14:paraId="29B4FAFF" w14:textId="5A2382C3" w:rsidR="00C02A93" w:rsidRPr="00F805C2" w:rsidRDefault="00C02A93" w:rsidP="00F805C2">
      <w:pPr>
        <w:pStyle w:val="C-BodyText"/>
        <w:spacing w:line="240" w:lineRule="auto"/>
        <w:jc w:val="both"/>
        <w:rPr>
          <w:szCs w:val="24"/>
        </w:rPr>
      </w:pPr>
      <w:r w:rsidRPr="00F805C2">
        <w:rPr>
          <w:szCs w:val="24"/>
        </w:rPr>
        <w:t>A complete medical history was obtained at the Screening Visit. The medical history also</w:t>
      </w:r>
      <w:r w:rsidR="003135EE" w:rsidRPr="00F805C2">
        <w:rPr>
          <w:szCs w:val="24"/>
        </w:rPr>
        <w:t xml:space="preserve"> </w:t>
      </w:r>
      <w:r w:rsidRPr="00F805C2">
        <w:rPr>
          <w:szCs w:val="24"/>
        </w:rPr>
        <w:t xml:space="preserve">included demographic information, alcohol and tobacco history, medications, dental procedures, and dental history information. </w:t>
      </w:r>
    </w:p>
    <w:p w14:paraId="301F3201" w14:textId="72BC5DCF" w:rsidR="00C02A93" w:rsidRPr="00F805C2" w:rsidRDefault="00C02A93" w:rsidP="00F805C2">
      <w:pPr>
        <w:pStyle w:val="C-BodyText"/>
        <w:spacing w:line="240" w:lineRule="auto"/>
        <w:jc w:val="both"/>
        <w:rPr>
          <w:szCs w:val="24"/>
        </w:rPr>
      </w:pPr>
      <w:r w:rsidRPr="00F805C2">
        <w:rPr>
          <w:szCs w:val="24"/>
        </w:rPr>
        <w:t xml:space="preserve">Vital signs, including oral temperature, pulse rate, respiratory rate, and blood pressure, were measured at all study visits beginning with the Screening Visit and through the Day 28 Visit. Weight was collected only at the Screening and Day 28 Visits. </w:t>
      </w:r>
    </w:p>
    <w:p w14:paraId="786FD516" w14:textId="48C5ED9A" w:rsidR="00C02A93" w:rsidRPr="00F805C2" w:rsidRDefault="00C02A93" w:rsidP="00F805C2">
      <w:pPr>
        <w:pStyle w:val="C-BodyText"/>
        <w:spacing w:line="240" w:lineRule="auto"/>
        <w:jc w:val="both"/>
        <w:rPr>
          <w:szCs w:val="24"/>
        </w:rPr>
      </w:pPr>
      <w:r w:rsidRPr="00F805C2">
        <w:rPr>
          <w:szCs w:val="24"/>
        </w:rPr>
        <w:t xml:space="preserve">An intraoral and extraoral examination was conducted at each visit from baseline through the Day 28 Visit. During the intraoral examination, the oral cavity was evaluated for ulceration and erythema using the Oral Mucositis Assessment Scale (OMAS) </w:t>
      </w:r>
      <w:r w:rsidR="00302D86" w:rsidRPr="00F805C2">
        <w:rPr>
          <w:szCs w:val="24"/>
        </w:rPr>
        <w:fldChar w:fldCharType="begin">
          <w:fldData xml:space="preserve">PEVuZE5vdGU+PENpdGU+PEF1dGhvcj5Tb25pczwvQXV0aG9yPjxZZWFyPjE5OTk8L1llYXI+PFJl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</w:fldData>
        </w:fldChar>
      </w:r>
      <w:r w:rsidR="008515B4" w:rsidRPr="00F805C2">
        <w:rPr>
          <w:szCs w:val="24"/>
        </w:rPr>
        <w:instrText xml:space="preserve"> ADDIN EN.CITE </w:instrText>
      </w:r>
      <w:r w:rsidR="008515B4" w:rsidRPr="00F805C2">
        <w:rPr>
          <w:szCs w:val="24"/>
        </w:rPr>
        <w:fldChar w:fldCharType="begin">
          <w:fldData xml:space="preserve">PEVuZE5vdGU+PENpdGU+PEF1dGhvcj5Tb25pczwvQXV0aG9yPjxZZWFyPjE5OTk8L1llYXI+PFJl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</w:fldData>
        </w:fldChar>
      </w:r>
      <w:r w:rsidR="008515B4" w:rsidRPr="00F805C2">
        <w:rPr>
          <w:szCs w:val="24"/>
        </w:rPr>
        <w:instrText xml:space="preserve"> ADDIN EN.CITE.DATA </w:instrText>
      </w:r>
      <w:r w:rsidR="008515B4" w:rsidRPr="00F805C2">
        <w:rPr>
          <w:szCs w:val="24"/>
        </w:rPr>
      </w:r>
      <w:r w:rsidR="008515B4" w:rsidRPr="00F805C2">
        <w:rPr>
          <w:szCs w:val="24"/>
        </w:rPr>
        <w:fldChar w:fldCharType="end"/>
      </w:r>
      <w:r w:rsidR="00302D86" w:rsidRPr="00F805C2">
        <w:rPr>
          <w:szCs w:val="24"/>
        </w:rPr>
      </w:r>
      <w:r w:rsidR="00302D86" w:rsidRPr="00F805C2">
        <w:rPr>
          <w:szCs w:val="24"/>
        </w:rPr>
        <w:fldChar w:fldCharType="separate"/>
      </w:r>
      <w:r w:rsidR="008515B4" w:rsidRPr="00F805C2">
        <w:rPr>
          <w:noProof/>
          <w:szCs w:val="24"/>
        </w:rPr>
        <w:t>(1)</w:t>
      </w:r>
      <w:r w:rsidR="00302D86" w:rsidRPr="00F805C2">
        <w:rPr>
          <w:szCs w:val="24"/>
        </w:rPr>
        <w:fldChar w:fldCharType="end"/>
      </w:r>
      <w:r w:rsidRPr="00F805C2">
        <w:rPr>
          <w:szCs w:val="24"/>
        </w:rPr>
        <w:t>.</w:t>
      </w:r>
      <w:r w:rsidR="00302D86" w:rsidRPr="00F805C2">
        <w:rPr>
          <w:szCs w:val="24"/>
        </w:rPr>
        <w:t xml:space="preserve"> </w:t>
      </w:r>
      <w:r w:rsidRPr="00F805C2">
        <w:rPr>
          <w:szCs w:val="24"/>
        </w:rPr>
        <w:t xml:space="preserve"> The first 10 subjects were scored by 2 independent examiners at each study visit through Day 28 to ensure consistency across examiners. </w:t>
      </w:r>
      <w:r w:rsidR="00302D86" w:rsidRPr="00F805C2">
        <w:rPr>
          <w:szCs w:val="24"/>
        </w:rPr>
        <w:t xml:space="preserve"> </w:t>
      </w:r>
      <w:r w:rsidRPr="00F805C2">
        <w:rPr>
          <w:szCs w:val="24"/>
        </w:rPr>
        <w:t>After the first 10 subjects, the OMAS was scored only once at each study visit. The OMAS was used to evaluate ulceration and erythema at the following sites: Upper and lower lips; hard and soft palate/</w:t>
      </w:r>
      <w:proofErr w:type="spellStart"/>
      <w:r w:rsidRPr="00F805C2">
        <w:rPr>
          <w:szCs w:val="24"/>
        </w:rPr>
        <w:t>fauces</w:t>
      </w:r>
      <w:proofErr w:type="spellEnd"/>
      <w:r w:rsidRPr="00F805C2">
        <w:rPr>
          <w:szCs w:val="24"/>
        </w:rPr>
        <w:t>; right and left buccal mucosa; ventral and lateral surfaces on the tongue; floor of mouth.</w:t>
      </w:r>
    </w:p>
    <w:p w14:paraId="185C6D2D" w14:textId="11E99343" w:rsidR="00C02A93" w:rsidRPr="00F805C2" w:rsidRDefault="00C02A93" w:rsidP="00F805C2">
      <w:pPr>
        <w:pStyle w:val="C-BodyText"/>
        <w:spacing w:line="240" w:lineRule="auto"/>
        <w:jc w:val="both"/>
        <w:rPr>
          <w:szCs w:val="24"/>
        </w:rPr>
      </w:pPr>
      <w:r w:rsidRPr="00F805C2">
        <w:rPr>
          <w:szCs w:val="24"/>
        </w:rPr>
        <w:t>Adverse events were recorded at each visit except the screening visit and baseline visit. The participant provided the completed diary, and was interviewed to collect information regarding solicited AEs.</w:t>
      </w:r>
      <w:r w:rsidR="003135EE" w:rsidRPr="00F805C2">
        <w:rPr>
          <w:szCs w:val="24"/>
        </w:rPr>
        <w:t xml:space="preserve"> </w:t>
      </w:r>
    </w:p>
    <w:p w14:paraId="1EEA3958" w14:textId="347E19AC" w:rsidR="00C02A93" w:rsidRPr="00F805C2" w:rsidRDefault="00C02A93" w:rsidP="00F805C2">
      <w:pPr>
        <w:pStyle w:val="C-BodyText"/>
        <w:spacing w:line="240" w:lineRule="auto"/>
        <w:jc w:val="both"/>
        <w:rPr>
          <w:szCs w:val="24"/>
        </w:rPr>
      </w:pPr>
      <w:r w:rsidRPr="00F805C2">
        <w:rPr>
          <w:szCs w:val="24"/>
        </w:rPr>
        <w:t xml:space="preserve">Blood and urine samples were sent to a clinical laboratory </w:t>
      </w:r>
      <w:r w:rsidR="00BA7E36" w:rsidRPr="00F805C2">
        <w:rPr>
          <w:szCs w:val="24"/>
        </w:rPr>
        <w:t xml:space="preserve">(Quest Diagnostics Laboratories, </w:t>
      </w:r>
      <w:r w:rsidR="0077116A" w:rsidRPr="00F805C2">
        <w:rPr>
          <w:szCs w:val="24"/>
        </w:rPr>
        <w:t xml:space="preserve">Marlborough, </w:t>
      </w:r>
      <w:r w:rsidR="00BA7E36" w:rsidRPr="00F805C2">
        <w:rPr>
          <w:szCs w:val="24"/>
        </w:rPr>
        <w:t xml:space="preserve">MA) </w:t>
      </w:r>
      <w:r w:rsidR="003135EE" w:rsidRPr="00F805C2">
        <w:rPr>
          <w:szCs w:val="24"/>
        </w:rPr>
        <w:t>for the tests including c</w:t>
      </w:r>
      <w:r w:rsidRPr="00F805C2">
        <w:rPr>
          <w:szCs w:val="24"/>
        </w:rPr>
        <w:t>omplete blood count</w:t>
      </w:r>
      <w:r w:rsidR="00BA7E36" w:rsidRPr="00F805C2">
        <w:rPr>
          <w:szCs w:val="24"/>
        </w:rPr>
        <w:t xml:space="preserve"> [hemoglobin, hematocrit, red blood cell count</w:t>
      </w:r>
      <w:r w:rsidR="00CE2391" w:rsidRPr="00F805C2">
        <w:rPr>
          <w:szCs w:val="24"/>
        </w:rPr>
        <w:t xml:space="preserve"> (RBC)</w:t>
      </w:r>
      <w:r w:rsidR="00BA7E36" w:rsidRPr="00F805C2">
        <w:rPr>
          <w:szCs w:val="24"/>
        </w:rPr>
        <w:t xml:space="preserve">, white blood cell </w:t>
      </w:r>
      <w:r w:rsidR="00CE2391" w:rsidRPr="00F805C2">
        <w:rPr>
          <w:szCs w:val="24"/>
        </w:rPr>
        <w:t xml:space="preserve">(WBC) </w:t>
      </w:r>
      <w:r w:rsidR="00BA7E36" w:rsidRPr="00F805C2">
        <w:rPr>
          <w:szCs w:val="24"/>
        </w:rPr>
        <w:t>count with differential and absolute counts by WBC type, platelet count, and RBC indices (mean corpuscular volume, mean corpuscular hemoglobin concentration, RBC distribution width)</w:t>
      </w:r>
      <w:r w:rsidR="00CE2391" w:rsidRPr="00F805C2">
        <w:rPr>
          <w:szCs w:val="24"/>
        </w:rPr>
        <w:t>]</w:t>
      </w:r>
      <w:r w:rsidR="003135EE" w:rsidRPr="00F805C2">
        <w:rPr>
          <w:szCs w:val="24"/>
        </w:rPr>
        <w:t>, e</w:t>
      </w:r>
      <w:r w:rsidRPr="00F805C2">
        <w:rPr>
          <w:szCs w:val="24"/>
        </w:rPr>
        <w:t>rythrocyte sedimentation rat</w:t>
      </w:r>
      <w:r w:rsidR="003135EE" w:rsidRPr="00F805C2">
        <w:rPr>
          <w:szCs w:val="24"/>
        </w:rPr>
        <w:t>e, s</w:t>
      </w:r>
      <w:r w:rsidRPr="00F805C2">
        <w:rPr>
          <w:szCs w:val="24"/>
        </w:rPr>
        <w:t>erum chemistry tests</w:t>
      </w:r>
      <w:r w:rsidR="003135EE" w:rsidRPr="00F805C2">
        <w:rPr>
          <w:szCs w:val="24"/>
        </w:rPr>
        <w:t xml:space="preserve"> including </w:t>
      </w:r>
      <w:r w:rsidRPr="00F805C2">
        <w:rPr>
          <w:szCs w:val="24"/>
        </w:rPr>
        <w:t>creatinine, blood urea nitrogen, alkaline phosphatase, AST,</w:t>
      </w:r>
      <w:r w:rsidR="003135EE" w:rsidRPr="00F805C2">
        <w:rPr>
          <w:szCs w:val="24"/>
        </w:rPr>
        <w:t xml:space="preserve"> </w:t>
      </w:r>
      <w:r w:rsidRPr="00F805C2">
        <w:rPr>
          <w:szCs w:val="24"/>
        </w:rPr>
        <w:t>ALT, total bilirubin, and electrolytes (sodium, potassium, chloride, and bicarbonate)</w:t>
      </w:r>
      <w:r w:rsidR="003135EE" w:rsidRPr="00F805C2">
        <w:rPr>
          <w:szCs w:val="24"/>
        </w:rPr>
        <w:t xml:space="preserve"> and complete u</w:t>
      </w:r>
      <w:r w:rsidRPr="00F805C2">
        <w:rPr>
          <w:szCs w:val="24"/>
        </w:rPr>
        <w:t>rinalysis</w:t>
      </w:r>
      <w:r w:rsidR="00BA7E36" w:rsidRPr="00F805C2">
        <w:rPr>
          <w:szCs w:val="24"/>
        </w:rPr>
        <w:t xml:space="preserve"> including color, appearance, specific gravity, pH, glucose, bilirubin, ketones, occult blood, protein, nitrite, leukocyte esterase, WBCs, RBCs, squamous and other epithelial cells, bacteria, casts, and crystals</w:t>
      </w:r>
      <w:r w:rsidR="003135EE" w:rsidRPr="00F805C2">
        <w:rPr>
          <w:szCs w:val="24"/>
        </w:rPr>
        <w:t>.</w:t>
      </w:r>
    </w:p>
    <w:p w14:paraId="52D7BEAB" w14:textId="53EFAFCD" w:rsidR="00C02A93" w:rsidRPr="00F805C2" w:rsidRDefault="00C02A93" w:rsidP="00F805C2">
      <w:pPr>
        <w:pStyle w:val="C-BodyText"/>
        <w:spacing w:line="240" w:lineRule="auto"/>
        <w:jc w:val="both"/>
        <w:rPr>
          <w:szCs w:val="24"/>
        </w:rPr>
      </w:pPr>
      <w:r w:rsidRPr="00F805C2">
        <w:rPr>
          <w:szCs w:val="24"/>
        </w:rPr>
        <w:t>Subjects with serum creatinine values</w:t>
      </w:r>
      <w:r w:rsidR="003135EE" w:rsidRPr="00F805C2">
        <w:rPr>
          <w:szCs w:val="24"/>
        </w:rPr>
        <w:t xml:space="preserve"> </w:t>
      </w:r>
      <w:r w:rsidRPr="00F805C2">
        <w:rPr>
          <w:szCs w:val="24"/>
        </w:rPr>
        <w:t>greater than 50% above their baseline level were retested, even if within normal range. Subjects</w:t>
      </w:r>
      <w:r w:rsidR="003135EE" w:rsidRPr="00F805C2">
        <w:rPr>
          <w:szCs w:val="24"/>
        </w:rPr>
        <w:t xml:space="preserve"> </w:t>
      </w:r>
      <w:r w:rsidRPr="00F805C2">
        <w:rPr>
          <w:szCs w:val="24"/>
        </w:rPr>
        <w:t>with persistently abnormal values at the retest were</w:t>
      </w:r>
      <w:r w:rsidR="003135EE" w:rsidRPr="00F805C2">
        <w:rPr>
          <w:szCs w:val="24"/>
        </w:rPr>
        <w:t xml:space="preserve"> </w:t>
      </w:r>
      <w:r w:rsidRPr="00F805C2">
        <w:rPr>
          <w:szCs w:val="24"/>
        </w:rPr>
        <w:t>referred to their primary care physician and</w:t>
      </w:r>
      <w:r w:rsidR="003135EE" w:rsidRPr="00F805C2">
        <w:rPr>
          <w:szCs w:val="24"/>
        </w:rPr>
        <w:t xml:space="preserve"> </w:t>
      </w:r>
      <w:r w:rsidRPr="00F805C2">
        <w:rPr>
          <w:szCs w:val="24"/>
        </w:rPr>
        <w:t>were followed until the values returned to the normal</w:t>
      </w:r>
      <w:r w:rsidR="003135EE" w:rsidRPr="00F805C2">
        <w:rPr>
          <w:szCs w:val="24"/>
        </w:rPr>
        <w:t xml:space="preserve"> </w:t>
      </w:r>
      <w:r w:rsidRPr="00F805C2">
        <w:rPr>
          <w:szCs w:val="24"/>
        </w:rPr>
        <w:t>range or were confirmed as stable with an</w:t>
      </w:r>
      <w:r w:rsidR="003135EE" w:rsidRPr="00F805C2">
        <w:rPr>
          <w:szCs w:val="24"/>
        </w:rPr>
        <w:t xml:space="preserve"> </w:t>
      </w:r>
      <w:r w:rsidRPr="00F805C2">
        <w:rPr>
          <w:szCs w:val="24"/>
        </w:rPr>
        <w:t>adequate explanation. Additionally, the on-site</w:t>
      </w:r>
      <w:r w:rsidR="003135EE" w:rsidRPr="00F805C2">
        <w:rPr>
          <w:szCs w:val="24"/>
        </w:rPr>
        <w:t xml:space="preserve"> </w:t>
      </w:r>
      <w:r w:rsidRPr="00F805C2">
        <w:rPr>
          <w:szCs w:val="24"/>
        </w:rPr>
        <w:t xml:space="preserve">medical monitor </w:t>
      </w:r>
      <w:r w:rsidRPr="00F805C2">
        <w:rPr>
          <w:szCs w:val="24"/>
        </w:rPr>
        <w:lastRenderedPageBreak/>
        <w:t>reviewed the laboratory results</w:t>
      </w:r>
      <w:r w:rsidR="003135EE" w:rsidRPr="00F805C2">
        <w:rPr>
          <w:szCs w:val="24"/>
        </w:rPr>
        <w:t xml:space="preserve"> </w:t>
      </w:r>
      <w:r w:rsidRPr="00F805C2">
        <w:rPr>
          <w:szCs w:val="24"/>
        </w:rPr>
        <w:t>to assist the principal investigator with assessing and monitoring AEs.</w:t>
      </w:r>
    </w:p>
    <w:p w14:paraId="48E2CA6B" w14:textId="4B09BBD2" w:rsidR="006658A3" w:rsidRPr="00F805C2" w:rsidRDefault="00C02A93" w:rsidP="00F805C2">
      <w:pPr>
        <w:pStyle w:val="C-BodyText"/>
        <w:spacing w:line="240" w:lineRule="auto"/>
        <w:jc w:val="both"/>
        <w:rPr>
          <w:szCs w:val="24"/>
        </w:rPr>
      </w:pPr>
      <w:r w:rsidRPr="00F805C2">
        <w:rPr>
          <w:szCs w:val="24"/>
        </w:rPr>
        <w:t xml:space="preserve">Supragingival plaque samples were obtained at the </w:t>
      </w:r>
      <w:r w:rsidR="003135EE" w:rsidRPr="00F805C2">
        <w:rPr>
          <w:szCs w:val="24"/>
        </w:rPr>
        <w:t>b</w:t>
      </w:r>
      <w:r w:rsidRPr="00F805C2">
        <w:rPr>
          <w:szCs w:val="24"/>
        </w:rPr>
        <w:t xml:space="preserve">aseline </w:t>
      </w:r>
      <w:r w:rsidR="003135EE" w:rsidRPr="00F805C2">
        <w:rPr>
          <w:szCs w:val="24"/>
        </w:rPr>
        <w:t>v</w:t>
      </w:r>
      <w:r w:rsidRPr="00F805C2">
        <w:rPr>
          <w:szCs w:val="24"/>
        </w:rPr>
        <w:t>isit, Day 14, and Day 28 and</w:t>
      </w:r>
      <w:r w:rsidR="003135EE" w:rsidRPr="00F805C2">
        <w:rPr>
          <w:szCs w:val="24"/>
        </w:rPr>
        <w:t xml:space="preserve"> </w:t>
      </w:r>
      <w:r w:rsidRPr="00F805C2">
        <w:rPr>
          <w:szCs w:val="24"/>
        </w:rPr>
        <w:t>analyzed for any increase in opportunistic or pathogenic bacteria. Supragingival plaque was</w:t>
      </w:r>
      <w:r w:rsidR="003135EE" w:rsidRPr="00F805C2">
        <w:rPr>
          <w:szCs w:val="24"/>
        </w:rPr>
        <w:t xml:space="preserve"> </w:t>
      </w:r>
      <w:r w:rsidRPr="00F805C2">
        <w:rPr>
          <w:szCs w:val="24"/>
        </w:rPr>
        <w:t xml:space="preserve">obtained from 6 sites in the mouth (the mesiobuccal surfaces of the </w:t>
      </w:r>
      <w:proofErr w:type="spellStart"/>
      <w:r w:rsidRPr="00F805C2">
        <w:rPr>
          <w:szCs w:val="24"/>
        </w:rPr>
        <w:t>Ramfjord</w:t>
      </w:r>
      <w:proofErr w:type="spellEnd"/>
      <w:r w:rsidRPr="00F805C2">
        <w:rPr>
          <w:szCs w:val="24"/>
        </w:rPr>
        <w:t xml:space="preserve"> teeth). Samples</w:t>
      </w:r>
      <w:r w:rsidR="003135EE" w:rsidRPr="00F805C2">
        <w:rPr>
          <w:szCs w:val="24"/>
        </w:rPr>
        <w:t xml:space="preserve"> </w:t>
      </w:r>
      <w:r w:rsidRPr="00F805C2">
        <w:rPr>
          <w:szCs w:val="24"/>
        </w:rPr>
        <w:t>were placed in transport media for DNA checkerboard probe analysis (DNA-DNA hybridization</w:t>
      </w:r>
      <w:r w:rsidR="003135EE" w:rsidRPr="00F805C2">
        <w:rPr>
          <w:szCs w:val="24"/>
        </w:rPr>
        <w:t xml:space="preserve"> </w:t>
      </w:r>
      <w:r w:rsidRPr="00F805C2">
        <w:rPr>
          <w:szCs w:val="24"/>
        </w:rPr>
        <w:t xml:space="preserve">assay) and analyzed according to the method of Socransky </w:t>
      </w:r>
      <w:r w:rsidR="00302D86" w:rsidRPr="00F805C2">
        <w:rPr>
          <w:szCs w:val="24"/>
        </w:rPr>
        <w:fldChar w:fldCharType="begin">
          <w:fldData xml:space="preserve">PEVuZE5vdGU+PENpdGU+PEF1dGhvcj5Tb2NyYW5za3k8L0F1dGhvcj48WWVhcj4xOTk0PC9ZZWFy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</w:fldData>
        </w:fldChar>
      </w:r>
      <w:r w:rsidR="008515B4" w:rsidRPr="00F805C2">
        <w:rPr>
          <w:szCs w:val="24"/>
        </w:rPr>
        <w:instrText xml:space="preserve"> ADDIN EN.CITE </w:instrText>
      </w:r>
      <w:r w:rsidR="008515B4" w:rsidRPr="00F805C2">
        <w:rPr>
          <w:szCs w:val="24"/>
        </w:rPr>
        <w:fldChar w:fldCharType="begin">
          <w:fldData xml:space="preserve">PEVuZE5vdGU+PENpdGU+PEF1dGhvcj5Tb2NyYW5za3k8L0F1dGhvcj48WWVhcj4xOTk0PC9ZZWFy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</w:fldData>
        </w:fldChar>
      </w:r>
      <w:r w:rsidR="008515B4" w:rsidRPr="00F805C2">
        <w:rPr>
          <w:szCs w:val="24"/>
        </w:rPr>
        <w:instrText xml:space="preserve"> ADDIN EN.CITE.DATA </w:instrText>
      </w:r>
      <w:r w:rsidR="008515B4" w:rsidRPr="00F805C2">
        <w:rPr>
          <w:szCs w:val="24"/>
        </w:rPr>
      </w:r>
      <w:r w:rsidR="008515B4" w:rsidRPr="00F805C2">
        <w:rPr>
          <w:szCs w:val="24"/>
        </w:rPr>
        <w:fldChar w:fldCharType="end"/>
      </w:r>
      <w:r w:rsidR="00302D86" w:rsidRPr="00F805C2">
        <w:rPr>
          <w:szCs w:val="24"/>
        </w:rPr>
      </w:r>
      <w:r w:rsidR="00302D86" w:rsidRPr="00F805C2">
        <w:rPr>
          <w:szCs w:val="24"/>
        </w:rPr>
        <w:fldChar w:fldCharType="separate"/>
      </w:r>
      <w:r w:rsidR="008515B4" w:rsidRPr="00F805C2">
        <w:rPr>
          <w:noProof/>
          <w:szCs w:val="24"/>
        </w:rPr>
        <w:t>(2, 3)</w:t>
      </w:r>
      <w:r w:rsidR="00302D86" w:rsidRPr="00F805C2">
        <w:rPr>
          <w:szCs w:val="24"/>
        </w:rPr>
        <w:fldChar w:fldCharType="end"/>
      </w:r>
      <w:r w:rsidR="00302D86" w:rsidRPr="00F805C2">
        <w:rPr>
          <w:szCs w:val="24"/>
        </w:rPr>
        <w:t xml:space="preserve">. </w:t>
      </w:r>
      <w:r w:rsidRPr="00F805C2">
        <w:rPr>
          <w:szCs w:val="24"/>
        </w:rPr>
        <w:t xml:space="preserve"> Samples were analyzed for the presence of </w:t>
      </w:r>
      <w:r w:rsidRPr="00F805C2">
        <w:rPr>
          <w:i/>
          <w:iCs/>
          <w:szCs w:val="24"/>
        </w:rPr>
        <w:t>Fusobacterium</w:t>
      </w:r>
      <w:r w:rsidR="003135EE" w:rsidRPr="00F805C2">
        <w:rPr>
          <w:i/>
          <w:iCs/>
          <w:szCs w:val="24"/>
        </w:rPr>
        <w:t xml:space="preserve"> </w:t>
      </w:r>
      <w:proofErr w:type="spellStart"/>
      <w:r w:rsidRPr="00F805C2">
        <w:rPr>
          <w:i/>
          <w:iCs/>
          <w:szCs w:val="24"/>
        </w:rPr>
        <w:t>nucleatum</w:t>
      </w:r>
      <w:proofErr w:type="spellEnd"/>
      <w:r w:rsidRPr="00F805C2">
        <w:rPr>
          <w:szCs w:val="24"/>
        </w:rPr>
        <w:t xml:space="preserve"> subspecies </w:t>
      </w:r>
      <w:proofErr w:type="spellStart"/>
      <w:r w:rsidRPr="00F805C2">
        <w:rPr>
          <w:i/>
          <w:iCs/>
          <w:szCs w:val="24"/>
        </w:rPr>
        <w:t>vincentii</w:t>
      </w:r>
      <w:proofErr w:type="spellEnd"/>
      <w:r w:rsidRPr="00F805C2">
        <w:rPr>
          <w:i/>
          <w:iCs/>
          <w:szCs w:val="24"/>
        </w:rPr>
        <w:t>,</w:t>
      </w:r>
      <w:r w:rsidRPr="00F805C2">
        <w:rPr>
          <w:szCs w:val="24"/>
        </w:rPr>
        <w:t xml:space="preserve"> </w:t>
      </w:r>
      <w:r w:rsidRPr="00F805C2">
        <w:rPr>
          <w:i/>
          <w:iCs/>
          <w:szCs w:val="24"/>
        </w:rPr>
        <w:t xml:space="preserve">Campylobacter </w:t>
      </w:r>
      <w:proofErr w:type="spellStart"/>
      <w:r w:rsidRPr="00F805C2">
        <w:rPr>
          <w:i/>
          <w:iCs/>
          <w:szCs w:val="24"/>
        </w:rPr>
        <w:t>concisus</w:t>
      </w:r>
      <w:proofErr w:type="spellEnd"/>
      <w:r w:rsidRPr="00F805C2">
        <w:rPr>
          <w:i/>
          <w:iCs/>
          <w:szCs w:val="24"/>
        </w:rPr>
        <w:t xml:space="preserve">, Campylobacter rectus, </w:t>
      </w:r>
      <w:proofErr w:type="spellStart"/>
      <w:r w:rsidRPr="00F805C2">
        <w:rPr>
          <w:i/>
          <w:iCs/>
          <w:szCs w:val="24"/>
        </w:rPr>
        <w:t>Tannerella</w:t>
      </w:r>
      <w:proofErr w:type="spellEnd"/>
      <w:r w:rsidR="003135EE" w:rsidRPr="00F805C2">
        <w:rPr>
          <w:i/>
          <w:iCs/>
          <w:szCs w:val="24"/>
        </w:rPr>
        <w:t xml:space="preserve"> </w:t>
      </w:r>
      <w:proofErr w:type="spellStart"/>
      <w:r w:rsidRPr="00F805C2">
        <w:rPr>
          <w:i/>
          <w:iCs/>
          <w:szCs w:val="24"/>
        </w:rPr>
        <w:t>forsythensis</w:t>
      </w:r>
      <w:proofErr w:type="spellEnd"/>
      <w:r w:rsidRPr="00F805C2">
        <w:rPr>
          <w:i/>
          <w:iCs/>
          <w:szCs w:val="24"/>
        </w:rPr>
        <w:t xml:space="preserve">, </w:t>
      </w:r>
      <w:proofErr w:type="spellStart"/>
      <w:r w:rsidRPr="00F805C2">
        <w:rPr>
          <w:i/>
          <w:iCs/>
          <w:szCs w:val="24"/>
        </w:rPr>
        <w:t>Prevotella</w:t>
      </w:r>
      <w:proofErr w:type="spellEnd"/>
      <w:r w:rsidRPr="00F805C2">
        <w:rPr>
          <w:i/>
          <w:iCs/>
          <w:szCs w:val="24"/>
        </w:rPr>
        <w:t xml:space="preserve"> intermedia, </w:t>
      </w:r>
      <w:proofErr w:type="spellStart"/>
      <w:r w:rsidRPr="00F805C2">
        <w:rPr>
          <w:i/>
          <w:iCs/>
          <w:szCs w:val="24"/>
        </w:rPr>
        <w:t>Prevotella</w:t>
      </w:r>
      <w:proofErr w:type="spellEnd"/>
      <w:r w:rsidRPr="00F805C2">
        <w:rPr>
          <w:i/>
          <w:iCs/>
          <w:szCs w:val="24"/>
        </w:rPr>
        <w:t xml:space="preserve"> </w:t>
      </w:r>
      <w:proofErr w:type="spellStart"/>
      <w:r w:rsidRPr="00F805C2">
        <w:rPr>
          <w:i/>
          <w:iCs/>
          <w:szCs w:val="24"/>
        </w:rPr>
        <w:t>nigrescens</w:t>
      </w:r>
      <w:proofErr w:type="spellEnd"/>
      <w:r w:rsidRPr="00F805C2">
        <w:rPr>
          <w:i/>
          <w:iCs/>
          <w:szCs w:val="24"/>
        </w:rPr>
        <w:t xml:space="preserve">, </w:t>
      </w:r>
      <w:proofErr w:type="spellStart"/>
      <w:r w:rsidRPr="00F805C2">
        <w:rPr>
          <w:i/>
          <w:iCs/>
          <w:szCs w:val="24"/>
        </w:rPr>
        <w:t>Porphyromonas</w:t>
      </w:r>
      <w:proofErr w:type="spellEnd"/>
      <w:r w:rsidRPr="00F805C2">
        <w:rPr>
          <w:i/>
          <w:iCs/>
          <w:szCs w:val="24"/>
        </w:rPr>
        <w:t xml:space="preserve"> </w:t>
      </w:r>
      <w:proofErr w:type="spellStart"/>
      <w:r w:rsidRPr="00F805C2">
        <w:rPr>
          <w:i/>
          <w:iCs/>
          <w:szCs w:val="24"/>
        </w:rPr>
        <w:t>gingivalis</w:t>
      </w:r>
      <w:proofErr w:type="spellEnd"/>
      <w:r w:rsidRPr="00F805C2">
        <w:rPr>
          <w:i/>
          <w:iCs/>
          <w:szCs w:val="24"/>
        </w:rPr>
        <w:t>,</w:t>
      </w:r>
      <w:r w:rsidR="003135EE" w:rsidRPr="00F805C2">
        <w:rPr>
          <w:i/>
          <w:iCs/>
          <w:szCs w:val="24"/>
        </w:rPr>
        <w:t xml:space="preserve"> </w:t>
      </w:r>
      <w:proofErr w:type="spellStart"/>
      <w:r w:rsidRPr="00F805C2">
        <w:rPr>
          <w:i/>
          <w:iCs/>
          <w:szCs w:val="24"/>
        </w:rPr>
        <w:t>Capnocytophaga</w:t>
      </w:r>
      <w:proofErr w:type="spellEnd"/>
      <w:r w:rsidRPr="00F805C2">
        <w:rPr>
          <w:i/>
          <w:iCs/>
          <w:szCs w:val="24"/>
        </w:rPr>
        <w:t xml:space="preserve"> </w:t>
      </w:r>
      <w:proofErr w:type="spellStart"/>
      <w:r w:rsidRPr="00F805C2">
        <w:rPr>
          <w:i/>
          <w:iCs/>
          <w:szCs w:val="24"/>
        </w:rPr>
        <w:t>sputigena</w:t>
      </w:r>
      <w:proofErr w:type="spellEnd"/>
      <w:r w:rsidRPr="00F805C2">
        <w:rPr>
          <w:i/>
          <w:iCs/>
          <w:szCs w:val="24"/>
        </w:rPr>
        <w:t xml:space="preserve">, Streptococcus </w:t>
      </w:r>
      <w:proofErr w:type="spellStart"/>
      <w:r w:rsidRPr="00F805C2">
        <w:rPr>
          <w:i/>
          <w:iCs/>
          <w:szCs w:val="24"/>
        </w:rPr>
        <w:t>oralis</w:t>
      </w:r>
      <w:proofErr w:type="spellEnd"/>
      <w:r w:rsidRPr="00F805C2">
        <w:rPr>
          <w:i/>
          <w:iCs/>
          <w:szCs w:val="24"/>
        </w:rPr>
        <w:t xml:space="preserve">, Actinomyces </w:t>
      </w:r>
      <w:proofErr w:type="spellStart"/>
      <w:r w:rsidRPr="00F805C2">
        <w:rPr>
          <w:i/>
          <w:iCs/>
          <w:szCs w:val="24"/>
        </w:rPr>
        <w:t>naeslundii</w:t>
      </w:r>
      <w:proofErr w:type="spellEnd"/>
      <w:r w:rsidRPr="00F805C2">
        <w:rPr>
          <w:i/>
          <w:iCs/>
          <w:szCs w:val="24"/>
        </w:rPr>
        <w:t xml:space="preserve">, Actinomyces </w:t>
      </w:r>
      <w:proofErr w:type="spellStart"/>
      <w:r w:rsidRPr="00F805C2">
        <w:rPr>
          <w:i/>
          <w:iCs/>
          <w:szCs w:val="24"/>
        </w:rPr>
        <w:t>israeli</w:t>
      </w:r>
      <w:r w:rsidR="00302D86" w:rsidRPr="00F805C2">
        <w:rPr>
          <w:i/>
          <w:iCs/>
          <w:szCs w:val="24"/>
        </w:rPr>
        <w:t>i</w:t>
      </w:r>
      <w:proofErr w:type="spellEnd"/>
      <w:r w:rsidRPr="00F805C2">
        <w:rPr>
          <w:i/>
          <w:iCs/>
          <w:szCs w:val="24"/>
        </w:rPr>
        <w:t>,</w:t>
      </w:r>
      <w:r w:rsidR="003135EE" w:rsidRPr="00F805C2">
        <w:rPr>
          <w:i/>
          <w:iCs/>
          <w:szCs w:val="24"/>
        </w:rPr>
        <w:t xml:space="preserve"> </w:t>
      </w:r>
      <w:r w:rsidRPr="00F805C2">
        <w:rPr>
          <w:i/>
          <w:iCs/>
          <w:szCs w:val="24"/>
        </w:rPr>
        <w:t xml:space="preserve">Eubacterium brachy, </w:t>
      </w:r>
      <w:proofErr w:type="spellStart"/>
      <w:r w:rsidRPr="00F805C2">
        <w:rPr>
          <w:i/>
          <w:iCs/>
          <w:szCs w:val="24"/>
        </w:rPr>
        <w:t>Eikenella</w:t>
      </w:r>
      <w:proofErr w:type="spellEnd"/>
      <w:r w:rsidRPr="00F805C2">
        <w:rPr>
          <w:i/>
          <w:iCs/>
          <w:szCs w:val="24"/>
        </w:rPr>
        <w:t xml:space="preserve"> </w:t>
      </w:r>
      <w:proofErr w:type="spellStart"/>
      <w:r w:rsidRPr="00F805C2">
        <w:rPr>
          <w:i/>
          <w:iCs/>
          <w:szCs w:val="24"/>
        </w:rPr>
        <w:t>corrodens</w:t>
      </w:r>
      <w:proofErr w:type="spellEnd"/>
      <w:r w:rsidRPr="00F805C2">
        <w:rPr>
          <w:i/>
          <w:iCs/>
          <w:szCs w:val="24"/>
        </w:rPr>
        <w:t>,</w:t>
      </w:r>
      <w:r w:rsidRPr="00F805C2">
        <w:rPr>
          <w:szCs w:val="24"/>
        </w:rPr>
        <w:t xml:space="preserve"> and </w:t>
      </w:r>
      <w:r w:rsidRPr="00F805C2">
        <w:rPr>
          <w:i/>
          <w:iCs/>
          <w:szCs w:val="24"/>
        </w:rPr>
        <w:t>Treponema denticola</w:t>
      </w:r>
      <w:r w:rsidRPr="00F805C2">
        <w:rPr>
          <w:szCs w:val="24"/>
        </w:rPr>
        <w:t>.</w:t>
      </w:r>
    </w:p>
    <w:p w14:paraId="651B599D" w14:textId="77777777" w:rsidR="006625AC" w:rsidRPr="00F805C2" w:rsidRDefault="006625AC" w:rsidP="00F805C2">
      <w:pPr>
        <w:pStyle w:val="C-BodyText"/>
        <w:spacing w:line="240" w:lineRule="auto"/>
        <w:jc w:val="both"/>
        <w:rPr>
          <w:b/>
          <w:bCs/>
          <w:i/>
          <w:iCs/>
          <w:szCs w:val="24"/>
        </w:rPr>
      </w:pPr>
      <w:bookmarkStart w:id="2" w:name="_Ref400716473"/>
      <w:bookmarkStart w:id="3" w:name="_Toc400717131"/>
      <w:bookmarkStart w:id="4" w:name="_Toc401219279"/>
      <w:bookmarkStart w:id="5" w:name="_Ref401136271"/>
      <w:r w:rsidRPr="00F805C2">
        <w:rPr>
          <w:b/>
          <w:bCs/>
          <w:i/>
          <w:iCs/>
          <w:szCs w:val="24"/>
        </w:rPr>
        <w:t>Physical and chemical properties, structural and molecular formulas and molecular weight of BLXA</w:t>
      </w:r>
      <w:r w:rsidRPr="00F805C2">
        <w:rPr>
          <w:b/>
          <w:bCs/>
          <w:i/>
          <w:iCs/>
          <w:szCs w:val="24"/>
          <w:vertAlign w:val="subscript"/>
        </w:rPr>
        <w:t>4</w:t>
      </w:r>
      <w:r w:rsidRPr="00F805C2">
        <w:rPr>
          <w:b/>
          <w:bCs/>
          <w:i/>
          <w:iCs/>
          <w:szCs w:val="24"/>
        </w:rPr>
        <w:t xml:space="preserve"> </w:t>
      </w:r>
    </w:p>
    <w:p w14:paraId="6549C42F" w14:textId="77777777" w:rsidR="006625AC" w:rsidRPr="00F805C2" w:rsidRDefault="006625AC" w:rsidP="00F805C2">
      <w:pPr>
        <w:pStyle w:val="C-BodyText"/>
        <w:spacing w:line="240" w:lineRule="auto"/>
        <w:jc w:val="both"/>
        <w:rPr>
          <w:szCs w:val="24"/>
        </w:rPr>
      </w:pPr>
      <w:r w:rsidRPr="00F805C2">
        <w:rPr>
          <w:szCs w:val="24"/>
        </w:rPr>
        <w:t>The chemical name of the investigational drug substance (currently known as BLXA</w:t>
      </w:r>
      <w:r w:rsidRPr="00F805C2">
        <w:rPr>
          <w:szCs w:val="24"/>
          <w:vertAlign w:val="subscript"/>
        </w:rPr>
        <w:t>4</w:t>
      </w:r>
      <w:r w:rsidRPr="00F805C2">
        <w:rPr>
          <w:szCs w:val="24"/>
        </w:rPr>
        <w:t>-ME, previously known as 9,12-LXA</w:t>
      </w:r>
      <w:r w:rsidRPr="00F805C2">
        <w:rPr>
          <w:szCs w:val="24"/>
          <w:vertAlign w:val="subscript"/>
        </w:rPr>
        <w:t>4</w:t>
      </w:r>
      <w:r w:rsidRPr="00F805C2">
        <w:rPr>
          <w:szCs w:val="24"/>
        </w:rPr>
        <w:t>) is (5S, 6R, E)-methyl-5,6-dihydroxy-8-(2-((R,E)-3-hydroxyoct-1-enyl) phenyl) oct-7-enoate.</w:t>
      </w:r>
      <w:bookmarkStart w:id="6" w:name="_Toc433737220"/>
      <w:r w:rsidRPr="00F805C2">
        <w:rPr>
          <w:szCs w:val="24"/>
        </w:rPr>
        <w:t xml:space="preserve"> </w:t>
      </w:r>
      <w:bookmarkEnd w:id="6"/>
      <w:r w:rsidRPr="00F805C2">
        <w:rPr>
          <w:szCs w:val="24"/>
        </w:rPr>
        <w:t>BLXA</w:t>
      </w:r>
      <w:r w:rsidRPr="00F805C2">
        <w:rPr>
          <w:szCs w:val="24"/>
          <w:vertAlign w:val="subscript"/>
        </w:rPr>
        <w:t>4</w:t>
      </w:r>
      <w:r w:rsidRPr="00F805C2">
        <w:rPr>
          <w:szCs w:val="24"/>
        </w:rPr>
        <w:t xml:space="preserve"> features a substituted benzo-fused ring system at the o-[9, 12] position, replacing the tetraene unit of native lipoxin-A</w:t>
      </w:r>
      <w:r w:rsidRPr="00F805C2">
        <w:rPr>
          <w:szCs w:val="24"/>
          <w:vertAlign w:val="subscript"/>
        </w:rPr>
        <w:t>4</w:t>
      </w:r>
      <w:r w:rsidRPr="00F805C2">
        <w:rPr>
          <w:szCs w:val="24"/>
        </w:rPr>
        <w:t>.  This structural feature imparts both chemical and metabolic stability to the molecule while retaining potent biological activity.  The molecular formula for BLXA</w:t>
      </w:r>
      <w:r w:rsidRPr="00F805C2">
        <w:rPr>
          <w:szCs w:val="24"/>
          <w:vertAlign w:val="subscript"/>
        </w:rPr>
        <w:t>4</w:t>
      </w:r>
      <w:r w:rsidRPr="00F805C2">
        <w:rPr>
          <w:szCs w:val="24"/>
        </w:rPr>
        <w:t xml:space="preserve"> is C</w:t>
      </w:r>
      <w:r w:rsidRPr="00F805C2">
        <w:rPr>
          <w:szCs w:val="24"/>
          <w:vertAlign w:val="subscript"/>
        </w:rPr>
        <w:t>23</w:t>
      </w:r>
      <w:r w:rsidRPr="00F805C2">
        <w:rPr>
          <w:szCs w:val="24"/>
        </w:rPr>
        <w:t>H</w:t>
      </w:r>
      <w:r w:rsidRPr="00F805C2">
        <w:rPr>
          <w:szCs w:val="24"/>
          <w:vertAlign w:val="subscript"/>
        </w:rPr>
        <w:t>34</w:t>
      </w:r>
      <w:r w:rsidRPr="00F805C2">
        <w:rPr>
          <w:szCs w:val="24"/>
        </w:rPr>
        <w:t>O</w:t>
      </w:r>
      <w:r w:rsidRPr="00F805C2">
        <w:rPr>
          <w:szCs w:val="24"/>
          <w:vertAlign w:val="subscript"/>
        </w:rPr>
        <w:t>5</w:t>
      </w:r>
      <w:r w:rsidRPr="00F805C2">
        <w:rPr>
          <w:szCs w:val="24"/>
        </w:rPr>
        <w:t xml:space="preserve"> and its molecular weight is 390.51g/mole.</w:t>
      </w:r>
      <w:bookmarkStart w:id="7" w:name="_Toc433737223"/>
    </w:p>
    <w:bookmarkEnd w:id="7"/>
    <w:p w14:paraId="59F82B58" w14:textId="77777777" w:rsidR="006625AC" w:rsidRPr="00F805C2" w:rsidRDefault="006625AC" w:rsidP="00F805C2">
      <w:pPr>
        <w:pStyle w:val="C-BodyText"/>
        <w:spacing w:line="240" w:lineRule="auto"/>
        <w:jc w:val="both"/>
        <w:rPr>
          <w:szCs w:val="24"/>
        </w:rPr>
      </w:pPr>
      <w:r w:rsidRPr="00F805C2">
        <w:rPr>
          <w:szCs w:val="24"/>
        </w:rPr>
        <w:t>The oral rinse formulation containing the active compound and placebo rinse were prepared by Avanti Polar Lipids, Inc. Alabaster, Alabama, in a facility that adheres to Good Manufacturing Practice.  The active drug substance, BLXA</w:t>
      </w:r>
      <w:r w:rsidRPr="00F805C2">
        <w:rPr>
          <w:szCs w:val="24"/>
          <w:vertAlign w:val="subscript"/>
        </w:rPr>
        <w:t>4</w:t>
      </w:r>
      <w:r w:rsidRPr="00F805C2">
        <w:rPr>
          <w:szCs w:val="24"/>
        </w:rPr>
        <w:t>, is a white to off-white powder.  The formulated 1µM BLXA</w:t>
      </w:r>
      <w:r w:rsidRPr="00F805C2">
        <w:rPr>
          <w:szCs w:val="24"/>
          <w:vertAlign w:val="subscript"/>
        </w:rPr>
        <w:t>4</w:t>
      </w:r>
      <w:r w:rsidRPr="00F805C2">
        <w:rPr>
          <w:szCs w:val="24"/>
        </w:rPr>
        <w:t xml:space="preserve"> mouth rinse, namely ClinRinse-1, was a homogeneous suspension of BLXA</w:t>
      </w:r>
      <w:r w:rsidRPr="00F805C2">
        <w:rPr>
          <w:szCs w:val="24"/>
          <w:vertAlign w:val="subscript"/>
        </w:rPr>
        <w:t>4</w:t>
      </w:r>
      <w:r w:rsidRPr="00F805C2">
        <w:rPr>
          <w:szCs w:val="24"/>
        </w:rPr>
        <w:t xml:space="preserve"> in aqueous vehicle solution containing the inactive components listed in Table S1; it was a clear liquid with peppermint scent. The inactive components of the oral rinse comprised &gt;99.9% of the drug product.  To achieve a 1.0 </w:t>
      </w:r>
      <w:proofErr w:type="spellStart"/>
      <w:r w:rsidRPr="00F805C2">
        <w:rPr>
          <w:szCs w:val="24"/>
        </w:rPr>
        <w:t>μM</w:t>
      </w:r>
      <w:proofErr w:type="spellEnd"/>
      <w:r w:rsidRPr="00F805C2">
        <w:rPr>
          <w:szCs w:val="24"/>
        </w:rPr>
        <w:t xml:space="preserve"> solution of drug product, the manufacturer added 390.51μg of BLXA</w:t>
      </w:r>
      <w:r w:rsidRPr="00F805C2">
        <w:rPr>
          <w:szCs w:val="24"/>
          <w:vertAlign w:val="subscript"/>
        </w:rPr>
        <w:t>4</w:t>
      </w:r>
      <w:r w:rsidRPr="00F805C2">
        <w:rPr>
          <w:szCs w:val="24"/>
        </w:rPr>
        <w:t xml:space="preserve"> drug substance per liter of vehicle.</w:t>
      </w:r>
      <w:bookmarkStart w:id="8" w:name="_Toc433737225"/>
    </w:p>
    <w:bookmarkEnd w:id="8"/>
    <w:p w14:paraId="20A3BADE" w14:textId="77777777" w:rsidR="006625AC" w:rsidRPr="00F805C2" w:rsidRDefault="006625AC" w:rsidP="00F805C2">
      <w:pPr>
        <w:pStyle w:val="C-BodyText"/>
        <w:spacing w:line="240" w:lineRule="auto"/>
        <w:jc w:val="both"/>
        <w:rPr>
          <w:szCs w:val="24"/>
        </w:rPr>
      </w:pPr>
      <w:r w:rsidRPr="00F805C2">
        <w:rPr>
          <w:szCs w:val="24"/>
        </w:rPr>
        <w:t>The formulated BLXA</w:t>
      </w:r>
      <w:r w:rsidRPr="00F805C2">
        <w:rPr>
          <w:szCs w:val="24"/>
          <w:vertAlign w:val="subscript"/>
        </w:rPr>
        <w:t>4</w:t>
      </w:r>
      <w:r w:rsidRPr="00F805C2">
        <w:rPr>
          <w:szCs w:val="24"/>
        </w:rPr>
        <w:t xml:space="preserve"> mouth rinse and placebo rinse were packaged in opaque high density polyethylene narrow mouth cylindrical bottles, containing 255 mL of rinse.  The closure system was a threaded polypropylene lid with a groove facilitating the seal.  Bottles were over-sealed with 30.5 mm x 25 mm opaque white cellulose tamper-evident bands. </w:t>
      </w:r>
    </w:p>
    <w:p w14:paraId="44449FB4" w14:textId="77777777" w:rsidR="006625AC" w:rsidRPr="00F805C2" w:rsidRDefault="006625AC" w:rsidP="00F805C2">
      <w:pPr>
        <w:pStyle w:val="C-BodyText"/>
        <w:spacing w:line="240" w:lineRule="auto"/>
        <w:jc w:val="both"/>
        <w:rPr>
          <w:szCs w:val="24"/>
        </w:rPr>
      </w:pPr>
      <w:r w:rsidRPr="00F805C2">
        <w:rPr>
          <w:szCs w:val="24"/>
        </w:rPr>
        <w:t>The BLXA</w:t>
      </w:r>
      <w:r w:rsidRPr="00F805C2">
        <w:rPr>
          <w:szCs w:val="24"/>
          <w:vertAlign w:val="subscript"/>
        </w:rPr>
        <w:t>4</w:t>
      </w:r>
      <w:r w:rsidRPr="00F805C2">
        <w:rPr>
          <w:szCs w:val="24"/>
        </w:rPr>
        <w:t xml:space="preserve"> mouth rinse or placebo rinse was provided to study participants in the original bottles supplied by the manufacturer. A 30 mL polypropylene dosing cup with volume markings was provided with the rinse. Each bottle of study product contained a volume sufficient for 8 doses plus an excess volume to accommodate for an out-of-window study visit. The residual volume was measured to assess compliance with product use. Labels on the rinse bottles complied with the regulations for labeling of an investigational product (21 CFR Part 312.6), and the active and placebo rinses were identified by codes to maintain the blinding of subjects and investigators. </w:t>
      </w:r>
    </w:p>
    <w:p w14:paraId="17AF9A0E" w14:textId="77777777" w:rsidR="006625AC" w:rsidRPr="00F805C2" w:rsidRDefault="006625AC" w:rsidP="00F805C2">
      <w:pPr>
        <w:pStyle w:val="C-BodyText"/>
        <w:spacing w:line="240" w:lineRule="auto"/>
        <w:jc w:val="both"/>
        <w:rPr>
          <w:szCs w:val="24"/>
        </w:rPr>
      </w:pPr>
      <w:r w:rsidRPr="00F805C2">
        <w:rPr>
          <w:szCs w:val="24"/>
        </w:rPr>
        <w:t>The investigational product was stored at 2 to 8°C at the clinical study site.  Study participants were provided a bottle containing an 8-day supply of oral rinse; during the period of use (approximately 1 week), the rinse was stored in the original bottle at room temperature (range 15 to 30°C, 59 to  86°F), to facilitate compliance with the daily use protocol.</w:t>
      </w:r>
      <w:bookmarkStart w:id="9" w:name="_Toc433737226"/>
    </w:p>
    <w:bookmarkEnd w:id="9"/>
    <w:p w14:paraId="46B5C082" w14:textId="77777777" w:rsidR="006625AC" w:rsidRPr="00F805C2" w:rsidRDefault="006625AC" w:rsidP="00F805C2">
      <w:pPr>
        <w:pStyle w:val="C-BodyText"/>
        <w:spacing w:line="240" w:lineRule="auto"/>
        <w:jc w:val="both"/>
        <w:rPr>
          <w:szCs w:val="24"/>
        </w:rPr>
      </w:pPr>
      <w:r w:rsidRPr="00F805C2">
        <w:rPr>
          <w:szCs w:val="24"/>
        </w:rPr>
        <w:lastRenderedPageBreak/>
        <w:t xml:space="preserve">Testing of the drug product demonstrated that it was stable at 2 to 8°C for up to 12 months, and stable at 25°C/60% relative humidity for up to 4 weeks (Batch Production Records, Avanti Polar Lipids, Inc.).  </w:t>
      </w:r>
    </w:p>
    <w:bookmarkEnd w:id="2"/>
    <w:bookmarkEnd w:id="3"/>
    <w:bookmarkEnd w:id="4"/>
    <w:bookmarkEnd w:id="5"/>
    <w:p w14:paraId="199D9DBC" w14:textId="77777777" w:rsidR="008F553D" w:rsidRDefault="008F553D" w:rsidP="00F805C2">
      <w:pPr>
        <w:pStyle w:val="C-BodyText"/>
        <w:spacing w:line="240" w:lineRule="auto"/>
        <w:jc w:val="both"/>
        <w:rPr>
          <w:b/>
          <w:bCs/>
          <w:i/>
          <w:iCs/>
          <w:szCs w:val="24"/>
        </w:rPr>
      </w:pPr>
    </w:p>
    <w:p w14:paraId="3D2506D4" w14:textId="6631A541" w:rsidR="00873F73" w:rsidRPr="00F805C2" w:rsidRDefault="00AF19FD" w:rsidP="00F805C2">
      <w:pPr>
        <w:pStyle w:val="C-BodyText"/>
        <w:spacing w:line="240" w:lineRule="auto"/>
        <w:jc w:val="both"/>
        <w:rPr>
          <w:b/>
          <w:bCs/>
          <w:i/>
          <w:iCs/>
          <w:szCs w:val="24"/>
        </w:rPr>
      </w:pPr>
      <w:r w:rsidRPr="00F805C2">
        <w:rPr>
          <w:b/>
          <w:bCs/>
          <w:i/>
          <w:iCs/>
          <w:szCs w:val="24"/>
        </w:rPr>
        <w:t xml:space="preserve">Pre-clinical </w:t>
      </w:r>
      <w:r w:rsidR="006533AF" w:rsidRPr="00F805C2">
        <w:rPr>
          <w:b/>
          <w:bCs/>
          <w:i/>
          <w:iCs/>
          <w:szCs w:val="24"/>
        </w:rPr>
        <w:t>s</w:t>
      </w:r>
      <w:r w:rsidRPr="00F805C2">
        <w:rPr>
          <w:b/>
          <w:bCs/>
          <w:i/>
          <w:iCs/>
          <w:szCs w:val="24"/>
        </w:rPr>
        <w:t>tudies</w:t>
      </w:r>
      <w:bookmarkStart w:id="10" w:name="_Toc433737229"/>
      <w:r w:rsidR="006533AF" w:rsidRPr="00F805C2">
        <w:rPr>
          <w:b/>
          <w:bCs/>
          <w:i/>
          <w:iCs/>
          <w:szCs w:val="24"/>
        </w:rPr>
        <w:t xml:space="preserve">: </w:t>
      </w:r>
      <w:bookmarkEnd w:id="10"/>
      <w:r w:rsidR="006533AF" w:rsidRPr="00F805C2">
        <w:rPr>
          <w:b/>
          <w:bCs/>
          <w:i/>
          <w:iCs/>
          <w:szCs w:val="24"/>
        </w:rPr>
        <w:t>s</w:t>
      </w:r>
      <w:r w:rsidR="00873F73" w:rsidRPr="00F805C2">
        <w:rPr>
          <w:b/>
          <w:bCs/>
          <w:i/>
          <w:iCs/>
          <w:szCs w:val="24"/>
        </w:rPr>
        <w:t xml:space="preserve">afety </w:t>
      </w:r>
      <w:r w:rsidR="006533AF" w:rsidRPr="00F805C2">
        <w:rPr>
          <w:b/>
          <w:bCs/>
          <w:i/>
          <w:iCs/>
          <w:szCs w:val="24"/>
        </w:rPr>
        <w:t>p</w:t>
      </w:r>
      <w:r w:rsidR="00873F73" w:rsidRPr="00F805C2">
        <w:rPr>
          <w:b/>
          <w:bCs/>
          <w:i/>
          <w:iCs/>
          <w:szCs w:val="24"/>
        </w:rPr>
        <w:t>harmacology</w:t>
      </w:r>
      <w:bookmarkEnd w:id="1"/>
      <w:r w:rsidR="006533AF" w:rsidRPr="00F805C2">
        <w:rPr>
          <w:b/>
          <w:bCs/>
          <w:i/>
          <w:iCs/>
          <w:szCs w:val="24"/>
        </w:rPr>
        <w:t xml:space="preserve"> and toxicology</w:t>
      </w:r>
    </w:p>
    <w:p w14:paraId="5083CECD" w14:textId="3656C35A" w:rsidR="00873F73" w:rsidRPr="00F805C2" w:rsidRDefault="00873F73" w:rsidP="00F805C2">
      <w:pPr>
        <w:pStyle w:val="C-BodyText"/>
        <w:spacing w:line="240" w:lineRule="auto"/>
        <w:jc w:val="both"/>
        <w:rPr>
          <w:szCs w:val="24"/>
        </w:rPr>
      </w:pPr>
      <w:r w:rsidRPr="00F805C2">
        <w:rPr>
          <w:szCs w:val="24"/>
        </w:rPr>
        <w:t>BLXA</w:t>
      </w:r>
      <w:r w:rsidRPr="00F805C2">
        <w:rPr>
          <w:szCs w:val="24"/>
          <w:vertAlign w:val="subscript"/>
        </w:rPr>
        <w:t>4</w:t>
      </w:r>
      <w:r w:rsidRPr="00F805C2">
        <w:rPr>
          <w:szCs w:val="24"/>
        </w:rPr>
        <w:t xml:space="preserve"> was evaluated </w:t>
      </w:r>
      <w:r w:rsidRPr="00F805C2">
        <w:rPr>
          <w:i/>
          <w:iCs/>
          <w:szCs w:val="24"/>
        </w:rPr>
        <w:t>in vitro</w:t>
      </w:r>
      <w:r w:rsidRPr="00F805C2">
        <w:rPr>
          <w:szCs w:val="24"/>
        </w:rPr>
        <w:t xml:space="preserve"> for its potential to block the inward-rectifying </w:t>
      </w:r>
      <w:proofErr w:type="spellStart"/>
      <w:r w:rsidRPr="00F805C2">
        <w:rPr>
          <w:szCs w:val="24"/>
        </w:rPr>
        <w:t>hERG</w:t>
      </w:r>
      <w:proofErr w:type="spellEnd"/>
      <w:r w:rsidRPr="00F805C2">
        <w:rPr>
          <w:szCs w:val="24"/>
        </w:rPr>
        <w:t xml:space="preserve"> potassium channel, using human embryonic kidney cells that express </w:t>
      </w:r>
      <w:proofErr w:type="spellStart"/>
      <w:r w:rsidRPr="00F805C2">
        <w:rPr>
          <w:szCs w:val="24"/>
        </w:rPr>
        <w:t>hERG</w:t>
      </w:r>
      <w:proofErr w:type="spellEnd"/>
      <w:r w:rsidRPr="00F805C2">
        <w:rPr>
          <w:szCs w:val="24"/>
        </w:rPr>
        <w:t>.  BLXA</w:t>
      </w:r>
      <w:r w:rsidRPr="00F805C2">
        <w:rPr>
          <w:szCs w:val="24"/>
          <w:vertAlign w:val="subscript"/>
        </w:rPr>
        <w:t>4</w:t>
      </w:r>
      <w:r w:rsidRPr="00F805C2">
        <w:rPr>
          <w:szCs w:val="24"/>
        </w:rPr>
        <w:t xml:space="preserve"> was also evaluated for potential adverse pharmacological effects in vivo. These studies are summarized in Table S</w:t>
      </w:r>
      <w:r w:rsidR="00236056" w:rsidRPr="00F805C2">
        <w:rPr>
          <w:szCs w:val="24"/>
        </w:rPr>
        <w:t>2</w:t>
      </w:r>
      <w:r w:rsidRPr="00F805C2">
        <w:rPr>
          <w:szCs w:val="24"/>
        </w:rPr>
        <w:t xml:space="preserve">. </w:t>
      </w:r>
      <w:r w:rsidR="0077116A" w:rsidRPr="00F805C2">
        <w:rPr>
          <w:szCs w:val="24"/>
        </w:rPr>
        <w:t>All preclinical studies were conducted at a commercial laboratory complied with Good Laboratory Practices (Calvert Laboratories, Inc. Scott Township, PA).</w:t>
      </w:r>
      <w:r w:rsidRPr="00F805C2">
        <w:rPr>
          <w:szCs w:val="24"/>
        </w:rPr>
        <w:t xml:space="preserve"> </w:t>
      </w:r>
    </w:p>
    <w:p w14:paraId="72A26BD3" w14:textId="221A7F70" w:rsidR="00873F73" w:rsidRPr="00F805C2" w:rsidRDefault="00873F73" w:rsidP="00F805C2">
      <w:pPr>
        <w:pStyle w:val="C-BodyText"/>
        <w:spacing w:line="240" w:lineRule="auto"/>
        <w:jc w:val="both"/>
        <w:rPr>
          <w:szCs w:val="24"/>
        </w:rPr>
      </w:pPr>
      <w:r w:rsidRPr="00F805C2">
        <w:rPr>
          <w:szCs w:val="24"/>
        </w:rPr>
        <w:t>The half-maximal inhibitory concentration (IC50) for the inhibitory effect of BLXA</w:t>
      </w:r>
      <w:r w:rsidRPr="00F805C2">
        <w:rPr>
          <w:szCs w:val="24"/>
          <w:vertAlign w:val="subscript"/>
        </w:rPr>
        <w:t>4</w:t>
      </w:r>
      <w:r w:rsidRPr="00F805C2">
        <w:rPr>
          <w:szCs w:val="24"/>
        </w:rPr>
        <w:t xml:space="preserve"> on </w:t>
      </w:r>
      <w:proofErr w:type="spellStart"/>
      <w:r w:rsidRPr="00F805C2">
        <w:rPr>
          <w:szCs w:val="24"/>
        </w:rPr>
        <w:t>hERG</w:t>
      </w:r>
      <w:proofErr w:type="spellEnd"/>
      <w:r w:rsidRPr="00F805C2">
        <w:rPr>
          <w:szCs w:val="24"/>
        </w:rPr>
        <w:t xml:space="preserve"> potassium current was estimated to be greater than 10 </w:t>
      </w:r>
      <w:proofErr w:type="spellStart"/>
      <w:r w:rsidRPr="00F805C2">
        <w:rPr>
          <w:szCs w:val="24"/>
        </w:rPr>
        <w:t>μM</w:t>
      </w:r>
      <w:proofErr w:type="spellEnd"/>
      <w:r w:rsidRPr="00F805C2">
        <w:rPr>
          <w:szCs w:val="24"/>
        </w:rPr>
        <w:t xml:space="preserve">, a concentration that is at or above the plasma concentrations achieved in dogs administered an oral gavage dose of 2000 </w:t>
      </w:r>
      <w:proofErr w:type="spellStart"/>
      <w:r w:rsidRPr="00F805C2">
        <w:rPr>
          <w:szCs w:val="24"/>
        </w:rPr>
        <w:t>μg</w:t>
      </w:r>
      <w:proofErr w:type="spellEnd"/>
      <w:r w:rsidRPr="00F805C2">
        <w:rPr>
          <w:szCs w:val="24"/>
        </w:rPr>
        <w:t>/kg.  No adverse cardiovascular findings were observed in dogs following oral administration of BLXA</w:t>
      </w:r>
      <w:r w:rsidRPr="00F805C2">
        <w:rPr>
          <w:szCs w:val="24"/>
          <w:vertAlign w:val="subscript"/>
        </w:rPr>
        <w:t>4</w:t>
      </w:r>
      <w:r w:rsidRPr="00F805C2">
        <w:rPr>
          <w:szCs w:val="24"/>
        </w:rPr>
        <w:t xml:space="preserve"> at doses up to 2000 </w:t>
      </w:r>
      <w:proofErr w:type="spellStart"/>
      <w:r w:rsidRPr="00F805C2">
        <w:rPr>
          <w:szCs w:val="24"/>
        </w:rPr>
        <w:t>μg</w:t>
      </w:r>
      <w:proofErr w:type="spellEnd"/>
      <w:r w:rsidRPr="00F805C2">
        <w:rPr>
          <w:szCs w:val="24"/>
        </w:rPr>
        <w:t>/kg, and the plasma concentration of BLXA</w:t>
      </w:r>
      <w:r w:rsidRPr="00F805C2">
        <w:rPr>
          <w:szCs w:val="24"/>
          <w:vertAlign w:val="subscript"/>
        </w:rPr>
        <w:t>4</w:t>
      </w:r>
      <w:r w:rsidRPr="00F805C2">
        <w:rPr>
          <w:szCs w:val="24"/>
        </w:rPr>
        <w:t xml:space="preserve"> achieved at this dose </w:t>
      </w:r>
      <w:r w:rsidR="00857195" w:rsidRPr="00F805C2">
        <w:rPr>
          <w:szCs w:val="24"/>
        </w:rPr>
        <w:t>was</w:t>
      </w:r>
      <w:r w:rsidRPr="00F805C2">
        <w:rPr>
          <w:szCs w:val="24"/>
        </w:rPr>
        <w:t xml:space="preserve"> approximately 150 to 225 times that anticipated to be achieved in humans if a research subject swallow</w:t>
      </w:r>
      <w:r w:rsidR="00857195" w:rsidRPr="00F805C2">
        <w:rPr>
          <w:szCs w:val="24"/>
        </w:rPr>
        <w:t>ed</w:t>
      </w:r>
      <w:r w:rsidRPr="00F805C2">
        <w:rPr>
          <w:szCs w:val="24"/>
        </w:rPr>
        <w:t xml:space="preserve"> the 30 mL clinical rinse dose containing 11.7 </w:t>
      </w:r>
      <w:proofErr w:type="spellStart"/>
      <w:r w:rsidRPr="00F805C2">
        <w:rPr>
          <w:szCs w:val="24"/>
        </w:rPr>
        <w:t>μg</w:t>
      </w:r>
      <w:proofErr w:type="spellEnd"/>
      <w:r w:rsidRPr="00F805C2">
        <w:rPr>
          <w:szCs w:val="24"/>
        </w:rPr>
        <w:t xml:space="preserve"> BLXA</w:t>
      </w:r>
      <w:r w:rsidRPr="00F805C2">
        <w:rPr>
          <w:szCs w:val="24"/>
          <w:vertAlign w:val="subscript"/>
        </w:rPr>
        <w:t>4</w:t>
      </w:r>
      <w:r w:rsidRPr="00F805C2">
        <w:rPr>
          <w:szCs w:val="24"/>
        </w:rPr>
        <w:t xml:space="preserve">.    </w:t>
      </w:r>
    </w:p>
    <w:p w14:paraId="28EBCCE7" w14:textId="77777777" w:rsidR="008F553D" w:rsidRDefault="008F553D" w:rsidP="00F805C2">
      <w:pPr>
        <w:pStyle w:val="C-BodyText"/>
        <w:spacing w:line="240" w:lineRule="auto"/>
        <w:jc w:val="both"/>
        <w:rPr>
          <w:b/>
          <w:bCs/>
          <w:i/>
          <w:iCs/>
          <w:szCs w:val="24"/>
        </w:rPr>
      </w:pPr>
    </w:p>
    <w:p w14:paraId="5C0F7A8E" w14:textId="4EB8F715" w:rsidR="00873F73" w:rsidRPr="00F805C2" w:rsidRDefault="00873F73" w:rsidP="00F805C2">
      <w:pPr>
        <w:pStyle w:val="C-BodyText"/>
        <w:spacing w:line="240" w:lineRule="auto"/>
        <w:jc w:val="both"/>
        <w:rPr>
          <w:b/>
          <w:bCs/>
          <w:i/>
          <w:iCs/>
          <w:szCs w:val="24"/>
        </w:rPr>
      </w:pPr>
      <w:r w:rsidRPr="00F805C2">
        <w:rPr>
          <w:b/>
          <w:bCs/>
          <w:i/>
          <w:iCs/>
          <w:szCs w:val="24"/>
        </w:rPr>
        <w:t xml:space="preserve">Pharmacokinetics and </w:t>
      </w:r>
      <w:r w:rsidR="006533AF" w:rsidRPr="00F805C2">
        <w:rPr>
          <w:b/>
          <w:bCs/>
          <w:i/>
          <w:iCs/>
          <w:szCs w:val="24"/>
        </w:rPr>
        <w:t>d</w:t>
      </w:r>
      <w:r w:rsidRPr="00F805C2">
        <w:rPr>
          <w:b/>
          <w:bCs/>
          <w:i/>
          <w:iCs/>
          <w:szCs w:val="24"/>
        </w:rPr>
        <w:t xml:space="preserve">rug </w:t>
      </w:r>
      <w:r w:rsidR="006533AF" w:rsidRPr="00F805C2">
        <w:rPr>
          <w:b/>
          <w:bCs/>
          <w:i/>
          <w:iCs/>
          <w:szCs w:val="24"/>
        </w:rPr>
        <w:t>m</w:t>
      </w:r>
      <w:r w:rsidRPr="00F805C2">
        <w:rPr>
          <w:b/>
          <w:bCs/>
          <w:i/>
          <w:iCs/>
          <w:szCs w:val="24"/>
        </w:rPr>
        <w:t xml:space="preserve">etabolism in </w:t>
      </w:r>
      <w:r w:rsidR="006533AF" w:rsidRPr="00F805C2">
        <w:rPr>
          <w:b/>
          <w:bCs/>
          <w:i/>
          <w:iCs/>
          <w:szCs w:val="24"/>
        </w:rPr>
        <w:t>a</w:t>
      </w:r>
      <w:r w:rsidRPr="00F805C2">
        <w:rPr>
          <w:b/>
          <w:bCs/>
          <w:i/>
          <w:iCs/>
          <w:szCs w:val="24"/>
        </w:rPr>
        <w:t>nimals</w:t>
      </w:r>
    </w:p>
    <w:p w14:paraId="58DD91FF" w14:textId="41F113B6" w:rsidR="00873F73" w:rsidRPr="00F805C2" w:rsidRDefault="00873F73" w:rsidP="00F805C2">
      <w:pPr>
        <w:pStyle w:val="C-BodyText"/>
        <w:spacing w:line="240" w:lineRule="auto"/>
        <w:jc w:val="both"/>
        <w:rPr>
          <w:szCs w:val="24"/>
        </w:rPr>
      </w:pPr>
      <w:r w:rsidRPr="00F805C2">
        <w:rPr>
          <w:szCs w:val="24"/>
        </w:rPr>
        <w:t>Under physiological conditions, BLXA</w:t>
      </w:r>
      <w:r w:rsidRPr="00F805C2">
        <w:rPr>
          <w:szCs w:val="24"/>
          <w:vertAlign w:val="subscript"/>
        </w:rPr>
        <w:t>4</w:t>
      </w:r>
      <w:r w:rsidRPr="00F805C2">
        <w:rPr>
          <w:szCs w:val="24"/>
        </w:rPr>
        <w:t>-ME is converted by nonspecific esterase activity to a free acid (FA) form designated as BLXA</w:t>
      </w:r>
      <w:r w:rsidRPr="00F805C2">
        <w:rPr>
          <w:szCs w:val="24"/>
          <w:vertAlign w:val="subscript"/>
        </w:rPr>
        <w:t>4</w:t>
      </w:r>
      <w:r w:rsidRPr="00F805C2">
        <w:rPr>
          <w:szCs w:val="24"/>
        </w:rPr>
        <w:t>-FA.  Both the ME and FA forms of BLXA</w:t>
      </w:r>
      <w:r w:rsidRPr="00F805C2">
        <w:rPr>
          <w:szCs w:val="24"/>
          <w:vertAlign w:val="subscript"/>
        </w:rPr>
        <w:t>4</w:t>
      </w:r>
      <w:r w:rsidRPr="00F805C2">
        <w:rPr>
          <w:szCs w:val="24"/>
        </w:rPr>
        <w:t xml:space="preserve"> </w:t>
      </w:r>
      <w:r w:rsidR="00857195" w:rsidRPr="00F805C2">
        <w:rPr>
          <w:szCs w:val="24"/>
        </w:rPr>
        <w:t>were</w:t>
      </w:r>
      <w:r w:rsidRPr="00F805C2">
        <w:rPr>
          <w:szCs w:val="24"/>
        </w:rPr>
        <w:t xml:space="preserve"> pharmacologically active.</w:t>
      </w:r>
    </w:p>
    <w:p w14:paraId="6EC64E31" w14:textId="77777777" w:rsidR="008F553D" w:rsidRDefault="008F553D" w:rsidP="00F805C2">
      <w:pPr>
        <w:pStyle w:val="C-BodyText"/>
        <w:spacing w:line="240" w:lineRule="auto"/>
        <w:jc w:val="both"/>
        <w:rPr>
          <w:b/>
          <w:bCs/>
          <w:i/>
          <w:iCs/>
          <w:szCs w:val="24"/>
        </w:rPr>
      </w:pPr>
    </w:p>
    <w:p w14:paraId="4736B981" w14:textId="79207F73" w:rsidR="00873F73" w:rsidRPr="00F805C2" w:rsidRDefault="00873F73" w:rsidP="00F805C2">
      <w:pPr>
        <w:pStyle w:val="C-BodyText"/>
        <w:spacing w:line="240" w:lineRule="auto"/>
        <w:jc w:val="both"/>
        <w:rPr>
          <w:b/>
          <w:bCs/>
          <w:i/>
          <w:iCs/>
          <w:szCs w:val="24"/>
        </w:rPr>
      </w:pPr>
      <w:r w:rsidRPr="00F805C2">
        <w:rPr>
          <w:b/>
          <w:bCs/>
          <w:i/>
          <w:iCs/>
          <w:szCs w:val="24"/>
        </w:rPr>
        <w:t>Absorption</w:t>
      </w:r>
    </w:p>
    <w:p w14:paraId="197769D9" w14:textId="77777777" w:rsidR="00873F73" w:rsidRPr="00F805C2" w:rsidRDefault="00873F73" w:rsidP="00F805C2">
      <w:pPr>
        <w:pStyle w:val="C-BodyText"/>
        <w:spacing w:line="240" w:lineRule="auto"/>
        <w:jc w:val="both"/>
        <w:rPr>
          <w:szCs w:val="24"/>
        </w:rPr>
      </w:pPr>
      <w:r w:rsidRPr="00F805C2">
        <w:rPr>
          <w:szCs w:val="24"/>
        </w:rPr>
        <w:t>To determine potential systemic exposure following unintended exposure by the oral route (swallowing of oral rinse), the pharmacokinetics of BLXA</w:t>
      </w:r>
      <w:r w:rsidRPr="00F805C2">
        <w:rPr>
          <w:szCs w:val="24"/>
          <w:vertAlign w:val="subscript"/>
        </w:rPr>
        <w:t>4</w:t>
      </w:r>
      <w:r w:rsidRPr="00F805C2">
        <w:rPr>
          <w:szCs w:val="24"/>
        </w:rPr>
        <w:t xml:space="preserve">-ME were evaluated following administration of a single oral dose in rats (15 males and 15 females) and beagle dogs (4 males and 4 females). </w:t>
      </w:r>
    </w:p>
    <w:p w14:paraId="719E3056" w14:textId="4B1AC522" w:rsidR="00873F73" w:rsidRPr="00F805C2" w:rsidRDefault="00873F73" w:rsidP="00F805C2">
      <w:pPr>
        <w:pStyle w:val="C-BodyText"/>
        <w:spacing w:line="240" w:lineRule="auto"/>
        <w:jc w:val="both"/>
        <w:rPr>
          <w:szCs w:val="24"/>
        </w:rPr>
      </w:pPr>
      <w:r w:rsidRPr="00F805C2">
        <w:rPr>
          <w:szCs w:val="24"/>
        </w:rPr>
        <w:t xml:space="preserve">Following a 2000 </w:t>
      </w:r>
      <w:proofErr w:type="spellStart"/>
      <w:r w:rsidRPr="00F805C2">
        <w:rPr>
          <w:szCs w:val="24"/>
        </w:rPr>
        <w:t>μg</w:t>
      </w:r>
      <w:proofErr w:type="spellEnd"/>
      <w:r w:rsidRPr="00F805C2">
        <w:rPr>
          <w:szCs w:val="24"/>
        </w:rPr>
        <w:t>/kg dose, levels of parent compound BLXA</w:t>
      </w:r>
      <w:r w:rsidRPr="00F805C2">
        <w:rPr>
          <w:szCs w:val="24"/>
          <w:vertAlign w:val="subscript"/>
        </w:rPr>
        <w:t>4</w:t>
      </w:r>
      <w:r w:rsidRPr="00F805C2">
        <w:rPr>
          <w:szCs w:val="24"/>
        </w:rPr>
        <w:t>-ME in rat plasma were low to nondetectable; however, the kinetics of the primary free acid metabolite, BLXA</w:t>
      </w:r>
      <w:r w:rsidRPr="00F805C2">
        <w:rPr>
          <w:szCs w:val="24"/>
          <w:vertAlign w:val="subscript"/>
        </w:rPr>
        <w:t>4</w:t>
      </w:r>
      <w:r w:rsidRPr="00F805C2">
        <w:rPr>
          <w:szCs w:val="24"/>
        </w:rPr>
        <w:t xml:space="preserve">-FA, were established in rat plasma, and are shown in Table </w:t>
      </w:r>
      <w:r w:rsidR="00857195" w:rsidRPr="00F805C2">
        <w:rPr>
          <w:szCs w:val="24"/>
        </w:rPr>
        <w:t>S</w:t>
      </w:r>
      <w:r w:rsidR="00236056" w:rsidRPr="00F805C2">
        <w:rPr>
          <w:szCs w:val="24"/>
        </w:rPr>
        <w:t>3</w:t>
      </w:r>
      <w:r w:rsidRPr="00F805C2">
        <w:rPr>
          <w:szCs w:val="24"/>
        </w:rPr>
        <w:t>.</w:t>
      </w:r>
      <w:r w:rsidR="00857195" w:rsidRPr="00F805C2">
        <w:rPr>
          <w:szCs w:val="24"/>
        </w:rPr>
        <w:t xml:space="preserve">  Similarly, the kinetics of BLXA</w:t>
      </w:r>
      <w:r w:rsidR="00BA41F6" w:rsidRPr="00F805C2">
        <w:rPr>
          <w:szCs w:val="24"/>
          <w:vertAlign w:val="subscript"/>
        </w:rPr>
        <w:t>4</w:t>
      </w:r>
      <w:r w:rsidR="00857195" w:rsidRPr="00F805C2">
        <w:rPr>
          <w:szCs w:val="24"/>
        </w:rPr>
        <w:t xml:space="preserve">-ME were established in male and female beagle dogs following a single oral dose of 2000 </w:t>
      </w:r>
      <w:proofErr w:type="spellStart"/>
      <w:r w:rsidR="00857195" w:rsidRPr="00F805C2">
        <w:rPr>
          <w:szCs w:val="24"/>
        </w:rPr>
        <w:t>μg</w:t>
      </w:r>
      <w:proofErr w:type="spellEnd"/>
      <w:r w:rsidR="00857195" w:rsidRPr="00F805C2">
        <w:rPr>
          <w:szCs w:val="24"/>
        </w:rPr>
        <w:t>/kg, as shown in Table S</w:t>
      </w:r>
      <w:r w:rsidR="00236056" w:rsidRPr="00F805C2">
        <w:rPr>
          <w:szCs w:val="24"/>
        </w:rPr>
        <w:t>4</w:t>
      </w:r>
      <w:r w:rsidR="00857195" w:rsidRPr="00F805C2">
        <w:rPr>
          <w:szCs w:val="24"/>
        </w:rPr>
        <w:t>.  Parent compound BLXA</w:t>
      </w:r>
      <w:r w:rsidR="00857195" w:rsidRPr="00F805C2">
        <w:rPr>
          <w:szCs w:val="24"/>
          <w:vertAlign w:val="subscript"/>
        </w:rPr>
        <w:t>4</w:t>
      </w:r>
      <w:r w:rsidR="00857195" w:rsidRPr="00F805C2">
        <w:rPr>
          <w:szCs w:val="24"/>
        </w:rPr>
        <w:t>-ME persisted for somewhat longer in dogs than in rats, although overall levels of both ME and FA forms were generally lower in dogs compared with rats at the same dose level.  Exposure to both BLXA</w:t>
      </w:r>
      <w:r w:rsidR="00857195" w:rsidRPr="00F805C2">
        <w:rPr>
          <w:szCs w:val="24"/>
          <w:vertAlign w:val="subscript"/>
        </w:rPr>
        <w:t>4</w:t>
      </w:r>
      <w:r w:rsidR="00BA41F6" w:rsidRPr="00F805C2">
        <w:rPr>
          <w:szCs w:val="24"/>
        </w:rPr>
        <w:t>-</w:t>
      </w:r>
      <w:r w:rsidR="00857195" w:rsidRPr="00F805C2">
        <w:rPr>
          <w:szCs w:val="24"/>
        </w:rPr>
        <w:t>ME and BLXA</w:t>
      </w:r>
      <w:r w:rsidR="00857195" w:rsidRPr="00F805C2">
        <w:rPr>
          <w:szCs w:val="24"/>
          <w:vertAlign w:val="subscript"/>
        </w:rPr>
        <w:t>4</w:t>
      </w:r>
      <w:r w:rsidR="00857195" w:rsidRPr="00F805C2">
        <w:rPr>
          <w:szCs w:val="24"/>
        </w:rPr>
        <w:t xml:space="preserve">-FA appeared to be slightly greater in female than in male dogs.  </w:t>
      </w:r>
    </w:p>
    <w:p w14:paraId="0A5FA764" w14:textId="77777777" w:rsidR="008F553D" w:rsidRDefault="008F553D" w:rsidP="00F805C2">
      <w:pPr>
        <w:pStyle w:val="C-BodyText"/>
        <w:spacing w:line="240" w:lineRule="auto"/>
        <w:jc w:val="both"/>
        <w:rPr>
          <w:b/>
          <w:bCs/>
          <w:i/>
          <w:iCs/>
          <w:szCs w:val="24"/>
        </w:rPr>
      </w:pPr>
    </w:p>
    <w:p w14:paraId="5A3FED0E" w14:textId="48B2B1E6" w:rsidR="00857195" w:rsidRPr="00F805C2" w:rsidRDefault="00857195" w:rsidP="00F805C2">
      <w:pPr>
        <w:pStyle w:val="C-BodyText"/>
        <w:spacing w:line="240" w:lineRule="auto"/>
        <w:jc w:val="both"/>
        <w:rPr>
          <w:b/>
          <w:bCs/>
          <w:i/>
          <w:iCs/>
          <w:szCs w:val="24"/>
        </w:rPr>
      </w:pPr>
      <w:r w:rsidRPr="00F805C2">
        <w:rPr>
          <w:b/>
          <w:bCs/>
          <w:i/>
          <w:iCs/>
          <w:szCs w:val="24"/>
        </w:rPr>
        <w:t>Metabolism</w:t>
      </w:r>
    </w:p>
    <w:p w14:paraId="45D4D579" w14:textId="71D93D12" w:rsidR="00857195" w:rsidRPr="00F805C2" w:rsidRDefault="00857195" w:rsidP="00F805C2">
      <w:pPr>
        <w:pStyle w:val="C-BodyText"/>
        <w:spacing w:line="240" w:lineRule="auto"/>
        <w:jc w:val="both"/>
        <w:rPr>
          <w:szCs w:val="24"/>
        </w:rPr>
      </w:pPr>
      <w:r w:rsidRPr="00F805C2">
        <w:rPr>
          <w:szCs w:val="24"/>
        </w:rPr>
        <w:t>In vitro studies have established that rat microsomes rapidly catalyze nearly complete conversion of BLXA</w:t>
      </w:r>
      <w:r w:rsidRPr="00F805C2">
        <w:rPr>
          <w:szCs w:val="24"/>
          <w:vertAlign w:val="subscript"/>
        </w:rPr>
        <w:t>4</w:t>
      </w:r>
      <w:r w:rsidRPr="00F805C2">
        <w:rPr>
          <w:szCs w:val="24"/>
        </w:rPr>
        <w:t>-ME to BLXA</w:t>
      </w:r>
      <w:r w:rsidRPr="00F805C2">
        <w:rPr>
          <w:szCs w:val="24"/>
          <w:vertAlign w:val="subscript"/>
        </w:rPr>
        <w:t>4</w:t>
      </w:r>
      <w:r w:rsidRPr="00F805C2">
        <w:rPr>
          <w:szCs w:val="24"/>
        </w:rPr>
        <w:t xml:space="preserve">-FA, whereas both human and dog microsomes are much slower in </w:t>
      </w:r>
      <w:r w:rsidRPr="00F805C2">
        <w:rPr>
          <w:szCs w:val="24"/>
        </w:rPr>
        <w:lastRenderedPageBreak/>
        <w:t>converting the ME to the FA form.  Similarly, rat plasma was much more effective than either human or dog plasma in metabolizing BLXA</w:t>
      </w:r>
      <w:r w:rsidRPr="00F805C2">
        <w:rPr>
          <w:szCs w:val="24"/>
          <w:vertAlign w:val="subscript"/>
        </w:rPr>
        <w:t>4</w:t>
      </w:r>
      <w:r w:rsidRPr="00F805C2">
        <w:rPr>
          <w:szCs w:val="24"/>
        </w:rPr>
        <w:t>-ME to BLXA</w:t>
      </w:r>
      <w:r w:rsidRPr="00F805C2">
        <w:rPr>
          <w:szCs w:val="24"/>
          <w:vertAlign w:val="subscript"/>
        </w:rPr>
        <w:t>4</w:t>
      </w:r>
      <w:r w:rsidRPr="00F805C2">
        <w:rPr>
          <w:szCs w:val="24"/>
        </w:rPr>
        <w:t xml:space="preserve">-FA. In addition, BLXA4-ME was notably protein-bound in human and dog plasma, and was entirely metabolized to the FA form in rat plasma.    </w:t>
      </w:r>
    </w:p>
    <w:p w14:paraId="110E699D" w14:textId="533C867A" w:rsidR="00857195" w:rsidRPr="00F805C2" w:rsidRDefault="00857195" w:rsidP="00F805C2">
      <w:pPr>
        <w:pStyle w:val="C-BodyText"/>
        <w:spacing w:line="240" w:lineRule="auto"/>
        <w:jc w:val="both"/>
        <w:rPr>
          <w:szCs w:val="24"/>
        </w:rPr>
      </w:pPr>
      <w:r w:rsidRPr="00F805C2">
        <w:rPr>
          <w:szCs w:val="24"/>
        </w:rPr>
        <w:t xml:space="preserve">At concentrations up to 15 </w:t>
      </w:r>
      <w:proofErr w:type="spellStart"/>
      <w:r w:rsidRPr="00F805C2">
        <w:rPr>
          <w:szCs w:val="24"/>
        </w:rPr>
        <w:t>μg</w:t>
      </w:r>
      <w:proofErr w:type="spellEnd"/>
      <w:r w:rsidRPr="00F805C2">
        <w:rPr>
          <w:szCs w:val="24"/>
        </w:rPr>
        <w:t>/mL</w:t>
      </w:r>
      <w:r w:rsidR="00BA41F6" w:rsidRPr="00F805C2">
        <w:rPr>
          <w:szCs w:val="24"/>
        </w:rPr>
        <w:t>,</w:t>
      </w:r>
      <w:r w:rsidRPr="00F805C2">
        <w:rPr>
          <w:szCs w:val="24"/>
        </w:rPr>
        <w:t xml:space="preserve"> BLXA</w:t>
      </w:r>
      <w:r w:rsidRPr="00F805C2">
        <w:rPr>
          <w:szCs w:val="24"/>
          <w:vertAlign w:val="subscript"/>
        </w:rPr>
        <w:t>4</w:t>
      </w:r>
      <w:r w:rsidRPr="00F805C2">
        <w:rPr>
          <w:szCs w:val="24"/>
        </w:rPr>
        <w:t xml:space="preserve">-ME did not appear to significantly inhibit human liver cytochrome P450 enzymes (CYP) in vitro.  Of the CYP isoforms, only CYP2C9 and CYP2C19 showed inhibition (IC50 of 12 and 4 </w:t>
      </w:r>
      <w:proofErr w:type="spellStart"/>
      <w:r w:rsidRPr="00F805C2">
        <w:rPr>
          <w:szCs w:val="24"/>
        </w:rPr>
        <w:t>μg</w:t>
      </w:r>
      <w:proofErr w:type="spellEnd"/>
      <w:r w:rsidRPr="00F805C2">
        <w:rPr>
          <w:szCs w:val="24"/>
        </w:rPr>
        <w:t>/mL, respectively).</w:t>
      </w:r>
    </w:p>
    <w:p w14:paraId="6A351E0D" w14:textId="77777777" w:rsidR="008F553D" w:rsidRDefault="008F553D" w:rsidP="00F805C2">
      <w:pPr>
        <w:pStyle w:val="C-BodyText"/>
        <w:spacing w:line="240" w:lineRule="auto"/>
        <w:jc w:val="both"/>
        <w:rPr>
          <w:b/>
          <w:bCs/>
          <w:i/>
          <w:iCs/>
          <w:szCs w:val="24"/>
        </w:rPr>
      </w:pPr>
    </w:p>
    <w:p w14:paraId="6EC45EDD" w14:textId="12A54AD9" w:rsidR="00857195" w:rsidRPr="00F805C2" w:rsidRDefault="00857195" w:rsidP="00F805C2">
      <w:pPr>
        <w:pStyle w:val="C-BodyText"/>
        <w:spacing w:line="240" w:lineRule="auto"/>
        <w:jc w:val="both"/>
        <w:rPr>
          <w:b/>
          <w:bCs/>
          <w:i/>
          <w:iCs/>
          <w:szCs w:val="24"/>
        </w:rPr>
      </w:pPr>
      <w:r w:rsidRPr="00F805C2">
        <w:rPr>
          <w:b/>
          <w:bCs/>
          <w:i/>
          <w:iCs/>
          <w:szCs w:val="24"/>
        </w:rPr>
        <w:t>Toxicology</w:t>
      </w:r>
    </w:p>
    <w:p w14:paraId="64393FFD" w14:textId="1D98E95D" w:rsidR="00857195" w:rsidRPr="00F805C2" w:rsidRDefault="00857195" w:rsidP="00F805C2">
      <w:pPr>
        <w:pStyle w:val="C-BodyText"/>
        <w:spacing w:line="240" w:lineRule="auto"/>
        <w:jc w:val="both"/>
        <w:rPr>
          <w:szCs w:val="24"/>
        </w:rPr>
      </w:pPr>
      <w:r w:rsidRPr="00F805C2">
        <w:rPr>
          <w:szCs w:val="24"/>
        </w:rPr>
        <w:t xml:space="preserve">Single </w:t>
      </w:r>
      <w:r w:rsidR="006533AF" w:rsidRPr="00F805C2">
        <w:rPr>
          <w:szCs w:val="24"/>
        </w:rPr>
        <w:t>d</w:t>
      </w:r>
      <w:r w:rsidRPr="00F805C2">
        <w:rPr>
          <w:szCs w:val="24"/>
        </w:rPr>
        <w:t xml:space="preserve">ose </w:t>
      </w:r>
      <w:r w:rsidR="006533AF" w:rsidRPr="00F805C2">
        <w:rPr>
          <w:szCs w:val="24"/>
        </w:rPr>
        <w:t>s</w:t>
      </w:r>
      <w:r w:rsidRPr="00F805C2">
        <w:rPr>
          <w:szCs w:val="24"/>
        </w:rPr>
        <w:t>tudies: Preliminary studies in rodents were undertaken to establish the safety, tolerability, and exposure to BLXA</w:t>
      </w:r>
      <w:r w:rsidRPr="00F805C2">
        <w:rPr>
          <w:szCs w:val="24"/>
          <w:vertAlign w:val="subscript"/>
        </w:rPr>
        <w:t>4</w:t>
      </w:r>
      <w:r w:rsidRPr="00F805C2">
        <w:rPr>
          <w:szCs w:val="24"/>
        </w:rPr>
        <w:t>-ME following acute dose exposure via oral gavage.  BLXA</w:t>
      </w:r>
      <w:r w:rsidRPr="00F805C2">
        <w:rPr>
          <w:szCs w:val="24"/>
          <w:vertAlign w:val="subscript"/>
        </w:rPr>
        <w:t>4</w:t>
      </w:r>
      <w:r w:rsidRPr="00F805C2">
        <w:rPr>
          <w:szCs w:val="24"/>
        </w:rPr>
        <w:t xml:space="preserve">-ME was well tolerated as an acute dose up to 1000 </w:t>
      </w:r>
      <w:proofErr w:type="spellStart"/>
      <w:r w:rsidRPr="00F805C2">
        <w:rPr>
          <w:szCs w:val="24"/>
        </w:rPr>
        <w:t>μg</w:t>
      </w:r>
      <w:proofErr w:type="spellEnd"/>
      <w:r w:rsidRPr="00F805C2">
        <w:rPr>
          <w:szCs w:val="24"/>
        </w:rPr>
        <w:t>/kg in rats (30 males and 30 females) and systemic exposure was established at very early time points following dosing.  These early rodent studies revealed that the BLXA</w:t>
      </w:r>
      <w:r w:rsidRPr="00F805C2">
        <w:rPr>
          <w:szCs w:val="24"/>
          <w:vertAlign w:val="subscript"/>
        </w:rPr>
        <w:t>4</w:t>
      </w:r>
      <w:r w:rsidRPr="00F805C2">
        <w:rPr>
          <w:szCs w:val="24"/>
        </w:rPr>
        <w:t>-ME (methyl ester) form of the product was rapidly converted in vivo in the rats to the BLXA</w:t>
      </w:r>
      <w:r w:rsidRPr="00F805C2">
        <w:rPr>
          <w:szCs w:val="24"/>
          <w:vertAlign w:val="subscript"/>
        </w:rPr>
        <w:t>4</w:t>
      </w:r>
      <w:r w:rsidRPr="00F805C2">
        <w:rPr>
          <w:szCs w:val="24"/>
        </w:rPr>
        <w:t>-FA (free acid) form of the molecule, which was still pharmacologically active.</w:t>
      </w:r>
    </w:p>
    <w:p w14:paraId="0358C03B" w14:textId="77777777" w:rsidR="00857195" w:rsidRPr="00F805C2" w:rsidRDefault="00857195" w:rsidP="00F805C2">
      <w:pPr>
        <w:pStyle w:val="C-BodyText"/>
        <w:spacing w:line="240" w:lineRule="auto"/>
        <w:jc w:val="both"/>
        <w:rPr>
          <w:szCs w:val="24"/>
        </w:rPr>
      </w:pPr>
      <w:r w:rsidRPr="00F805C2">
        <w:rPr>
          <w:szCs w:val="24"/>
        </w:rPr>
        <w:t>BLXA</w:t>
      </w:r>
      <w:r w:rsidRPr="00F805C2">
        <w:rPr>
          <w:szCs w:val="24"/>
          <w:vertAlign w:val="subscript"/>
        </w:rPr>
        <w:t>4</w:t>
      </w:r>
      <w:r w:rsidRPr="00F805C2">
        <w:rPr>
          <w:szCs w:val="24"/>
        </w:rPr>
        <w:t xml:space="preserve">-ME at a dose of 2000 </w:t>
      </w:r>
      <w:proofErr w:type="spellStart"/>
      <w:r w:rsidRPr="00F805C2">
        <w:rPr>
          <w:szCs w:val="24"/>
        </w:rPr>
        <w:t>μg</w:t>
      </w:r>
      <w:proofErr w:type="spellEnd"/>
      <w:r w:rsidRPr="00F805C2">
        <w:rPr>
          <w:szCs w:val="24"/>
        </w:rPr>
        <w:t xml:space="preserve">/kg was also well tolerated following acute dosing via oral gavage in 4 male and 4 female beagle dogs, and plasma levels of nearly 1 </w:t>
      </w:r>
      <w:proofErr w:type="spellStart"/>
      <w:r w:rsidRPr="00F805C2">
        <w:rPr>
          <w:szCs w:val="24"/>
        </w:rPr>
        <w:t>μg</w:t>
      </w:r>
      <w:proofErr w:type="spellEnd"/>
      <w:r w:rsidRPr="00F805C2">
        <w:rPr>
          <w:szCs w:val="24"/>
        </w:rPr>
        <w:t>/mL were achieved within 30 minutes of dosing, suggesting rapid absorption from the gastrointestinal tract in dogs.  No toxicity was observed.</w:t>
      </w:r>
    </w:p>
    <w:p w14:paraId="084FDC74" w14:textId="5DA27E9B" w:rsidR="00857195" w:rsidRPr="00F805C2" w:rsidRDefault="00857195" w:rsidP="00F805C2">
      <w:pPr>
        <w:pStyle w:val="C-BodyText"/>
        <w:spacing w:line="240" w:lineRule="auto"/>
        <w:jc w:val="both"/>
        <w:rPr>
          <w:szCs w:val="24"/>
        </w:rPr>
      </w:pPr>
      <w:r w:rsidRPr="00F805C2">
        <w:rPr>
          <w:i/>
          <w:iCs/>
          <w:szCs w:val="24"/>
        </w:rPr>
        <w:t xml:space="preserve">Repeat </w:t>
      </w:r>
      <w:r w:rsidR="006533AF" w:rsidRPr="00F805C2">
        <w:rPr>
          <w:i/>
          <w:iCs/>
          <w:szCs w:val="24"/>
        </w:rPr>
        <w:t>d</w:t>
      </w:r>
      <w:r w:rsidRPr="00F805C2">
        <w:rPr>
          <w:i/>
          <w:iCs/>
          <w:szCs w:val="24"/>
        </w:rPr>
        <w:t xml:space="preserve">ose </w:t>
      </w:r>
      <w:r w:rsidR="006533AF" w:rsidRPr="00F805C2">
        <w:rPr>
          <w:i/>
          <w:iCs/>
          <w:szCs w:val="24"/>
        </w:rPr>
        <w:t>s</w:t>
      </w:r>
      <w:r w:rsidRPr="00F805C2">
        <w:rPr>
          <w:i/>
          <w:iCs/>
          <w:szCs w:val="24"/>
        </w:rPr>
        <w:t>tudies</w:t>
      </w:r>
      <w:r w:rsidRPr="00F805C2">
        <w:rPr>
          <w:szCs w:val="24"/>
        </w:rPr>
        <w:t>: To assess whether BLXA</w:t>
      </w:r>
      <w:r w:rsidRPr="00F805C2">
        <w:rPr>
          <w:szCs w:val="24"/>
          <w:vertAlign w:val="subscript"/>
        </w:rPr>
        <w:t>4</w:t>
      </w:r>
      <w:r w:rsidRPr="00F805C2">
        <w:rPr>
          <w:szCs w:val="24"/>
        </w:rPr>
        <w:t xml:space="preserve">-ME would accumulate with repeated dosing, 7-day and 28-day oral exposure studies were conducted in both rats and beagle dogs, with doses up to 2000 </w:t>
      </w:r>
      <w:proofErr w:type="spellStart"/>
      <w:r w:rsidRPr="00F805C2">
        <w:rPr>
          <w:szCs w:val="24"/>
        </w:rPr>
        <w:t>μg</w:t>
      </w:r>
      <w:proofErr w:type="spellEnd"/>
      <w:r w:rsidRPr="00F805C2">
        <w:rPr>
          <w:szCs w:val="24"/>
        </w:rPr>
        <w:t xml:space="preserve">/kg/day delivered via oral gavage.  </w:t>
      </w:r>
    </w:p>
    <w:p w14:paraId="7AC9025D" w14:textId="77777777" w:rsidR="00857195" w:rsidRPr="00F805C2" w:rsidRDefault="00857195" w:rsidP="00F805C2">
      <w:pPr>
        <w:pStyle w:val="C-BodyText"/>
        <w:spacing w:line="240" w:lineRule="auto"/>
        <w:jc w:val="both"/>
        <w:rPr>
          <w:szCs w:val="24"/>
        </w:rPr>
      </w:pPr>
      <w:r w:rsidRPr="00F805C2">
        <w:rPr>
          <w:szCs w:val="24"/>
        </w:rPr>
        <w:t xml:space="preserve">For the 7-day repeat dose study, toxicity was assessed in groups of 5 male and 5 female rats per dose level and toxicokinetic assessments were performed in groups of 9 male and 9 female rats per dose level.  For the 28-day repeat dose study, toxicity was assessed in groups of 10 male and 10 female rats for low and mid-dose levels (200 and 500 </w:t>
      </w:r>
      <w:proofErr w:type="spellStart"/>
      <w:r w:rsidRPr="00F805C2">
        <w:rPr>
          <w:szCs w:val="24"/>
        </w:rPr>
        <w:t>μg</w:t>
      </w:r>
      <w:proofErr w:type="spellEnd"/>
      <w:r w:rsidRPr="00F805C2">
        <w:rPr>
          <w:szCs w:val="24"/>
        </w:rPr>
        <w:t xml:space="preserve">/kg/day) and in 15 male and 15 female rats for the high dose (2000 </w:t>
      </w:r>
      <w:proofErr w:type="spellStart"/>
      <w:r w:rsidRPr="00F805C2">
        <w:rPr>
          <w:szCs w:val="24"/>
        </w:rPr>
        <w:t>μg</w:t>
      </w:r>
      <w:proofErr w:type="spellEnd"/>
      <w:r w:rsidRPr="00F805C2">
        <w:rPr>
          <w:szCs w:val="24"/>
        </w:rPr>
        <w:t xml:space="preserve">/kg/day); toxicokinetic assessments were performed in groups of 9 male and 9 female rats for each dose level. </w:t>
      </w:r>
    </w:p>
    <w:p w14:paraId="0C6C9AC8" w14:textId="77777777" w:rsidR="00857195" w:rsidRPr="00F805C2" w:rsidRDefault="00857195" w:rsidP="00F805C2">
      <w:pPr>
        <w:pStyle w:val="C-BodyText"/>
        <w:spacing w:line="240" w:lineRule="auto"/>
        <w:jc w:val="both"/>
        <w:rPr>
          <w:szCs w:val="24"/>
        </w:rPr>
      </w:pPr>
      <w:r w:rsidRPr="00F805C2">
        <w:rPr>
          <w:szCs w:val="24"/>
        </w:rPr>
        <w:t xml:space="preserve">The 7-day repeat dose toxicity study in beagle dogs included one male and one female per dose level.  The 28-day repeat dose toxicity and toxicokinetic study included 3 males and 3 females in the low and mid-dose groups (200 and 500 </w:t>
      </w:r>
      <w:proofErr w:type="spellStart"/>
      <w:r w:rsidRPr="00F805C2">
        <w:rPr>
          <w:szCs w:val="24"/>
        </w:rPr>
        <w:t>μg</w:t>
      </w:r>
      <w:proofErr w:type="spellEnd"/>
      <w:r w:rsidRPr="00F805C2">
        <w:rPr>
          <w:szCs w:val="24"/>
        </w:rPr>
        <w:t xml:space="preserve">/kg/day), and 5 males and 5 females in the high dose group (2000 </w:t>
      </w:r>
      <w:proofErr w:type="spellStart"/>
      <w:r w:rsidRPr="00F805C2">
        <w:rPr>
          <w:szCs w:val="24"/>
        </w:rPr>
        <w:t>μg</w:t>
      </w:r>
      <w:proofErr w:type="spellEnd"/>
      <w:r w:rsidRPr="00F805C2">
        <w:rPr>
          <w:szCs w:val="24"/>
        </w:rPr>
        <w:t xml:space="preserve">/kg/day).  </w:t>
      </w:r>
    </w:p>
    <w:p w14:paraId="3D7A9AD6" w14:textId="77777777" w:rsidR="00857195" w:rsidRPr="00F805C2" w:rsidRDefault="00857195" w:rsidP="00F805C2">
      <w:pPr>
        <w:pStyle w:val="C-BodyText"/>
        <w:spacing w:line="240" w:lineRule="auto"/>
        <w:jc w:val="both"/>
        <w:rPr>
          <w:szCs w:val="24"/>
        </w:rPr>
      </w:pPr>
      <w:r w:rsidRPr="00F805C2">
        <w:rPr>
          <w:szCs w:val="24"/>
        </w:rPr>
        <w:t>While significant systemic exposure was achieved in both rats and dogs, no accumulation was apparent during either the 7 or 28-day dosing periods.  No obvious toxicities and no gross clinical or microscopic pathological effects were observed following these repeat exposures.</w:t>
      </w:r>
    </w:p>
    <w:p w14:paraId="23A43670" w14:textId="77777777" w:rsidR="008F553D" w:rsidRDefault="008F553D" w:rsidP="00F805C2">
      <w:pPr>
        <w:pStyle w:val="C-BodyText"/>
        <w:spacing w:line="240" w:lineRule="auto"/>
        <w:jc w:val="both"/>
        <w:rPr>
          <w:b/>
          <w:bCs/>
          <w:i/>
          <w:iCs/>
          <w:szCs w:val="24"/>
        </w:rPr>
      </w:pPr>
    </w:p>
    <w:p w14:paraId="2392D5B7" w14:textId="12CED3E8" w:rsidR="00857195" w:rsidRPr="00F805C2" w:rsidRDefault="00857195" w:rsidP="00F805C2">
      <w:pPr>
        <w:pStyle w:val="C-BodyText"/>
        <w:spacing w:line="240" w:lineRule="auto"/>
        <w:jc w:val="both"/>
        <w:rPr>
          <w:b/>
          <w:bCs/>
          <w:i/>
          <w:iCs/>
          <w:szCs w:val="24"/>
        </w:rPr>
      </w:pPr>
      <w:r w:rsidRPr="00F805C2">
        <w:rPr>
          <w:b/>
          <w:bCs/>
          <w:i/>
          <w:iCs/>
          <w:szCs w:val="24"/>
        </w:rPr>
        <w:t>Genotoxicity</w:t>
      </w:r>
    </w:p>
    <w:p w14:paraId="531D9C61" w14:textId="732FFD45" w:rsidR="00857195" w:rsidRPr="00F805C2" w:rsidRDefault="00857195" w:rsidP="00F805C2">
      <w:pPr>
        <w:pStyle w:val="C-BodyText"/>
        <w:spacing w:line="240" w:lineRule="auto"/>
        <w:jc w:val="both"/>
        <w:rPr>
          <w:szCs w:val="24"/>
        </w:rPr>
      </w:pPr>
      <w:r w:rsidRPr="00F805C2">
        <w:rPr>
          <w:szCs w:val="24"/>
        </w:rPr>
        <w:t>BLXA</w:t>
      </w:r>
      <w:r w:rsidRPr="00F805C2">
        <w:rPr>
          <w:szCs w:val="24"/>
          <w:vertAlign w:val="subscript"/>
        </w:rPr>
        <w:t>4</w:t>
      </w:r>
      <w:r w:rsidRPr="00F805C2">
        <w:rPr>
          <w:szCs w:val="24"/>
        </w:rPr>
        <w:t>-ME was not mutagenic in the in vitro bacterial reverse mutation (Ames) assay</w:t>
      </w:r>
      <w:r w:rsidR="00BA41F6" w:rsidRPr="00F805C2">
        <w:rPr>
          <w:szCs w:val="24"/>
        </w:rPr>
        <w:t xml:space="preserve"> </w:t>
      </w:r>
      <w:r w:rsidR="00302D86" w:rsidRPr="00F805C2">
        <w:rPr>
          <w:szCs w:val="24"/>
        </w:rPr>
        <w:fldChar w:fldCharType="begin"/>
      </w:r>
      <w:r w:rsidR="008515B4" w:rsidRPr="00F805C2">
        <w:rPr>
          <w:szCs w:val="24"/>
        </w:rPr>
        <w:instrText xml:space="preserve"> ADDIN EN.CITE &lt;EndNote&gt;&lt;Cite&gt;&lt;Author&gt;Ames&lt;/Author&gt;&lt;Year&gt;1975&lt;/Year&gt;&lt;RecNum&gt;11384&lt;/RecNum&gt;&lt;DisplayText&gt;(4)&lt;/DisplayText&gt;&lt;record&gt;&lt;rec-number&gt;11384&lt;/rec-number&gt;&lt;foreign-keys&gt;&lt;key app="EN" db-id="zt05sdatrvwfp8efax65wttrztww02zfarxa" timestamp="1592311163"&gt;11384&lt;/key&gt;&lt;/foreign-keys&gt;&lt;ref-type name="Journal Article"&gt;17&lt;/ref-type&gt;&lt;contributors&gt;&lt;authors&gt;&lt;author&gt;Ames, B. N.&lt;/author&gt;&lt;author&gt;McCann, J.&lt;/author&gt;&lt;author&gt;Yamasaki, E.&lt;/author&gt;&lt;/authors&gt;&lt;/contributors&gt;&lt;titles&gt;&lt;title&gt;Proceedings: carcinogens are mutagens: a simple test system&lt;/title&gt;&lt;secondary-title&gt;Mutat Res&lt;/secondary-title&gt;&lt;/titles&gt;&lt;periodical&gt;&lt;full-title&gt;Mutat Res&lt;/full-title&gt;&lt;/periodical&gt;&lt;pages&gt;27-8&lt;/pages&gt;&lt;volume&gt;33&lt;/volume&gt;&lt;number&gt;1 Spec No&lt;/number&gt;&lt;edition&gt;1975/11/01&lt;/edition&gt;&lt;keywords&gt;&lt;keyword&gt;*Carcinogens/metabolism&lt;/keyword&gt;&lt;keyword&gt;Methods&lt;/keyword&gt;&lt;keyword&gt;*Mutagens/metabolism&lt;/keyword&gt;&lt;keyword&gt;Salmonella typhimurium/metabolism&lt;/keyword&gt;&lt;/keywords&gt;&lt;dates&gt;&lt;year&gt;1975&lt;/year&gt;&lt;pub-dates&gt;&lt;date&gt;Nov&lt;/date&gt;&lt;/pub-dates&gt;&lt;/dates&gt;&lt;isbn&gt;0027-5107 (Print)&amp;#xD;0027-5107 (Linking)&lt;/isbn&gt;&lt;accession-num&gt;1105169&lt;/accession-num&gt;&lt;urls&gt;&lt;related-urls&gt;&lt;url&gt;https://www.ncbi.nlm.nih.gov/pubmed/1105169&lt;/url&gt;&lt;/related-urls&gt;&lt;/urls&gt;&lt;electronic-resource-num&gt;10.1016/0027-5107(75)90040-8&lt;/electronic-resource-num&gt;&lt;/record&gt;&lt;/Cite&gt;&lt;/EndNote&gt;</w:instrText>
      </w:r>
      <w:r w:rsidR="00302D86" w:rsidRPr="00F805C2">
        <w:rPr>
          <w:szCs w:val="24"/>
        </w:rPr>
        <w:fldChar w:fldCharType="separate"/>
      </w:r>
      <w:r w:rsidR="008515B4" w:rsidRPr="00F805C2">
        <w:rPr>
          <w:noProof/>
          <w:szCs w:val="24"/>
        </w:rPr>
        <w:t>(4)</w:t>
      </w:r>
      <w:r w:rsidR="00302D86" w:rsidRPr="00F805C2">
        <w:rPr>
          <w:szCs w:val="24"/>
        </w:rPr>
        <w:fldChar w:fldCharType="end"/>
      </w:r>
      <w:r w:rsidRPr="00F805C2">
        <w:rPr>
          <w:szCs w:val="24"/>
        </w:rPr>
        <w:t xml:space="preserve"> and exhibited no clastogenic activity in an in vitro chromosome structural aberration assay in human blood lymphocytes.</w:t>
      </w:r>
    </w:p>
    <w:p w14:paraId="5819EBA7" w14:textId="4A9AA2FD" w:rsidR="00857195" w:rsidRPr="00F805C2" w:rsidRDefault="00857195" w:rsidP="00F805C2">
      <w:pPr>
        <w:pStyle w:val="C-BodyText"/>
        <w:spacing w:line="240" w:lineRule="auto"/>
        <w:jc w:val="both"/>
        <w:rPr>
          <w:b/>
          <w:bCs/>
          <w:i/>
          <w:iCs/>
          <w:szCs w:val="24"/>
        </w:rPr>
      </w:pPr>
      <w:r w:rsidRPr="00F805C2">
        <w:rPr>
          <w:b/>
          <w:bCs/>
          <w:i/>
          <w:iCs/>
          <w:szCs w:val="24"/>
        </w:rPr>
        <w:lastRenderedPageBreak/>
        <w:t xml:space="preserve">Oral </w:t>
      </w:r>
      <w:r w:rsidR="006533AF" w:rsidRPr="00F805C2">
        <w:rPr>
          <w:b/>
          <w:bCs/>
          <w:i/>
          <w:iCs/>
          <w:szCs w:val="24"/>
        </w:rPr>
        <w:t>i</w:t>
      </w:r>
      <w:r w:rsidRPr="00F805C2">
        <w:rPr>
          <w:b/>
          <w:bCs/>
          <w:i/>
          <w:iCs/>
          <w:szCs w:val="24"/>
        </w:rPr>
        <w:t xml:space="preserve">rritancy </w:t>
      </w:r>
      <w:r w:rsidR="006533AF" w:rsidRPr="00F805C2">
        <w:rPr>
          <w:b/>
          <w:bCs/>
          <w:i/>
          <w:iCs/>
          <w:szCs w:val="24"/>
        </w:rPr>
        <w:t>s</w:t>
      </w:r>
      <w:r w:rsidRPr="00F805C2">
        <w:rPr>
          <w:b/>
          <w:bCs/>
          <w:i/>
          <w:iCs/>
          <w:szCs w:val="24"/>
        </w:rPr>
        <w:t>tudies</w:t>
      </w:r>
    </w:p>
    <w:p w14:paraId="028F62A2" w14:textId="4D452075" w:rsidR="00857195" w:rsidRDefault="00857195" w:rsidP="00F805C2">
      <w:pPr>
        <w:pStyle w:val="C-BodyText"/>
        <w:spacing w:line="240" w:lineRule="auto"/>
        <w:jc w:val="both"/>
        <w:rPr>
          <w:szCs w:val="24"/>
        </w:rPr>
      </w:pPr>
      <w:r w:rsidRPr="00F805C2">
        <w:rPr>
          <w:szCs w:val="24"/>
        </w:rPr>
        <w:t>Consistent with the investigation of a topical oral rinse product, an oral irritancy study was performed in rats to examine the effect of BLXA</w:t>
      </w:r>
      <w:r w:rsidRPr="00F805C2">
        <w:rPr>
          <w:szCs w:val="24"/>
          <w:vertAlign w:val="subscript"/>
        </w:rPr>
        <w:t>4</w:t>
      </w:r>
      <w:r w:rsidRPr="00F805C2">
        <w:rPr>
          <w:szCs w:val="24"/>
        </w:rPr>
        <w:t>-ME on the oral epithelium and on healing of oral epithelial abrasions.  Prior to treatment with the BLXA</w:t>
      </w:r>
      <w:r w:rsidRPr="00F805C2">
        <w:rPr>
          <w:szCs w:val="24"/>
          <w:vertAlign w:val="subscript"/>
        </w:rPr>
        <w:t>4</w:t>
      </w:r>
      <w:r w:rsidRPr="00F805C2">
        <w:rPr>
          <w:szCs w:val="24"/>
        </w:rPr>
        <w:t>-ME oral rinse (15 male and 15 female rats) or control article (0.9% saline, 18 male and 18 female rats), the right buccal mucosa of each rat was abraded to induce minor oral irritation, while the left buccal mucosa was left intact.  The 1μM BLXA</w:t>
      </w:r>
      <w:r w:rsidRPr="00F805C2">
        <w:rPr>
          <w:szCs w:val="24"/>
          <w:vertAlign w:val="subscript"/>
        </w:rPr>
        <w:t>4</w:t>
      </w:r>
      <w:r w:rsidRPr="00F805C2">
        <w:rPr>
          <w:szCs w:val="24"/>
        </w:rPr>
        <w:t>-ME oral rinse or saline was then applied to both sides of the mouth twice daily for up to 28 days.  Macroscopic and microscopic observations were made during the dosing period and following a 14-day recovery period.  The only findings were transient edema and erythema observed macroscopically in both the saline control and BLXA</w:t>
      </w:r>
      <w:r w:rsidRPr="00F805C2">
        <w:rPr>
          <w:szCs w:val="24"/>
          <w:vertAlign w:val="subscript"/>
        </w:rPr>
        <w:t>4</w:t>
      </w:r>
      <w:r w:rsidRPr="00F805C2">
        <w:rPr>
          <w:szCs w:val="24"/>
        </w:rPr>
        <w:t>-ME treated groups. No adverse microscopic effects of BLXA</w:t>
      </w:r>
      <w:r w:rsidRPr="00F805C2">
        <w:rPr>
          <w:szCs w:val="24"/>
          <w:vertAlign w:val="subscript"/>
        </w:rPr>
        <w:t>4</w:t>
      </w:r>
      <w:r w:rsidRPr="00F805C2">
        <w:rPr>
          <w:szCs w:val="24"/>
        </w:rPr>
        <w:t>-ME treatment were noted, and all macroscopic findings were mild and transient and had fully resolved within a few days after cessation of treatment.  This study was intended to closely mimic the intended clinical route of administration, using an oral irritation model along with repeated daily topical dosing to achieve a maximal local effect.  The observed effects were not unexpected for a surfactant-containing oral rinse product applied daily to abraded oral mucosa.</w:t>
      </w:r>
    </w:p>
    <w:p w14:paraId="580EA2A4" w14:textId="6E8D1A73" w:rsidR="008F553D" w:rsidRDefault="008F553D" w:rsidP="00F805C2">
      <w:pPr>
        <w:pStyle w:val="C-BodyText"/>
        <w:spacing w:line="240" w:lineRule="auto"/>
        <w:jc w:val="both"/>
        <w:rPr>
          <w:szCs w:val="24"/>
        </w:rPr>
      </w:pPr>
    </w:p>
    <w:p w14:paraId="4A703D2E" w14:textId="22E60791" w:rsidR="00F805C2" w:rsidRDefault="00F805C2" w:rsidP="00641648">
      <w:pPr>
        <w:pStyle w:val="ListParagraph"/>
        <w:numPr>
          <w:ilvl w:val="0"/>
          <w:numId w:val="4"/>
        </w:numPr>
        <w:tabs>
          <w:tab w:val="num" w:pos="567"/>
        </w:tabs>
        <w:spacing w:before="240" w:after="240" w:line="240" w:lineRule="auto"/>
        <w:outlineLvl w:val="0"/>
        <w:rPr>
          <w:rFonts w:ascii="Times New Roman" w:eastAsia="Cambria" w:hAnsi="Times New Roman" w:cs="Times New Roman"/>
          <w:b/>
          <w:sz w:val="24"/>
          <w:szCs w:val="24"/>
        </w:rPr>
      </w:pPr>
      <w:r w:rsidRPr="00641648">
        <w:rPr>
          <w:rFonts w:ascii="Times New Roman" w:eastAsia="Cambria" w:hAnsi="Times New Roman" w:cs="Times New Roman"/>
          <w:b/>
          <w:sz w:val="24"/>
          <w:szCs w:val="24"/>
        </w:rPr>
        <w:t>Supplementary Figures and Tables</w:t>
      </w:r>
    </w:p>
    <w:p w14:paraId="5ADA5B79" w14:textId="08986DDD" w:rsidR="00641648" w:rsidRPr="00641648" w:rsidRDefault="00641648" w:rsidP="00641648">
      <w:pPr>
        <w:pStyle w:val="ListParagraph"/>
        <w:tabs>
          <w:tab w:val="num" w:pos="567"/>
        </w:tabs>
        <w:spacing w:before="240" w:after="240" w:line="240" w:lineRule="auto"/>
        <w:ind w:left="360"/>
        <w:outlineLvl w:val="0"/>
        <w:rPr>
          <w:rFonts w:ascii="Times New Roman" w:eastAsia="Cambria" w:hAnsi="Times New Roman" w:cs="Times New Roman"/>
          <w:b/>
          <w:sz w:val="24"/>
          <w:szCs w:val="24"/>
        </w:rPr>
      </w:pPr>
    </w:p>
    <w:p w14:paraId="452F4757" w14:textId="715FEF04" w:rsidR="00641648" w:rsidRDefault="00641648" w:rsidP="00641648">
      <w:pPr>
        <w:pStyle w:val="ListParagraph"/>
        <w:numPr>
          <w:ilvl w:val="1"/>
          <w:numId w:val="4"/>
        </w:numPr>
        <w:tabs>
          <w:tab w:val="num" w:pos="567"/>
        </w:tabs>
        <w:spacing w:before="240" w:after="200" w:line="240" w:lineRule="auto"/>
        <w:outlineLvl w:val="1"/>
        <w:rPr>
          <w:rFonts w:ascii="Times New Roman" w:eastAsia="Cambria" w:hAnsi="Times New Roman" w:cs="Times New Roman"/>
          <w:b/>
          <w:sz w:val="24"/>
          <w:szCs w:val="24"/>
        </w:rPr>
      </w:pPr>
      <w:r w:rsidRPr="00641648">
        <w:rPr>
          <w:rFonts w:ascii="Times New Roman" w:eastAsia="Cambria" w:hAnsi="Times New Roman" w:cs="Times New Roman"/>
          <w:b/>
          <w:sz w:val="24"/>
          <w:szCs w:val="24"/>
        </w:rPr>
        <w:t>Supplementary Figures</w:t>
      </w:r>
    </w:p>
    <w:p w14:paraId="09A98583" w14:textId="5988910D" w:rsidR="00771977" w:rsidRDefault="00475161" w:rsidP="00641648">
      <w:pPr>
        <w:pStyle w:val="C-BodyText"/>
        <w:spacing w:line="240" w:lineRule="auto"/>
        <w:jc w:val="both"/>
        <w:rPr>
          <w:rFonts w:ascii="Arial" w:hAnsi="Arial" w:cs="Arial"/>
          <w:b/>
          <w:bCs/>
        </w:rPr>
      </w:pPr>
      <w:r>
        <w:rPr>
          <w:rFonts w:ascii="Arial" w:hAnsi="Arial" w:cs="Arial"/>
          <w:noProof/>
        </w:rPr>
        <w:drawing>
          <wp:anchor distT="0" distB="0" distL="114300" distR="114300" simplePos="0" relativeHeight="251658240" behindDoc="0" locked="0" layoutInCell="1" allowOverlap="1" wp14:anchorId="7FC70577" wp14:editId="283AC413">
            <wp:simplePos x="0" y="0"/>
            <wp:positionH relativeFrom="column">
              <wp:posOffset>381028</wp:posOffset>
            </wp:positionH>
            <wp:positionV relativeFrom="paragraph">
              <wp:posOffset>-34732</wp:posOffset>
            </wp:positionV>
            <wp:extent cx="4817745" cy="4317365"/>
            <wp:effectExtent l="0" t="0" r="190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7745" cy="4317365"/>
                    </a:xfrm>
                    <a:prstGeom prst="rect">
                      <a:avLst/>
                    </a:prstGeom>
                    <a:noFill/>
                  </pic:spPr>
                </pic:pic>
              </a:graphicData>
            </a:graphic>
            <wp14:sizeRelH relativeFrom="page">
              <wp14:pctWidth>0</wp14:pctWidth>
            </wp14:sizeRelH>
            <wp14:sizeRelV relativeFrom="page">
              <wp14:pctHeight>0</wp14:pctHeight>
            </wp14:sizeRelV>
          </wp:anchor>
        </w:drawing>
      </w:r>
    </w:p>
    <w:p w14:paraId="02515D08" w14:textId="0401F109" w:rsidR="00771977" w:rsidRPr="00784976" w:rsidRDefault="00771977" w:rsidP="00771977">
      <w:pPr>
        <w:spacing w:line="360" w:lineRule="auto"/>
        <w:jc w:val="both"/>
        <w:rPr>
          <w:rFonts w:ascii="Arial" w:hAnsi="Arial" w:cs="Arial"/>
        </w:rPr>
      </w:pPr>
    </w:p>
    <w:p w14:paraId="066AB947" w14:textId="6057B70B" w:rsidR="00771977" w:rsidRDefault="00771977" w:rsidP="00771977">
      <w:pPr>
        <w:spacing w:line="360" w:lineRule="auto"/>
        <w:jc w:val="both"/>
        <w:rPr>
          <w:rFonts w:ascii="Arial" w:hAnsi="Arial" w:cs="Arial"/>
          <w:b/>
        </w:rPr>
      </w:pPr>
    </w:p>
    <w:p w14:paraId="47528334" w14:textId="77777777" w:rsidR="00771977" w:rsidRDefault="00771977" w:rsidP="00771977">
      <w:pPr>
        <w:spacing w:line="360" w:lineRule="auto"/>
        <w:jc w:val="both"/>
        <w:rPr>
          <w:rFonts w:ascii="Arial" w:hAnsi="Arial" w:cs="Arial"/>
          <w:b/>
        </w:rPr>
      </w:pPr>
    </w:p>
    <w:p w14:paraId="43804B61" w14:textId="77777777" w:rsidR="00771977" w:rsidRDefault="00771977" w:rsidP="00771977">
      <w:pPr>
        <w:spacing w:line="360" w:lineRule="auto"/>
        <w:jc w:val="both"/>
        <w:rPr>
          <w:rFonts w:ascii="Arial" w:hAnsi="Arial" w:cs="Arial"/>
          <w:b/>
        </w:rPr>
      </w:pPr>
    </w:p>
    <w:p w14:paraId="2BD8AF91" w14:textId="77777777" w:rsidR="00771977" w:rsidRDefault="00771977" w:rsidP="00771977">
      <w:pPr>
        <w:spacing w:line="360" w:lineRule="auto"/>
        <w:jc w:val="both"/>
        <w:rPr>
          <w:rFonts w:ascii="Arial" w:hAnsi="Arial" w:cs="Arial"/>
          <w:b/>
        </w:rPr>
      </w:pPr>
    </w:p>
    <w:p w14:paraId="32D413A9" w14:textId="77777777" w:rsidR="00771977" w:rsidRDefault="00771977" w:rsidP="00771977">
      <w:pPr>
        <w:spacing w:line="360" w:lineRule="auto"/>
        <w:jc w:val="both"/>
        <w:rPr>
          <w:rFonts w:ascii="Arial" w:hAnsi="Arial" w:cs="Arial"/>
          <w:b/>
        </w:rPr>
      </w:pPr>
    </w:p>
    <w:p w14:paraId="0D0306E6" w14:textId="77777777" w:rsidR="00771977" w:rsidRDefault="00771977" w:rsidP="00771977">
      <w:pPr>
        <w:spacing w:line="360" w:lineRule="auto"/>
        <w:jc w:val="both"/>
        <w:rPr>
          <w:rFonts w:ascii="Arial" w:hAnsi="Arial" w:cs="Arial"/>
          <w:b/>
        </w:rPr>
      </w:pPr>
    </w:p>
    <w:p w14:paraId="482C6A7D" w14:textId="77777777" w:rsidR="00771977" w:rsidRDefault="00771977" w:rsidP="00771977">
      <w:pPr>
        <w:spacing w:line="360" w:lineRule="auto"/>
        <w:jc w:val="both"/>
        <w:rPr>
          <w:rFonts w:ascii="Arial" w:hAnsi="Arial" w:cs="Arial"/>
          <w:b/>
        </w:rPr>
      </w:pPr>
    </w:p>
    <w:p w14:paraId="6AFE1B71" w14:textId="77777777" w:rsidR="00771977" w:rsidRDefault="00771977" w:rsidP="00771977">
      <w:pPr>
        <w:spacing w:line="360" w:lineRule="auto"/>
        <w:jc w:val="both"/>
        <w:rPr>
          <w:rFonts w:ascii="Arial" w:hAnsi="Arial" w:cs="Arial"/>
          <w:b/>
        </w:rPr>
      </w:pPr>
    </w:p>
    <w:p w14:paraId="316FBCAE" w14:textId="77777777" w:rsidR="00771977" w:rsidRDefault="00771977" w:rsidP="00771977">
      <w:pPr>
        <w:spacing w:line="360" w:lineRule="auto"/>
        <w:jc w:val="both"/>
        <w:rPr>
          <w:rFonts w:ascii="Arial" w:hAnsi="Arial" w:cs="Arial"/>
          <w:b/>
        </w:rPr>
      </w:pPr>
    </w:p>
    <w:p w14:paraId="26A63827" w14:textId="77777777" w:rsidR="00771977" w:rsidRDefault="00771977" w:rsidP="00771977">
      <w:pPr>
        <w:spacing w:line="360" w:lineRule="auto"/>
        <w:jc w:val="both"/>
        <w:rPr>
          <w:rFonts w:ascii="Arial" w:hAnsi="Arial" w:cs="Arial"/>
          <w:b/>
        </w:rPr>
      </w:pPr>
    </w:p>
    <w:p w14:paraId="0CDBFA65" w14:textId="3607FDD9" w:rsidR="00771977" w:rsidRPr="00C71207" w:rsidRDefault="00771977" w:rsidP="002F651C">
      <w:pPr>
        <w:spacing w:line="240" w:lineRule="auto"/>
        <w:jc w:val="both"/>
        <w:rPr>
          <w:rFonts w:ascii="Times New Roman" w:hAnsi="Times New Roman" w:cs="Times New Roman"/>
          <w:color w:val="FF0000"/>
        </w:rPr>
      </w:pPr>
      <w:r w:rsidRPr="00F805C2">
        <w:rPr>
          <w:rFonts w:ascii="Times New Roman" w:hAnsi="Times New Roman" w:cs="Times New Roman"/>
          <w:b/>
        </w:rPr>
        <w:lastRenderedPageBreak/>
        <w:t xml:space="preserve">Supplementary Figure 1. </w:t>
      </w:r>
      <w:bookmarkStart w:id="11" w:name="_Hlk41649127"/>
      <w:r w:rsidR="006625AC" w:rsidRPr="00F805C2">
        <w:rPr>
          <w:rFonts w:ascii="Times New Roman" w:hAnsi="Times New Roman" w:cs="Times New Roman"/>
          <w:b/>
        </w:rPr>
        <w:t xml:space="preserve">Targeted </w:t>
      </w:r>
      <w:r w:rsidRPr="00F805C2">
        <w:rPr>
          <w:rFonts w:ascii="Times New Roman" w:hAnsi="Times New Roman" w:cs="Times New Roman"/>
          <w:b/>
        </w:rPr>
        <w:t xml:space="preserve">Lipid Mediator </w:t>
      </w:r>
      <w:r w:rsidR="006625AC" w:rsidRPr="00F805C2">
        <w:rPr>
          <w:rFonts w:ascii="Times New Roman" w:hAnsi="Times New Roman" w:cs="Times New Roman"/>
          <w:b/>
        </w:rPr>
        <w:t>L</w:t>
      </w:r>
      <w:r w:rsidRPr="00F805C2">
        <w:rPr>
          <w:rFonts w:ascii="Times New Roman" w:hAnsi="Times New Roman" w:cs="Times New Roman"/>
          <w:b/>
        </w:rPr>
        <w:t>ipidomics</w:t>
      </w:r>
      <w:bookmarkEnd w:id="11"/>
      <w:r w:rsidRPr="00F805C2">
        <w:rPr>
          <w:rFonts w:ascii="Times New Roman" w:hAnsi="Times New Roman" w:cs="Times New Roman"/>
          <w:b/>
        </w:rPr>
        <w:t xml:space="preserve">. </w:t>
      </w:r>
      <w:r w:rsidRPr="002F651C">
        <w:rPr>
          <w:rFonts w:ascii="Times New Roman" w:hAnsi="Times New Roman" w:cs="Times New Roman"/>
          <w:b/>
        </w:rPr>
        <w:t>(A)</w:t>
      </w:r>
      <w:r w:rsidRPr="00F805C2">
        <w:rPr>
          <w:rFonts w:ascii="Times New Roman" w:hAnsi="Times New Roman" w:cs="Times New Roman"/>
          <w:bCs/>
        </w:rPr>
        <w:t xml:space="preserve"> Lipid mediator (LM) extraction from human blood serum. Serum samples were obtained from the peripheral blood collected at baseline and at 28 days post-baseline. After addition of isotope-labeled standards d4-LTB</w:t>
      </w:r>
      <w:r w:rsidRPr="00F805C2">
        <w:rPr>
          <w:rFonts w:ascii="Times New Roman" w:hAnsi="Times New Roman" w:cs="Times New Roman"/>
          <w:bCs/>
          <w:vertAlign w:val="subscript"/>
        </w:rPr>
        <w:t>4</w:t>
      </w:r>
      <w:r w:rsidRPr="00F805C2">
        <w:rPr>
          <w:rFonts w:ascii="Times New Roman" w:hAnsi="Times New Roman" w:cs="Times New Roman"/>
          <w:bCs/>
        </w:rPr>
        <w:t>, d4-PGE</w:t>
      </w:r>
      <w:r w:rsidRPr="00F805C2">
        <w:rPr>
          <w:rFonts w:ascii="Times New Roman" w:hAnsi="Times New Roman" w:cs="Times New Roman"/>
          <w:bCs/>
          <w:vertAlign w:val="subscript"/>
        </w:rPr>
        <w:t>2</w:t>
      </w:r>
      <w:r w:rsidRPr="00F805C2">
        <w:rPr>
          <w:rFonts w:ascii="Times New Roman" w:hAnsi="Times New Roman" w:cs="Times New Roman"/>
          <w:bCs/>
        </w:rPr>
        <w:t>, d5-LXA</w:t>
      </w:r>
      <w:r w:rsidRPr="00F805C2">
        <w:rPr>
          <w:rFonts w:ascii="Times New Roman" w:hAnsi="Times New Roman" w:cs="Times New Roman"/>
          <w:bCs/>
          <w:vertAlign w:val="subscript"/>
        </w:rPr>
        <w:t>4</w:t>
      </w:r>
      <w:r w:rsidRPr="00F805C2">
        <w:rPr>
          <w:rFonts w:ascii="Times New Roman" w:hAnsi="Times New Roman" w:cs="Times New Roman"/>
          <w:bCs/>
        </w:rPr>
        <w:t xml:space="preserve">, d5-MaR2, d5-RvD2, and d8-5S-HETE lipid mediators were extracted using C18-silica reverse-phase cartridges. </w:t>
      </w:r>
      <w:r w:rsidRPr="002F651C">
        <w:rPr>
          <w:rFonts w:ascii="Times New Roman" w:hAnsi="Times New Roman" w:cs="Times New Roman"/>
          <w:b/>
        </w:rPr>
        <w:t>(B)</w:t>
      </w:r>
      <w:r w:rsidRPr="00F805C2">
        <w:rPr>
          <w:rFonts w:ascii="Times New Roman" w:hAnsi="Times New Roman" w:cs="Times New Roman"/>
          <w:bCs/>
        </w:rPr>
        <w:t xml:space="preserve"> </w:t>
      </w:r>
      <w:r w:rsidRPr="00623818">
        <w:rPr>
          <w:rFonts w:ascii="Times New Roman" w:hAnsi="Times New Roman" w:cs="Times New Roman"/>
          <w:bCs/>
        </w:rPr>
        <w:t xml:space="preserve">Collection of LM data via LC-MS/MS in </w:t>
      </w:r>
      <w:r w:rsidR="003A1EB4" w:rsidRPr="00623818">
        <w:rPr>
          <w:rFonts w:ascii="Times New Roman" w:hAnsi="Times New Roman" w:cs="Times New Roman"/>
          <w:bCs/>
        </w:rPr>
        <w:t xml:space="preserve">multiple-reaction-monitoring (MRM) </w:t>
      </w:r>
      <w:r w:rsidRPr="00623818">
        <w:rPr>
          <w:rFonts w:ascii="Times New Roman" w:hAnsi="Times New Roman" w:cs="Times New Roman"/>
          <w:bCs/>
        </w:rPr>
        <w:t>mode. The liquid chromatography coupled with tandem mass spectrometry system (QTrap 6500 equipped with a Shimadzu  Nexera XL HPLC) was utilized for collection of LM data. A</w:t>
      </w:r>
      <w:r w:rsidR="009A5EB6" w:rsidRPr="00623818">
        <w:rPr>
          <w:rFonts w:ascii="Times New Roman" w:hAnsi="Times New Roman" w:cs="Times New Roman"/>
          <w:bCs/>
        </w:rPr>
        <w:t>n</w:t>
      </w:r>
      <w:r w:rsidRPr="00623818">
        <w:rPr>
          <w:rFonts w:ascii="Times New Roman" w:hAnsi="Times New Roman" w:cs="Times New Roman"/>
          <w:bCs/>
        </w:rPr>
        <w:t xml:space="preserve"> MRM</w:t>
      </w:r>
      <w:r w:rsidR="00624695" w:rsidRPr="00623818">
        <w:rPr>
          <w:rFonts w:ascii="Times New Roman" w:hAnsi="Times New Roman" w:cs="Times New Roman"/>
          <w:bCs/>
        </w:rPr>
        <w:t>-</w:t>
      </w:r>
      <w:r w:rsidRPr="00623818">
        <w:rPr>
          <w:rFonts w:ascii="Times New Roman" w:hAnsi="Times New Roman" w:cs="Times New Roman"/>
          <w:bCs/>
        </w:rPr>
        <w:t xml:space="preserve">method was developed with signature ion fragments for each molecule to monitor and quantify the levels of targeted LMs. Calibration curves were obtained using both synthetic and authentic LM mixtures at 0.1, 1, 10, and 100pg. </w:t>
      </w:r>
      <w:r w:rsidRPr="00623818">
        <w:rPr>
          <w:rFonts w:ascii="Times New Roman" w:hAnsi="Times New Roman" w:cs="Times New Roman"/>
          <w:b/>
        </w:rPr>
        <w:t>(C)</w:t>
      </w:r>
      <w:r w:rsidRPr="00623818">
        <w:rPr>
          <w:rFonts w:ascii="Times New Roman" w:hAnsi="Times New Roman" w:cs="Times New Roman"/>
          <w:bCs/>
        </w:rPr>
        <w:t xml:space="preserve"> Data extraction and absolute quantitation of lipid mediators. Quantification was carried out based on peak area of the MRM transition and the linear calibration curve for each compound. </w:t>
      </w:r>
    </w:p>
    <w:p w14:paraId="4B9EE049" w14:textId="290F3BAB" w:rsidR="008F553D" w:rsidRDefault="008F553D" w:rsidP="002F651C">
      <w:pPr>
        <w:spacing w:line="240" w:lineRule="auto"/>
        <w:jc w:val="both"/>
        <w:rPr>
          <w:rFonts w:ascii="Times New Roman" w:hAnsi="Times New Roman" w:cs="Times New Roman"/>
        </w:rPr>
      </w:pPr>
    </w:p>
    <w:p w14:paraId="4870DF38" w14:textId="77777777" w:rsidR="008F553D" w:rsidRPr="00F805C2" w:rsidRDefault="008F553D" w:rsidP="002F651C">
      <w:pPr>
        <w:spacing w:line="240" w:lineRule="auto"/>
        <w:jc w:val="both"/>
        <w:rPr>
          <w:rFonts w:ascii="Times New Roman" w:hAnsi="Times New Roman" w:cs="Times New Roman"/>
        </w:rPr>
      </w:pPr>
    </w:p>
    <w:p w14:paraId="0E7CCA47" w14:textId="66EF3FE6" w:rsidR="00641648" w:rsidRDefault="00641648" w:rsidP="00641648">
      <w:pPr>
        <w:pStyle w:val="C-BodyText"/>
        <w:numPr>
          <w:ilvl w:val="1"/>
          <w:numId w:val="4"/>
        </w:numPr>
        <w:spacing w:line="240" w:lineRule="auto"/>
        <w:jc w:val="both"/>
        <w:rPr>
          <w:b/>
          <w:bCs/>
          <w:szCs w:val="24"/>
        </w:rPr>
      </w:pPr>
      <w:bookmarkStart w:id="12" w:name="_Ref401212477"/>
      <w:bookmarkStart w:id="13" w:name="_Toc401219281"/>
      <w:r w:rsidRPr="00F805C2">
        <w:rPr>
          <w:b/>
          <w:bCs/>
          <w:szCs w:val="24"/>
        </w:rPr>
        <w:t xml:space="preserve">Supplementary </w:t>
      </w:r>
      <w:r>
        <w:rPr>
          <w:b/>
          <w:bCs/>
          <w:szCs w:val="24"/>
        </w:rPr>
        <w:t>Tables</w:t>
      </w:r>
    </w:p>
    <w:p w14:paraId="140E9A44" w14:textId="77777777" w:rsidR="00641648" w:rsidRDefault="00641648" w:rsidP="00F805C2">
      <w:pPr>
        <w:pStyle w:val="Caption"/>
      </w:pPr>
    </w:p>
    <w:p w14:paraId="5DA60A6A" w14:textId="3997EA91" w:rsidR="00F805C2" w:rsidRPr="00F805C2" w:rsidRDefault="00F805C2" w:rsidP="00F805C2">
      <w:pPr>
        <w:pStyle w:val="Caption"/>
      </w:pPr>
      <w:r w:rsidRPr="00F805C2">
        <w:t>Supplementary Table 1. Inactive Components BLXA</w:t>
      </w:r>
      <w:r w:rsidRPr="00F805C2">
        <w:rPr>
          <w:vertAlign w:val="subscript"/>
        </w:rPr>
        <w:t>4</w:t>
      </w:r>
      <w:r w:rsidRPr="00F805C2">
        <w:t xml:space="preserve"> oral rinse</w:t>
      </w:r>
    </w:p>
    <w:p w14:paraId="4F7F3C79" w14:textId="77777777" w:rsidR="00F805C2" w:rsidRPr="00F805C2" w:rsidRDefault="00F805C2" w:rsidP="00F805C2">
      <w:pPr>
        <w:kinsoku w:val="0"/>
        <w:overflowPunct w:val="0"/>
        <w:autoSpaceDE w:val="0"/>
        <w:autoSpaceDN w:val="0"/>
        <w:adjustRightInd w:val="0"/>
        <w:spacing w:after="0" w:line="240" w:lineRule="auto"/>
        <w:rPr>
          <w:rFonts w:ascii="Times New Roman" w:hAnsi="Times New Roman" w:cs="Times New Roman"/>
          <w:sz w:val="24"/>
          <w:szCs w:val="24"/>
        </w:rPr>
      </w:pPr>
      <w:r w:rsidRPr="00F805C2">
        <w:rPr>
          <w:rFonts w:ascii="Times New Roman" w:hAnsi="Times New Roman" w:cs="Times New Roman"/>
          <w:noProof/>
          <w:sz w:val="24"/>
          <w:szCs w:val="24"/>
        </w:rPr>
        <mc:AlternateContent>
          <mc:Choice Requires="wps">
            <w:drawing>
              <wp:inline distT="0" distB="0" distL="0" distR="0" wp14:anchorId="09FBABF0" wp14:editId="2074C324">
                <wp:extent cx="4675367" cy="1979930"/>
                <wp:effectExtent l="0" t="0" r="11430" b="12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367"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5572"/>
                              <w:gridCol w:w="1818"/>
                            </w:tblGrid>
                            <w:tr w:rsidR="00F805C2" w14:paraId="76690441"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0492DBA6" w14:textId="77777777" w:rsidR="00F805C2" w:rsidRPr="002F651C" w:rsidRDefault="00F805C2" w:rsidP="002F651C">
                                  <w:pPr>
                                    <w:pStyle w:val="TableParagraph"/>
                                    <w:kinsoku w:val="0"/>
                                    <w:overflowPunct w:val="0"/>
                                    <w:spacing w:before="0"/>
                                    <w:rPr>
                                      <w:b/>
                                      <w:bCs/>
                                      <w:sz w:val="22"/>
                                      <w:szCs w:val="22"/>
                                    </w:rPr>
                                  </w:pPr>
                                  <w:r w:rsidRPr="002F651C">
                                    <w:rPr>
                                      <w:b/>
                                      <w:bCs/>
                                      <w:sz w:val="22"/>
                                      <w:szCs w:val="22"/>
                                    </w:rPr>
                                    <w:t>Component</w:t>
                                  </w:r>
                                </w:p>
                              </w:tc>
                              <w:tc>
                                <w:tcPr>
                                  <w:tcW w:w="1818" w:type="dxa"/>
                                  <w:tcBorders>
                                    <w:top w:val="single" w:sz="6" w:space="0" w:color="000000"/>
                                    <w:left w:val="single" w:sz="6" w:space="0" w:color="000000"/>
                                    <w:bottom w:val="single" w:sz="6" w:space="0" w:color="000000"/>
                                    <w:right w:val="none" w:sz="6" w:space="0" w:color="auto"/>
                                  </w:tcBorders>
                                </w:tcPr>
                                <w:p w14:paraId="1101355E" w14:textId="77777777" w:rsidR="00F805C2" w:rsidRPr="002F651C" w:rsidRDefault="00F805C2" w:rsidP="002F651C">
                                  <w:pPr>
                                    <w:pStyle w:val="TableParagraph"/>
                                    <w:kinsoku w:val="0"/>
                                    <w:overflowPunct w:val="0"/>
                                    <w:spacing w:before="0"/>
                                    <w:rPr>
                                      <w:b/>
                                      <w:bCs/>
                                      <w:sz w:val="22"/>
                                      <w:szCs w:val="22"/>
                                    </w:rPr>
                                  </w:pPr>
                                  <w:r w:rsidRPr="002F651C">
                                    <w:rPr>
                                      <w:b/>
                                      <w:bCs/>
                                      <w:sz w:val="22"/>
                                      <w:szCs w:val="22"/>
                                    </w:rPr>
                                    <w:t>Amount (%w/w)</w:t>
                                  </w:r>
                                </w:p>
                              </w:tc>
                            </w:tr>
                            <w:tr w:rsidR="00F805C2" w14:paraId="6013AF5C"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35D518CA" w14:textId="77777777" w:rsidR="00F805C2" w:rsidRPr="00F805C2" w:rsidRDefault="00F805C2" w:rsidP="002F651C">
                                  <w:pPr>
                                    <w:pStyle w:val="TableParagraph"/>
                                    <w:kinsoku w:val="0"/>
                                    <w:overflowPunct w:val="0"/>
                                    <w:spacing w:before="0"/>
                                  </w:pPr>
                                  <w:r w:rsidRPr="00F805C2">
                                    <w:t>Saccharin sodium</w:t>
                                  </w:r>
                                </w:p>
                              </w:tc>
                              <w:tc>
                                <w:tcPr>
                                  <w:tcW w:w="1818" w:type="dxa"/>
                                  <w:tcBorders>
                                    <w:top w:val="single" w:sz="6" w:space="0" w:color="000000"/>
                                    <w:left w:val="single" w:sz="6" w:space="0" w:color="000000"/>
                                    <w:bottom w:val="single" w:sz="6" w:space="0" w:color="000000"/>
                                    <w:right w:val="none" w:sz="6" w:space="0" w:color="auto"/>
                                  </w:tcBorders>
                                </w:tcPr>
                                <w:p w14:paraId="4B24DBDE" w14:textId="77777777" w:rsidR="00F805C2" w:rsidRPr="00F805C2" w:rsidRDefault="00F805C2" w:rsidP="002F651C">
                                  <w:pPr>
                                    <w:pStyle w:val="TableParagraph"/>
                                    <w:kinsoku w:val="0"/>
                                    <w:overflowPunct w:val="0"/>
                                    <w:spacing w:before="0"/>
                                  </w:pPr>
                                  <w:r w:rsidRPr="00F805C2">
                                    <w:t>0.03</w:t>
                                  </w:r>
                                </w:p>
                              </w:tc>
                            </w:tr>
                            <w:tr w:rsidR="00F805C2" w14:paraId="42941C43" w14:textId="77777777">
                              <w:trPr>
                                <w:trHeight w:val="373"/>
                              </w:trPr>
                              <w:tc>
                                <w:tcPr>
                                  <w:tcW w:w="5572" w:type="dxa"/>
                                  <w:tcBorders>
                                    <w:top w:val="single" w:sz="6" w:space="0" w:color="000000"/>
                                    <w:left w:val="single" w:sz="6" w:space="0" w:color="000000"/>
                                    <w:bottom w:val="single" w:sz="6" w:space="0" w:color="000000"/>
                                    <w:right w:val="single" w:sz="6" w:space="0" w:color="000000"/>
                                  </w:tcBorders>
                                </w:tcPr>
                                <w:p w14:paraId="6E3B42D9" w14:textId="77777777" w:rsidR="00F805C2" w:rsidRPr="00F805C2" w:rsidRDefault="00F805C2" w:rsidP="002F651C">
                                  <w:pPr>
                                    <w:pStyle w:val="TableParagraph"/>
                                    <w:kinsoku w:val="0"/>
                                    <w:overflowPunct w:val="0"/>
                                    <w:spacing w:before="0"/>
                                  </w:pPr>
                                  <w:r w:rsidRPr="00F805C2">
                                    <w:t>Ethanol (95%)</w:t>
                                  </w:r>
                                </w:p>
                              </w:tc>
                              <w:tc>
                                <w:tcPr>
                                  <w:tcW w:w="1818" w:type="dxa"/>
                                  <w:tcBorders>
                                    <w:top w:val="single" w:sz="6" w:space="0" w:color="000000"/>
                                    <w:left w:val="single" w:sz="6" w:space="0" w:color="000000"/>
                                    <w:bottom w:val="single" w:sz="6" w:space="0" w:color="000000"/>
                                    <w:right w:val="none" w:sz="6" w:space="0" w:color="auto"/>
                                  </w:tcBorders>
                                </w:tcPr>
                                <w:p w14:paraId="72806448" w14:textId="77777777" w:rsidR="00F805C2" w:rsidRPr="00F805C2" w:rsidRDefault="00F805C2" w:rsidP="002F651C">
                                  <w:pPr>
                                    <w:pStyle w:val="TableParagraph"/>
                                    <w:kinsoku w:val="0"/>
                                    <w:overflowPunct w:val="0"/>
                                    <w:spacing w:before="0"/>
                                  </w:pPr>
                                  <w:r w:rsidRPr="00F805C2">
                                    <w:t>10.00</w:t>
                                  </w:r>
                                </w:p>
                              </w:tc>
                            </w:tr>
                            <w:tr w:rsidR="00F805C2" w14:paraId="428B579C"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470D04CA" w14:textId="77777777" w:rsidR="00F805C2" w:rsidRPr="00F805C2" w:rsidRDefault="00F805C2" w:rsidP="002F651C">
                                  <w:pPr>
                                    <w:pStyle w:val="TableParagraph"/>
                                    <w:kinsoku w:val="0"/>
                                    <w:overflowPunct w:val="0"/>
                                    <w:spacing w:before="0"/>
                                  </w:pPr>
                                  <w:r w:rsidRPr="00F805C2">
                                    <w:t>Propylene glycol</w:t>
                                  </w:r>
                                </w:p>
                              </w:tc>
                              <w:tc>
                                <w:tcPr>
                                  <w:tcW w:w="1818" w:type="dxa"/>
                                  <w:tcBorders>
                                    <w:top w:val="single" w:sz="6" w:space="0" w:color="000000"/>
                                    <w:left w:val="single" w:sz="6" w:space="0" w:color="000000"/>
                                    <w:bottom w:val="single" w:sz="6" w:space="0" w:color="000000"/>
                                    <w:right w:val="none" w:sz="6" w:space="0" w:color="auto"/>
                                  </w:tcBorders>
                                </w:tcPr>
                                <w:p w14:paraId="597D9A0A" w14:textId="77777777" w:rsidR="00F805C2" w:rsidRPr="00F805C2" w:rsidRDefault="00F805C2" w:rsidP="002F651C">
                                  <w:pPr>
                                    <w:pStyle w:val="TableParagraph"/>
                                    <w:kinsoku w:val="0"/>
                                    <w:overflowPunct w:val="0"/>
                                    <w:spacing w:before="0"/>
                                  </w:pPr>
                                  <w:r w:rsidRPr="00F805C2">
                                    <w:t>7.00</w:t>
                                  </w:r>
                                </w:p>
                              </w:tc>
                            </w:tr>
                            <w:tr w:rsidR="00F805C2" w14:paraId="6CE1FDE2"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76ACDDAD" w14:textId="77777777" w:rsidR="00F805C2" w:rsidRPr="00F805C2" w:rsidRDefault="00F805C2" w:rsidP="002F651C">
                                  <w:pPr>
                                    <w:pStyle w:val="TableParagraph"/>
                                    <w:kinsoku w:val="0"/>
                                    <w:overflowPunct w:val="0"/>
                                    <w:spacing w:before="0"/>
                                  </w:pPr>
                                  <w:r w:rsidRPr="00F805C2">
                                    <w:t>Sodium lauryl sulfate</w:t>
                                  </w:r>
                                </w:p>
                              </w:tc>
                              <w:tc>
                                <w:tcPr>
                                  <w:tcW w:w="1818" w:type="dxa"/>
                                  <w:tcBorders>
                                    <w:top w:val="single" w:sz="6" w:space="0" w:color="000000"/>
                                    <w:left w:val="single" w:sz="6" w:space="0" w:color="000000"/>
                                    <w:bottom w:val="single" w:sz="6" w:space="0" w:color="000000"/>
                                    <w:right w:val="none" w:sz="6" w:space="0" w:color="auto"/>
                                  </w:tcBorders>
                                </w:tcPr>
                                <w:p w14:paraId="60C1262A" w14:textId="77777777" w:rsidR="00F805C2" w:rsidRPr="00F805C2" w:rsidRDefault="00F805C2" w:rsidP="002F651C">
                                  <w:pPr>
                                    <w:pStyle w:val="TableParagraph"/>
                                    <w:kinsoku w:val="0"/>
                                    <w:overflowPunct w:val="0"/>
                                    <w:spacing w:before="0"/>
                                  </w:pPr>
                                  <w:r w:rsidRPr="00F805C2">
                                    <w:t>0.25</w:t>
                                  </w:r>
                                </w:p>
                              </w:tc>
                            </w:tr>
                            <w:tr w:rsidR="00F805C2" w14:paraId="61106007" w14:textId="77777777">
                              <w:trPr>
                                <w:trHeight w:val="373"/>
                              </w:trPr>
                              <w:tc>
                                <w:tcPr>
                                  <w:tcW w:w="5572" w:type="dxa"/>
                                  <w:tcBorders>
                                    <w:top w:val="single" w:sz="6" w:space="0" w:color="000000"/>
                                    <w:left w:val="single" w:sz="6" w:space="0" w:color="000000"/>
                                    <w:bottom w:val="single" w:sz="6" w:space="0" w:color="000000"/>
                                    <w:right w:val="single" w:sz="6" w:space="0" w:color="000000"/>
                                  </w:tcBorders>
                                </w:tcPr>
                                <w:p w14:paraId="34D5C522" w14:textId="77777777" w:rsidR="00F805C2" w:rsidRPr="00F805C2" w:rsidRDefault="00F805C2" w:rsidP="002F651C">
                                  <w:pPr>
                                    <w:pStyle w:val="TableParagraph"/>
                                    <w:kinsoku w:val="0"/>
                                    <w:overflowPunct w:val="0"/>
                                    <w:spacing w:before="0"/>
                                  </w:pPr>
                                  <w:r w:rsidRPr="00F805C2">
                                    <w:t>Sorbitol</w:t>
                                  </w:r>
                                </w:p>
                              </w:tc>
                              <w:tc>
                                <w:tcPr>
                                  <w:tcW w:w="1818" w:type="dxa"/>
                                  <w:tcBorders>
                                    <w:top w:val="single" w:sz="6" w:space="0" w:color="000000"/>
                                    <w:left w:val="single" w:sz="6" w:space="0" w:color="000000"/>
                                    <w:bottom w:val="single" w:sz="6" w:space="0" w:color="000000"/>
                                    <w:right w:val="none" w:sz="6" w:space="0" w:color="auto"/>
                                  </w:tcBorders>
                                </w:tcPr>
                                <w:p w14:paraId="07F870E9" w14:textId="77777777" w:rsidR="00F805C2" w:rsidRPr="00F805C2" w:rsidRDefault="00F805C2" w:rsidP="002F651C">
                                  <w:pPr>
                                    <w:pStyle w:val="TableParagraph"/>
                                    <w:kinsoku w:val="0"/>
                                    <w:overflowPunct w:val="0"/>
                                    <w:spacing w:before="0"/>
                                  </w:pPr>
                                  <w:r w:rsidRPr="00F805C2">
                                    <w:t>10.00</w:t>
                                  </w:r>
                                </w:p>
                              </w:tc>
                            </w:tr>
                            <w:tr w:rsidR="00F805C2" w14:paraId="6452DAAA"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4C40CE06" w14:textId="77777777" w:rsidR="00F805C2" w:rsidRPr="00F805C2" w:rsidRDefault="00F805C2" w:rsidP="002F651C">
                                  <w:pPr>
                                    <w:pStyle w:val="TableParagraph"/>
                                    <w:kinsoku w:val="0"/>
                                    <w:overflowPunct w:val="0"/>
                                    <w:spacing w:before="0"/>
                                  </w:pPr>
                                  <w:r w:rsidRPr="00F805C2">
                                    <w:t>Flavoring oil</w:t>
                                  </w:r>
                                </w:p>
                              </w:tc>
                              <w:tc>
                                <w:tcPr>
                                  <w:tcW w:w="1818" w:type="dxa"/>
                                  <w:tcBorders>
                                    <w:top w:val="single" w:sz="6" w:space="0" w:color="000000"/>
                                    <w:left w:val="single" w:sz="6" w:space="0" w:color="000000"/>
                                    <w:bottom w:val="single" w:sz="6" w:space="0" w:color="000000"/>
                                    <w:right w:val="none" w:sz="6" w:space="0" w:color="auto"/>
                                  </w:tcBorders>
                                </w:tcPr>
                                <w:p w14:paraId="6D2CA214" w14:textId="77777777" w:rsidR="00F805C2" w:rsidRPr="00F805C2" w:rsidRDefault="00F805C2" w:rsidP="002F651C">
                                  <w:pPr>
                                    <w:pStyle w:val="TableParagraph"/>
                                    <w:kinsoku w:val="0"/>
                                    <w:overflowPunct w:val="0"/>
                                    <w:spacing w:before="0"/>
                                  </w:pPr>
                                  <w:r w:rsidRPr="00F805C2">
                                    <w:t>0.145</w:t>
                                  </w:r>
                                </w:p>
                              </w:tc>
                            </w:tr>
                            <w:tr w:rsidR="00F805C2" w14:paraId="06A4A815"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599BA045" w14:textId="77777777" w:rsidR="00F805C2" w:rsidRPr="00F805C2" w:rsidRDefault="00F805C2" w:rsidP="002F651C">
                                  <w:pPr>
                                    <w:pStyle w:val="TableParagraph"/>
                                    <w:kinsoku w:val="0"/>
                                    <w:overflowPunct w:val="0"/>
                                    <w:spacing w:before="0"/>
                                  </w:pPr>
                                  <w:r w:rsidRPr="00F805C2">
                                    <w:t>Water</w:t>
                                  </w:r>
                                </w:p>
                              </w:tc>
                              <w:tc>
                                <w:tcPr>
                                  <w:tcW w:w="1818" w:type="dxa"/>
                                  <w:tcBorders>
                                    <w:top w:val="single" w:sz="6" w:space="0" w:color="000000"/>
                                    <w:left w:val="single" w:sz="6" w:space="0" w:color="000000"/>
                                    <w:bottom w:val="single" w:sz="6" w:space="0" w:color="000000"/>
                                    <w:right w:val="none" w:sz="6" w:space="0" w:color="auto"/>
                                  </w:tcBorders>
                                </w:tcPr>
                                <w:p w14:paraId="42606237" w14:textId="77777777" w:rsidR="00F805C2" w:rsidRPr="00F805C2" w:rsidRDefault="00F805C2" w:rsidP="002F651C">
                                  <w:pPr>
                                    <w:pStyle w:val="TableParagraph"/>
                                    <w:kinsoku w:val="0"/>
                                    <w:overflowPunct w:val="0"/>
                                    <w:spacing w:before="0"/>
                                  </w:pPr>
                                  <w:r w:rsidRPr="00F805C2">
                                    <w:t>72.575</w:t>
                                  </w:r>
                                </w:p>
                              </w:tc>
                            </w:tr>
                          </w:tbl>
                          <w:p w14:paraId="75D0E7C5" w14:textId="77777777" w:rsidR="00F805C2" w:rsidRDefault="00F805C2" w:rsidP="00F805C2">
                            <w:pPr>
                              <w:pStyle w:val="BodyText"/>
                              <w:kinsoku w:val="0"/>
                              <w:overflowPunct w:val="0"/>
                              <w:rPr>
                                <w:b/>
                                <w:bCs/>
                              </w:rPr>
                            </w:pPr>
                          </w:p>
                        </w:txbxContent>
                      </wps:txbx>
                      <wps:bodyPr rot="0" vert="horz" wrap="square" lIns="0" tIns="0" rIns="0" bIns="0" anchor="t" anchorCtr="0" upright="1">
                        <a:noAutofit/>
                      </wps:bodyPr>
                    </wps:wsp>
                  </a:graphicData>
                </a:graphic>
              </wp:inline>
            </w:drawing>
          </mc:Choice>
          <mc:Fallback>
            <w:pict>
              <v:shapetype w14:anchorId="09FBABF0" id="_x0000_t202" coordsize="21600,21600" o:spt="202" path="m,l,21600r21600,l21600,xe">
                <v:stroke joinstyle="miter"/>
                <v:path gradientshapeok="t" o:connecttype="rect"/>
              </v:shapetype>
              <v:shape id="Text Box 3" o:spid="_x0000_s1026" type="#_x0000_t202" style="width:368.15pt;height:1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"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5572"/>
                        <w:gridCol w:w="1818"/>
                      </w:tblGrid>
                      <w:tr w:rsidR="00F805C2" w14:paraId="76690441"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0492DBA6" w14:textId="77777777" w:rsidR="00F805C2" w:rsidRPr="002F651C" w:rsidRDefault="00F805C2" w:rsidP="002F651C">
                            <w:pPr>
                              <w:pStyle w:val="TableParagraph"/>
                              <w:kinsoku w:val="0"/>
                              <w:overflowPunct w:val="0"/>
                              <w:spacing w:before="0"/>
                              <w:rPr>
                                <w:b/>
                                <w:bCs/>
                                <w:sz w:val="22"/>
                                <w:szCs w:val="22"/>
                              </w:rPr>
                            </w:pPr>
                            <w:r w:rsidRPr="002F651C">
                              <w:rPr>
                                <w:b/>
                                <w:bCs/>
                                <w:sz w:val="22"/>
                                <w:szCs w:val="22"/>
                              </w:rPr>
                              <w:t>Component</w:t>
                            </w:r>
                          </w:p>
                        </w:tc>
                        <w:tc>
                          <w:tcPr>
                            <w:tcW w:w="1818" w:type="dxa"/>
                            <w:tcBorders>
                              <w:top w:val="single" w:sz="6" w:space="0" w:color="000000"/>
                              <w:left w:val="single" w:sz="6" w:space="0" w:color="000000"/>
                              <w:bottom w:val="single" w:sz="6" w:space="0" w:color="000000"/>
                              <w:right w:val="none" w:sz="6" w:space="0" w:color="auto"/>
                            </w:tcBorders>
                          </w:tcPr>
                          <w:p w14:paraId="1101355E" w14:textId="77777777" w:rsidR="00F805C2" w:rsidRPr="002F651C" w:rsidRDefault="00F805C2" w:rsidP="002F651C">
                            <w:pPr>
                              <w:pStyle w:val="TableParagraph"/>
                              <w:kinsoku w:val="0"/>
                              <w:overflowPunct w:val="0"/>
                              <w:spacing w:before="0"/>
                              <w:rPr>
                                <w:b/>
                                <w:bCs/>
                                <w:sz w:val="22"/>
                                <w:szCs w:val="22"/>
                              </w:rPr>
                            </w:pPr>
                            <w:r w:rsidRPr="002F651C">
                              <w:rPr>
                                <w:b/>
                                <w:bCs/>
                                <w:sz w:val="22"/>
                                <w:szCs w:val="22"/>
                              </w:rPr>
                              <w:t>Amount (%w/w)</w:t>
                            </w:r>
                          </w:p>
                        </w:tc>
                      </w:tr>
                      <w:tr w:rsidR="00F805C2" w14:paraId="6013AF5C"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35D518CA" w14:textId="77777777" w:rsidR="00F805C2" w:rsidRPr="00F805C2" w:rsidRDefault="00F805C2" w:rsidP="002F651C">
                            <w:pPr>
                              <w:pStyle w:val="TableParagraph"/>
                              <w:kinsoku w:val="0"/>
                              <w:overflowPunct w:val="0"/>
                              <w:spacing w:before="0"/>
                            </w:pPr>
                            <w:r w:rsidRPr="00F805C2">
                              <w:t>Saccharin sodium</w:t>
                            </w:r>
                          </w:p>
                        </w:tc>
                        <w:tc>
                          <w:tcPr>
                            <w:tcW w:w="1818" w:type="dxa"/>
                            <w:tcBorders>
                              <w:top w:val="single" w:sz="6" w:space="0" w:color="000000"/>
                              <w:left w:val="single" w:sz="6" w:space="0" w:color="000000"/>
                              <w:bottom w:val="single" w:sz="6" w:space="0" w:color="000000"/>
                              <w:right w:val="none" w:sz="6" w:space="0" w:color="auto"/>
                            </w:tcBorders>
                          </w:tcPr>
                          <w:p w14:paraId="4B24DBDE" w14:textId="77777777" w:rsidR="00F805C2" w:rsidRPr="00F805C2" w:rsidRDefault="00F805C2" w:rsidP="002F651C">
                            <w:pPr>
                              <w:pStyle w:val="TableParagraph"/>
                              <w:kinsoku w:val="0"/>
                              <w:overflowPunct w:val="0"/>
                              <w:spacing w:before="0"/>
                            </w:pPr>
                            <w:r w:rsidRPr="00F805C2">
                              <w:t>0.03</w:t>
                            </w:r>
                          </w:p>
                        </w:tc>
                      </w:tr>
                      <w:tr w:rsidR="00F805C2" w14:paraId="42941C43" w14:textId="77777777">
                        <w:trPr>
                          <w:trHeight w:val="373"/>
                        </w:trPr>
                        <w:tc>
                          <w:tcPr>
                            <w:tcW w:w="5572" w:type="dxa"/>
                            <w:tcBorders>
                              <w:top w:val="single" w:sz="6" w:space="0" w:color="000000"/>
                              <w:left w:val="single" w:sz="6" w:space="0" w:color="000000"/>
                              <w:bottom w:val="single" w:sz="6" w:space="0" w:color="000000"/>
                              <w:right w:val="single" w:sz="6" w:space="0" w:color="000000"/>
                            </w:tcBorders>
                          </w:tcPr>
                          <w:p w14:paraId="6E3B42D9" w14:textId="77777777" w:rsidR="00F805C2" w:rsidRPr="00F805C2" w:rsidRDefault="00F805C2" w:rsidP="002F651C">
                            <w:pPr>
                              <w:pStyle w:val="TableParagraph"/>
                              <w:kinsoku w:val="0"/>
                              <w:overflowPunct w:val="0"/>
                              <w:spacing w:before="0"/>
                            </w:pPr>
                            <w:r w:rsidRPr="00F805C2">
                              <w:t>Ethanol (95%)</w:t>
                            </w:r>
                          </w:p>
                        </w:tc>
                        <w:tc>
                          <w:tcPr>
                            <w:tcW w:w="1818" w:type="dxa"/>
                            <w:tcBorders>
                              <w:top w:val="single" w:sz="6" w:space="0" w:color="000000"/>
                              <w:left w:val="single" w:sz="6" w:space="0" w:color="000000"/>
                              <w:bottom w:val="single" w:sz="6" w:space="0" w:color="000000"/>
                              <w:right w:val="none" w:sz="6" w:space="0" w:color="auto"/>
                            </w:tcBorders>
                          </w:tcPr>
                          <w:p w14:paraId="72806448" w14:textId="77777777" w:rsidR="00F805C2" w:rsidRPr="00F805C2" w:rsidRDefault="00F805C2" w:rsidP="002F651C">
                            <w:pPr>
                              <w:pStyle w:val="TableParagraph"/>
                              <w:kinsoku w:val="0"/>
                              <w:overflowPunct w:val="0"/>
                              <w:spacing w:before="0"/>
                            </w:pPr>
                            <w:r w:rsidRPr="00F805C2">
                              <w:t>10.00</w:t>
                            </w:r>
                          </w:p>
                        </w:tc>
                      </w:tr>
                      <w:tr w:rsidR="00F805C2" w14:paraId="428B579C"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470D04CA" w14:textId="77777777" w:rsidR="00F805C2" w:rsidRPr="00F805C2" w:rsidRDefault="00F805C2" w:rsidP="002F651C">
                            <w:pPr>
                              <w:pStyle w:val="TableParagraph"/>
                              <w:kinsoku w:val="0"/>
                              <w:overflowPunct w:val="0"/>
                              <w:spacing w:before="0"/>
                            </w:pPr>
                            <w:r w:rsidRPr="00F805C2">
                              <w:t>Propylene glycol</w:t>
                            </w:r>
                          </w:p>
                        </w:tc>
                        <w:tc>
                          <w:tcPr>
                            <w:tcW w:w="1818" w:type="dxa"/>
                            <w:tcBorders>
                              <w:top w:val="single" w:sz="6" w:space="0" w:color="000000"/>
                              <w:left w:val="single" w:sz="6" w:space="0" w:color="000000"/>
                              <w:bottom w:val="single" w:sz="6" w:space="0" w:color="000000"/>
                              <w:right w:val="none" w:sz="6" w:space="0" w:color="auto"/>
                            </w:tcBorders>
                          </w:tcPr>
                          <w:p w14:paraId="597D9A0A" w14:textId="77777777" w:rsidR="00F805C2" w:rsidRPr="00F805C2" w:rsidRDefault="00F805C2" w:rsidP="002F651C">
                            <w:pPr>
                              <w:pStyle w:val="TableParagraph"/>
                              <w:kinsoku w:val="0"/>
                              <w:overflowPunct w:val="0"/>
                              <w:spacing w:before="0"/>
                            </w:pPr>
                            <w:r w:rsidRPr="00F805C2">
                              <w:t>7.00</w:t>
                            </w:r>
                          </w:p>
                        </w:tc>
                      </w:tr>
                      <w:tr w:rsidR="00F805C2" w14:paraId="6CE1FDE2"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76ACDDAD" w14:textId="77777777" w:rsidR="00F805C2" w:rsidRPr="00F805C2" w:rsidRDefault="00F805C2" w:rsidP="002F651C">
                            <w:pPr>
                              <w:pStyle w:val="TableParagraph"/>
                              <w:kinsoku w:val="0"/>
                              <w:overflowPunct w:val="0"/>
                              <w:spacing w:before="0"/>
                            </w:pPr>
                            <w:r w:rsidRPr="00F805C2">
                              <w:t>Sodium lauryl sulfate</w:t>
                            </w:r>
                          </w:p>
                        </w:tc>
                        <w:tc>
                          <w:tcPr>
                            <w:tcW w:w="1818" w:type="dxa"/>
                            <w:tcBorders>
                              <w:top w:val="single" w:sz="6" w:space="0" w:color="000000"/>
                              <w:left w:val="single" w:sz="6" w:space="0" w:color="000000"/>
                              <w:bottom w:val="single" w:sz="6" w:space="0" w:color="000000"/>
                              <w:right w:val="none" w:sz="6" w:space="0" w:color="auto"/>
                            </w:tcBorders>
                          </w:tcPr>
                          <w:p w14:paraId="60C1262A" w14:textId="77777777" w:rsidR="00F805C2" w:rsidRPr="00F805C2" w:rsidRDefault="00F805C2" w:rsidP="002F651C">
                            <w:pPr>
                              <w:pStyle w:val="TableParagraph"/>
                              <w:kinsoku w:val="0"/>
                              <w:overflowPunct w:val="0"/>
                              <w:spacing w:before="0"/>
                            </w:pPr>
                            <w:r w:rsidRPr="00F805C2">
                              <w:t>0.25</w:t>
                            </w:r>
                          </w:p>
                        </w:tc>
                      </w:tr>
                      <w:tr w:rsidR="00F805C2" w14:paraId="61106007" w14:textId="77777777">
                        <w:trPr>
                          <w:trHeight w:val="373"/>
                        </w:trPr>
                        <w:tc>
                          <w:tcPr>
                            <w:tcW w:w="5572" w:type="dxa"/>
                            <w:tcBorders>
                              <w:top w:val="single" w:sz="6" w:space="0" w:color="000000"/>
                              <w:left w:val="single" w:sz="6" w:space="0" w:color="000000"/>
                              <w:bottom w:val="single" w:sz="6" w:space="0" w:color="000000"/>
                              <w:right w:val="single" w:sz="6" w:space="0" w:color="000000"/>
                            </w:tcBorders>
                          </w:tcPr>
                          <w:p w14:paraId="34D5C522" w14:textId="77777777" w:rsidR="00F805C2" w:rsidRPr="00F805C2" w:rsidRDefault="00F805C2" w:rsidP="002F651C">
                            <w:pPr>
                              <w:pStyle w:val="TableParagraph"/>
                              <w:kinsoku w:val="0"/>
                              <w:overflowPunct w:val="0"/>
                              <w:spacing w:before="0"/>
                            </w:pPr>
                            <w:r w:rsidRPr="00F805C2">
                              <w:t>Sorbitol</w:t>
                            </w:r>
                          </w:p>
                        </w:tc>
                        <w:tc>
                          <w:tcPr>
                            <w:tcW w:w="1818" w:type="dxa"/>
                            <w:tcBorders>
                              <w:top w:val="single" w:sz="6" w:space="0" w:color="000000"/>
                              <w:left w:val="single" w:sz="6" w:space="0" w:color="000000"/>
                              <w:bottom w:val="single" w:sz="6" w:space="0" w:color="000000"/>
                              <w:right w:val="none" w:sz="6" w:space="0" w:color="auto"/>
                            </w:tcBorders>
                          </w:tcPr>
                          <w:p w14:paraId="07F870E9" w14:textId="77777777" w:rsidR="00F805C2" w:rsidRPr="00F805C2" w:rsidRDefault="00F805C2" w:rsidP="002F651C">
                            <w:pPr>
                              <w:pStyle w:val="TableParagraph"/>
                              <w:kinsoku w:val="0"/>
                              <w:overflowPunct w:val="0"/>
                              <w:spacing w:before="0"/>
                            </w:pPr>
                            <w:r w:rsidRPr="00F805C2">
                              <w:t>10.00</w:t>
                            </w:r>
                          </w:p>
                        </w:tc>
                      </w:tr>
                      <w:tr w:rsidR="00F805C2" w14:paraId="6452DAAA"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4C40CE06" w14:textId="77777777" w:rsidR="00F805C2" w:rsidRPr="00F805C2" w:rsidRDefault="00F805C2" w:rsidP="002F651C">
                            <w:pPr>
                              <w:pStyle w:val="TableParagraph"/>
                              <w:kinsoku w:val="0"/>
                              <w:overflowPunct w:val="0"/>
                              <w:spacing w:before="0"/>
                            </w:pPr>
                            <w:r w:rsidRPr="00F805C2">
                              <w:t>Flavoring oil</w:t>
                            </w:r>
                          </w:p>
                        </w:tc>
                        <w:tc>
                          <w:tcPr>
                            <w:tcW w:w="1818" w:type="dxa"/>
                            <w:tcBorders>
                              <w:top w:val="single" w:sz="6" w:space="0" w:color="000000"/>
                              <w:left w:val="single" w:sz="6" w:space="0" w:color="000000"/>
                              <w:bottom w:val="single" w:sz="6" w:space="0" w:color="000000"/>
                              <w:right w:val="none" w:sz="6" w:space="0" w:color="auto"/>
                            </w:tcBorders>
                          </w:tcPr>
                          <w:p w14:paraId="6D2CA214" w14:textId="77777777" w:rsidR="00F805C2" w:rsidRPr="00F805C2" w:rsidRDefault="00F805C2" w:rsidP="002F651C">
                            <w:pPr>
                              <w:pStyle w:val="TableParagraph"/>
                              <w:kinsoku w:val="0"/>
                              <w:overflowPunct w:val="0"/>
                              <w:spacing w:before="0"/>
                            </w:pPr>
                            <w:r w:rsidRPr="00F805C2">
                              <w:t>0.145</w:t>
                            </w:r>
                          </w:p>
                        </w:tc>
                      </w:tr>
                      <w:tr w:rsidR="00F805C2" w14:paraId="06A4A815" w14:textId="77777777">
                        <w:trPr>
                          <w:trHeight w:val="372"/>
                        </w:trPr>
                        <w:tc>
                          <w:tcPr>
                            <w:tcW w:w="5572" w:type="dxa"/>
                            <w:tcBorders>
                              <w:top w:val="single" w:sz="6" w:space="0" w:color="000000"/>
                              <w:left w:val="single" w:sz="6" w:space="0" w:color="000000"/>
                              <w:bottom w:val="single" w:sz="6" w:space="0" w:color="000000"/>
                              <w:right w:val="single" w:sz="6" w:space="0" w:color="000000"/>
                            </w:tcBorders>
                          </w:tcPr>
                          <w:p w14:paraId="599BA045" w14:textId="77777777" w:rsidR="00F805C2" w:rsidRPr="00F805C2" w:rsidRDefault="00F805C2" w:rsidP="002F651C">
                            <w:pPr>
                              <w:pStyle w:val="TableParagraph"/>
                              <w:kinsoku w:val="0"/>
                              <w:overflowPunct w:val="0"/>
                              <w:spacing w:before="0"/>
                            </w:pPr>
                            <w:r w:rsidRPr="00F805C2">
                              <w:t>Water</w:t>
                            </w:r>
                          </w:p>
                        </w:tc>
                        <w:tc>
                          <w:tcPr>
                            <w:tcW w:w="1818" w:type="dxa"/>
                            <w:tcBorders>
                              <w:top w:val="single" w:sz="6" w:space="0" w:color="000000"/>
                              <w:left w:val="single" w:sz="6" w:space="0" w:color="000000"/>
                              <w:bottom w:val="single" w:sz="6" w:space="0" w:color="000000"/>
                              <w:right w:val="none" w:sz="6" w:space="0" w:color="auto"/>
                            </w:tcBorders>
                          </w:tcPr>
                          <w:p w14:paraId="42606237" w14:textId="77777777" w:rsidR="00F805C2" w:rsidRPr="00F805C2" w:rsidRDefault="00F805C2" w:rsidP="002F651C">
                            <w:pPr>
                              <w:pStyle w:val="TableParagraph"/>
                              <w:kinsoku w:val="0"/>
                              <w:overflowPunct w:val="0"/>
                              <w:spacing w:before="0"/>
                            </w:pPr>
                            <w:r w:rsidRPr="00F805C2">
                              <w:t>72.575</w:t>
                            </w:r>
                          </w:p>
                        </w:tc>
                      </w:tr>
                    </w:tbl>
                    <w:p w14:paraId="75D0E7C5" w14:textId="77777777" w:rsidR="00F805C2" w:rsidRDefault="00F805C2" w:rsidP="00F805C2">
                      <w:pPr>
                        <w:pStyle w:val="BodyText"/>
                        <w:kinsoku w:val="0"/>
                        <w:overflowPunct w:val="0"/>
                        <w:rPr>
                          <w:b/>
                          <w:bCs/>
                        </w:rPr>
                      </w:pPr>
                    </w:p>
                  </w:txbxContent>
                </v:textbox>
                <w10:anchorlock/>
              </v:shape>
            </w:pict>
          </mc:Fallback>
        </mc:AlternateContent>
      </w:r>
    </w:p>
    <w:p w14:paraId="5F3FC1E0" w14:textId="77777777" w:rsidR="00F805C2" w:rsidRPr="00F805C2" w:rsidRDefault="00F805C2" w:rsidP="002F651C">
      <w:pPr>
        <w:kinsoku w:val="0"/>
        <w:overflowPunct w:val="0"/>
        <w:autoSpaceDE w:val="0"/>
        <w:autoSpaceDN w:val="0"/>
        <w:adjustRightInd w:val="0"/>
        <w:spacing w:after="0" w:line="240" w:lineRule="auto"/>
        <w:ind w:left="140"/>
        <w:rPr>
          <w:rFonts w:ascii="Times New Roman" w:hAnsi="Times New Roman" w:cs="Times New Roman"/>
          <w:sz w:val="24"/>
          <w:szCs w:val="24"/>
        </w:rPr>
      </w:pPr>
      <w:bookmarkStart w:id="14" w:name="Table_3:_Inactive_Components_of_BLXA4-ME"/>
      <w:bookmarkStart w:id="15" w:name="9.4.2.1._Acquisition"/>
      <w:bookmarkStart w:id="16" w:name="9.4.2.2._Formulation,_Packaging,_and_Lab"/>
      <w:bookmarkStart w:id="17" w:name="_bookmark0"/>
      <w:bookmarkEnd w:id="14"/>
      <w:bookmarkEnd w:id="15"/>
      <w:bookmarkEnd w:id="16"/>
      <w:bookmarkEnd w:id="17"/>
      <w:r w:rsidRPr="00F805C2">
        <w:rPr>
          <w:rFonts w:ascii="Times New Roman" w:hAnsi="Times New Roman" w:cs="Times New Roman"/>
          <w:sz w:val="24"/>
          <w:szCs w:val="24"/>
        </w:rPr>
        <w:t>BLXA</w:t>
      </w:r>
      <w:r w:rsidRPr="00F805C2">
        <w:rPr>
          <w:rFonts w:ascii="Times New Roman" w:hAnsi="Times New Roman" w:cs="Times New Roman"/>
          <w:sz w:val="24"/>
          <w:szCs w:val="24"/>
          <w:vertAlign w:val="subscript"/>
        </w:rPr>
        <w:t>4</w:t>
      </w:r>
      <w:r w:rsidRPr="00F805C2">
        <w:rPr>
          <w:rFonts w:ascii="Times New Roman" w:hAnsi="Times New Roman" w:cs="Times New Roman"/>
          <w:sz w:val="24"/>
          <w:szCs w:val="24"/>
        </w:rPr>
        <w:t xml:space="preserve"> = benzo-lipoxin A</w:t>
      </w:r>
      <w:r w:rsidRPr="00F805C2">
        <w:rPr>
          <w:rFonts w:ascii="Times New Roman" w:hAnsi="Times New Roman" w:cs="Times New Roman"/>
          <w:sz w:val="24"/>
          <w:szCs w:val="24"/>
          <w:vertAlign w:val="subscript"/>
        </w:rPr>
        <w:t>4</w:t>
      </w:r>
      <w:r w:rsidRPr="00F805C2">
        <w:rPr>
          <w:rFonts w:ascii="Times New Roman" w:hAnsi="Times New Roman" w:cs="Times New Roman"/>
          <w:sz w:val="24"/>
          <w:szCs w:val="24"/>
        </w:rPr>
        <w:t>; w = weight</w:t>
      </w:r>
    </w:p>
    <w:p w14:paraId="2BFD9900" w14:textId="77777777" w:rsidR="00F805C2" w:rsidRPr="00F805C2" w:rsidRDefault="00F805C2" w:rsidP="002F651C">
      <w:pPr>
        <w:kinsoku w:val="0"/>
        <w:overflowPunct w:val="0"/>
        <w:autoSpaceDE w:val="0"/>
        <w:autoSpaceDN w:val="0"/>
        <w:adjustRightInd w:val="0"/>
        <w:spacing w:after="0" w:line="240" w:lineRule="auto"/>
        <w:rPr>
          <w:rFonts w:ascii="Times New Roman" w:hAnsi="Times New Roman" w:cs="Times New Roman"/>
          <w:sz w:val="24"/>
          <w:szCs w:val="24"/>
        </w:rPr>
      </w:pPr>
    </w:p>
    <w:p w14:paraId="1D09E714" w14:textId="623E4EE8" w:rsidR="002F651C" w:rsidRDefault="002F651C" w:rsidP="002F651C">
      <w:pPr>
        <w:pStyle w:val="C-BodyText"/>
      </w:pPr>
    </w:p>
    <w:p w14:paraId="0B661431" w14:textId="63064EFD" w:rsidR="008F553D" w:rsidRDefault="008F553D" w:rsidP="002F651C">
      <w:pPr>
        <w:pStyle w:val="C-BodyText"/>
      </w:pPr>
    </w:p>
    <w:p w14:paraId="6DED5161" w14:textId="23F26C02" w:rsidR="008F553D" w:rsidRDefault="008F553D" w:rsidP="002F651C">
      <w:pPr>
        <w:pStyle w:val="C-BodyText"/>
      </w:pPr>
    </w:p>
    <w:p w14:paraId="26263C34" w14:textId="23E06891" w:rsidR="00DA4E6B" w:rsidRDefault="00DA4E6B" w:rsidP="002F651C">
      <w:pPr>
        <w:pStyle w:val="C-BodyText"/>
      </w:pPr>
    </w:p>
    <w:p w14:paraId="731835B3" w14:textId="77777777" w:rsidR="00DA4E6B" w:rsidRDefault="00DA4E6B" w:rsidP="002F651C">
      <w:pPr>
        <w:pStyle w:val="C-BodyText"/>
      </w:pPr>
    </w:p>
    <w:p w14:paraId="7A3AA563" w14:textId="36E7CB4A" w:rsidR="008F553D" w:rsidRDefault="008F553D" w:rsidP="002F651C">
      <w:pPr>
        <w:pStyle w:val="C-BodyText"/>
      </w:pPr>
    </w:p>
    <w:p w14:paraId="756EA754" w14:textId="77777777" w:rsidR="008F553D" w:rsidRPr="002F651C" w:rsidRDefault="008F553D" w:rsidP="002F651C">
      <w:pPr>
        <w:pStyle w:val="C-BodyText"/>
      </w:pPr>
    </w:p>
    <w:p w14:paraId="780C67E7" w14:textId="77777777" w:rsidR="00F805C2" w:rsidRPr="002F651C" w:rsidRDefault="00F805C2" w:rsidP="00F805C2">
      <w:pPr>
        <w:pStyle w:val="Caption"/>
        <w:jc w:val="both"/>
      </w:pPr>
      <w:r w:rsidRPr="002F651C">
        <w:lastRenderedPageBreak/>
        <w:t>Supplementary Table </w:t>
      </w:r>
      <w:bookmarkEnd w:id="12"/>
      <w:r w:rsidRPr="002F651C">
        <w:t>2. Nonclinical safety pharmacology studies</w:t>
      </w:r>
      <w:bookmarkEnd w:id="13"/>
    </w:p>
    <w:tbl>
      <w:tblPr>
        <w:tblW w:w="95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1350"/>
        <w:gridCol w:w="1620"/>
        <w:gridCol w:w="1350"/>
        <w:gridCol w:w="1260"/>
        <w:gridCol w:w="2294"/>
      </w:tblGrid>
      <w:tr w:rsidR="00F805C2" w:rsidRPr="00F805C2" w14:paraId="388A31CD" w14:textId="77777777" w:rsidTr="008038FF">
        <w:trPr>
          <w:cantSplit/>
          <w:tblHeader/>
          <w:jc w:val="center"/>
        </w:trPr>
        <w:tc>
          <w:tcPr>
            <w:tcW w:w="1702" w:type="dxa"/>
            <w:shd w:val="clear" w:color="auto" w:fill="auto"/>
          </w:tcPr>
          <w:p w14:paraId="0EFB1137" w14:textId="77777777" w:rsidR="00F805C2" w:rsidRPr="002F651C" w:rsidRDefault="00F805C2" w:rsidP="002F651C">
            <w:pPr>
              <w:spacing w:line="276" w:lineRule="auto"/>
              <w:jc w:val="center"/>
              <w:rPr>
                <w:rFonts w:ascii="Times New Roman" w:eastAsia="Calibri" w:hAnsi="Times New Roman" w:cs="Times New Roman"/>
                <w:b/>
              </w:rPr>
            </w:pPr>
            <w:r w:rsidRPr="002F651C">
              <w:rPr>
                <w:rFonts w:ascii="Times New Roman" w:eastAsia="Calibri" w:hAnsi="Times New Roman" w:cs="Times New Roman"/>
                <w:b/>
              </w:rPr>
              <w:t>Organ system evaluated</w:t>
            </w:r>
          </w:p>
        </w:tc>
        <w:tc>
          <w:tcPr>
            <w:tcW w:w="1350" w:type="dxa"/>
            <w:shd w:val="clear" w:color="auto" w:fill="auto"/>
          </w:tcPr>
          <w:p w14:paraId="50D02E0A" w14:textId="77777777" w:rsidR="00F805C2" w:rsidRPr="002F651C" w:rsidRDefault="00F805C2" w:rsidP="002F651C">
            <w:pPr>
              <w:spacing w:line="276" w:lineRule="auto"/>
              <w:jc w:val="center"/>
              <w:rPr>
                <w:rFonts w:ascii="Times New Roman" w:eastAsia="Calibri" w:hAnsi="Times New Roman" w:cs="Times New Roman"/>
                <w:b/>
              </w:rPr>
            </w:pPr>
            <w:r w:rsidRPr="002F651C">
              <w:rPr>
                <w:rFonts w:ascii="Times New Roman" w:eastAsia="Calibri" w:hAnsi="Times New Roman" w:cs="Times New Roman"/>
                <w:b/>
              </w:rPr>
              <w:t>Species/</w:t>
            </w:r>
          </w:p>
          <w:p w14:paraId="5D832546" w14:textId="77777777" w:rsidR="00F805C2" w:rsidRPr="002F651C" w:rsidRDefault="00F805C2" w:rsidP="002F651C">
            <w:pPr>
              <w:spacing w:line="276" w:lineRule="auto"/>
              <w:jc w:val="center"/>
              <w:rPr>
                <w:rFonts w:ascii="Times New Roman" w:eastAsia="Calibri" w:hAnsi="Times New Roman" w:cs="Times New Roman"/>
                <w:b/>
              </w:rPr>
            </w:pPr>
            <w:r w:rsidRPr="002F651C">
              <w:rPr>
                <w:rFonts w:ascii="Times New Roman" w:eastAsia="Calibri" w:hAnsi="Times New Roman" w:cs="Times New Roman"/>
                <w:b/>
              </w:rPr>
              <w:t>Strain</w:t>
            </w:r>
          </w:p>
        </w:tc>
        <w:tc>
          <w:tcPr>
            <w:tcW w:w="1620" w:type="dxa"/>
            <w:shd w:val="clear" w:color="auto" w:fill="auto"/>
          </w:tcPr>
          <w:p w14:paraId="0B39E100" w14:textId="77777777" w:rsidR="00F805C2" w:rsidRPr="002F651C" w:rsidRDefault="00F805C2" w:rsidP="002F651C">
            <w:pPr>
              <w:spacing w:line="276" w:lineRule="auto"/>
              <w:jc w:val="center"/>
              <w:rPr>
                <w:rFonts w:ascii="Times New Roman" w:eastAsia="Calibri" w:hAnsi="Times New Roman" w:cs="Times New Roman"/>
                <w:b/>
              </w:rPr>
            </w:pPr>
            <w:r w:rsidRPr="002F651C">
              <w:rPr>
                <w:rFonts w:ascii="Times New Roman" w:eastAsia="Calibri" w:hAnsi="Times New Roman" w:cs="Times New Roman"/>
                <w:b/>
              </w:rPr>
              <w:t>Method of administration</w:t>
            </w:r>
          </w:p>
        </w:tc>
        <w:tc>
          <w:tcPr>
            <w:tcW w:w="1350" w:type="dxa"/>
            <w:shd w:val="clear" w:color="auto" w:fill="auto"/>
          </w:tcPr>
          <w:p w14:paraId="46796610" w14:textId="77777777" w:rsidR="00F805C2" w:rsidRPr="002F651C" w:rsidRDefault="00F805C2" w:rsidP="002F651C">
            <w:pPr>
              <w:spacing w:line="276" w:lineRule="auto"/>
              <w:jc w:val="center"/>
              <w:rPr>
                <w:rFonts w:ascii="Times New Roman" w:eastAsia="Calibri" w:hAnsi="Times New Roman" w:cs="Times New Roman"/>
                <w:b/>
              </w:rPr>
            </w:pPr>
            <w:r w:rsidRPr="002F651C">
              <w:rPr>
                <w:rFonts w:ascii="Times New Roman" w:eastAsia="Calibri" w:hAnsi="Times New Roman" w:cs="Times New Roman"/>
                <w:b/>
              </w:rPr>
              <w:t>BLXA</w:t>
            </w:r>
            <w:r w:rsidRPr="002F651C">
              <w:rPr>
                <w:rFonts w:ascii="Times New Roman" w:eastAsia="Calibri" w:hAnsi="Times New Roman" w:cs="Times New Roman"/>
                <w:b/>
                <w:vertAlign w:val="subscript"/>
              </w:rPr>
              <w:t>4</w:t>
            </w:r>
            <w:r w:rsidRPr="002F651C">
              <w:rPr>
                <w:rFonts w:ascii="Times New Roman" w:eastAsia="Calibri" w:hAnsi="Times New Roman" w:cs="Times New Roman"/>
                <w:b/>
              </w:rPr>
              <w:noBreakHyphen/>
              <w:t>ME Doses</w:t>
            </w:r>
          </w:p>
        </w:tc>
        <w:tc>
          <w:tcPr>
            <w:tcW w:w="1260" w:type="dxa"/>
            <w:shd w:val="clear" w:color="auto" w:fill="auto"/>
          </w:tcPr>
          <w:p w14:paraId="3A4D3BF8" w14:textId="3A6EFE8B" w:rsidR="00F805C2" w:rsidRPr="002F651C" w:rsidRDefault="00F805C2" w:rsidP="002F651C">
            <w:pPr>
              <w:spacing w:line="276" w:lineRule="auto"/>
              <w:jc w:val="center"/>
              <w:rPr>
                <w:rFonts w:ascii="Times New Roman" w:eastAsia="Calibri" w:hAnsi="Times New Roman" w:cs="Times New Roman"/>
                <w:b/>
              </w:rPr>
            </w:pPr>
            <w:r w:rsidRPr="002F651C">
              <w:rPr>
                <w:rFonts w:ascii="Times New Roman" w:eastAsia="Calibri" w:hAnsi="Times New Roman" w:cs="Times New Roman"/>
                <w:b/>
              </w:rPr>
              <w:t>Sex and number</w:t>
            </w:r>
          </w:p>
        </w:tc>
        <w:tc>
          <w:tcPr>
            <w:tcW w:w="2294" w:type="dxa"/>
            <w:shd w:val="clear" w:color="auto" w:fill="auto"/>
          </w:tcPr>
          <w:p w14:paraId="40026FDC" w14:textId="77777777" w:rsidR="00F805C2" w:rsidRPr="002F651C" w:rsidRDefault="00F805C2" w:rsidP="002F651C">
            <w:pPr>
              <w:spacing w:line="276" w:lineRule="auto"/>
              <w:jc w:val="center"/>
              <w:rPr>
                <w:rFonts w:ascii="Times New Roman" w:eastAsia="Calibri" w:hAnsi="Times New Roman" w:cs="Times New Roman"/>
                <w:b/>
              </w:rPr>
            </w:pPr>
            <w:r w:rsidRPr="002F651C">
              <w:rPr>
                <w:rFonts w:ascii="Times New Roman" w:eastAsia="Calibri" w:hAnsi="Times New Roman" w:cs="Times New Roman"/>
                <w:b/>
              </w:rPr>
              <w:t>Findings</w:t>
            </w:r>
          </w:p>
        </w:tc>
      </w:tr>
      <w:tr w:rsidR="00F805C2" w:rsidRPr="00F805C2" w14:paraId="67C859F4" w14:textId="77777777" w:rsidTr="008038FF">
        <w:trPr>
          <w:cantSplit/>
          <w:jc w:val="center"/>
        </w:trPr>
        <w:tc>
          <w:tcPr>
            <w:tcW w:w="9576" w:type="dxa"/>
            <w:gridSpan w:val="6"/>
            <w:shd w:val="clear" w:color="auto" w:fill="auto"/>
          </w:tcPr>
          <w:p w14:paraId="28A54803" w14:textId="77777777" w:rsidR="00F805C2" w:rsidRPr="002F651C" w:rsidRDefault="00F805C2" w:rsidP="008038FF">
            <w:pPr>
              <w:pStyle w:val="C-TableText"/>
              <w:spacing w:line="276" w:lineRule="auto"/>
              <w:rPr>
                <w:szCs w:val="22"/>
              </w:rPr>
            </w:pPr>
            <w:r w:rsidRPr="002F651C">
              <w:rPr>
                <w:rFonts w:eastAsia="Calibri"/>
                <w:b/>
                <w:szCs w:val="22"/>
              </w:rPr>
              <w:t>In vitro</w:t>
            </w:r>
          </w:p>
        </w:tc>
      </w:tr>
      <w:tr w:rsidR="00F805C2" w:rsidRPr="00F805C2" w14:paraId="5A677628" w14:textId="77777777" w:rsidTr="008038FF">
        <w:trPr>
          <w:cantSplit/>
          <w:jc w:val="center"/>
        </w:trPr>
        <w:tc>
          <w:tcPr>
            <w:tcW w:w="1702" w:type="dxa"/>
            <w:shd w:val="clear" w:color="auto" w:fill="auto"/>
          </w:tcPr>
          <w:p w14:paraId="0C2FCEB2"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Cardiovascular (</w:t>
            </w:r>
            <w:proofErr w:type="spellStart"/>
            <w:r w:rsidRPr="002F651C">
              <w:rPr>
                <w:rFonts w:ascii="Times New Roman" w:eastAsia="Calibri" w:hAnsi="Times New Roman" w:cs="Times New Roman"/>
              </w:rPr>
              <w:t>hERG</w:t>
            </w:r>
            <w:proofErr w:type="spellEnd"/>
            <w:r w:rsidRPr="002F651C">
              <w:rPr>
                <w:rFonts w:ascii="Times New Roman" w:eastAsia="Calibri" w:hAnsi="Times New Roman" w:cs="Times New Roman"/>
              </w:rPr>
              <w:t xml:space="preserve"> channel)</w:t>
            </w:r>
          </w:p>
        </w:tc>
        <w:tc>
          <w:tcPr>
            <w:tcW w:w="1350" w:type="dxa"/>
            <w:shd w:val="clear" w:color="auto" w:fill="auto"/>
          </w:tcPr>
          <w:p w14:paraId="2119291B" w14:textId="77777777" w:rsidR="00F805C2" w:rsidRPr="002F651C" w:rsidRDefault="00F805C2" w:rsidP="008038FF">
            <w:pPr>
              <w:spacing w:before="60" w:after="60" w:line="276" w:lineRule="auto"/>
              <w:rPr>
                <w:rFonts w:ascii="Times New Roman" w:eastAsia="Calibri" w:hAnsi="Times New Roman" w:cs="Times New Roman"/>
              </w:rPr>
            </w:pPr>
            <w:proofErr w:type="spellStart"/>
            <w:r w:rsidRPr="002F651C">
              <w:rPr>
                <w:rFonts w:ascii="Times New Roman" w:eastAsia="Calibri" w:hAnsi="Times New Roman" w:cs="Times New Roman"/>
              </w:rPr>
              <w:t>hERG</w:t>
            </w:r>
            <w:proofErr w:type="spellEnd"/>
            <w:r w:rsidRPr="002F651C">
              <w:rPr>
                <w:rFonts w:ascii="Times New Roman" w:eastAsia="Calibri" w:hAnsi="Times New Roman" w:cs="Times New Roman"/>
              </w:rPr>
              <w:t xml:space="preserve"> expressed in human embryonic kidney cells</w:t>
            </w:r>
          </w:p>
        </w:tc>
        <w:tc>
          <w:tcPr>
            <w:tcW w:w="1620" w:type="dxa"/>
            <w:shd w:val="clear" w:color="auto" w:fill="auto"/>
          </w:tcPr>
          <w:p w14:paraId="5D4AAB40"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In vitro</w:t>
            </w:r>
          </w:p>
        </w:tc>
        <w:tc>
          <w:tcPr>
            <w:tcW w:w="1350" w:type="dxa"/>
            <w:shd w:val="clear" w:color="auto" w:fill="auto"/>
          </w:tcPr>
          <w:p w14:paraId="1498AA2B"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1 </w:t>
            </w:r>
            <w:proofErr w:type="spellStart"/>
            <w:r w:rsidRPr="002F651C">
              <w:rPr>
                <w:rFonts w:ascii="Times New Roman" w:eastAsia="Calibri" w:hAnsi="Times New Roman" w:cs="Times New Roman"/>
              </w:rPr>
              <w:t>μM</w:t>
            </w:r>
            <w:proofErr w:type="spellEnd"/>
          </w:p>
          <w:p w14:paraId="3FC4E706"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3 </w:t>
            </w:r>
            <w:proofErr w:type="spellStart"/>
            <w:r w:rsidRPr="002F651C">
              <w:rPr>
                <w:rFonts w:ascii="Times New Roman" w:eastAsia="Calibri" w:hAnsi="Times New Roman" w:cs="Times New Roman"/>
              </w:rPr>
              <w:t>μM</w:t>
            </w:r>
            <w:proofErr w:type="spellEnd"/>
          </w:p>
          <w:p w14:paraId="7FDF9BE1"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10 </w:t>
            </w:r>
            <w:proofErr w:type="spellStart"/>
            <w:r w:rsidRPr="002F651C">
              <w:rPr>
                <w:rFonts w:ascii="Times New Roman" w:eastAsia="Calibri" w:hAnsi="Times New Roman" w:cs="Times New Roman"/>
              </w:rPr>
              <w:t>μM</w:t>
            </w:r>
            <w:proofErr w:type="spellEnd"/>
          </w:p>
        </w:tc>
        <w:tc>
          <w:tcPr>
            <w:tcW w:w="1260" w:type="dxa"/>
            <w:shd w:val="clear" w:color="auto" w:fill="auto"/>
          </w:tcPr>
          <w:p w14:paraId="406C0A9D"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N/A</w:t>
            </w:r>
          </w:p>
        </w:tc>
        <w:tc>
          <w:tcPr>
            <w:tcW w:w="2294" w:type="dxa"/>
            <w:shd w:val="clear" w:color="auto" w:fill="auto"/>
          </w:tcPr>
          <w:p w14:paraId="0BDFF6E4" w14:textId="77777777" w:rsidR="00F805C2" w:rsidRPr="002F651C" w:rsidRDefault="00F805C2" w:rsidP="008038FF">
            <w:pPr>
              <w:spacing w:before="60" w:after="60" w:line="276" w:lineRule="auto"/>
              <w:rPr>
                <w:rFonts w:ascii="Times New Roman" w:eastAsia="Calibri" w:hAnsi="Times New Roman" w:cs="Times New Roman"/>
              </w:rPr>
            </w:pPr>
            <w:proofErr w:type="spellStart"/>
            <w:r w:rsidRPr="002F651C">
              <w:rPr>
                <w:rFonts w:ascii="Times New Roman" w:eastAsia="Calibri" w:hAnsi="Times New Roman" w:cs="Times New Roman"/>
              </w:rPr>
              <w:t>hERG</w:t>
            </w:r>
            <w:proofErr w:type="spellEnd"/>
            <w:r w:rsidRPr="002F651C">
              <w:rPr>
                <w:rFonts w:ascii="Times New Roman" w:eastAsia="Calibri" w:hAnsi="Times New Roman" w:cs="Times New Roman"/>
              </w:rPr>
              <w:t xml:space="preserve"> current inhibition:</w:t>
            </w:r>
          </w:p>
          <w:p w14:paraId="2A0F31BE"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1.0 ± 0.5% at 1 µM</w:t>
            </w:r>
          </w:p>
          <w:p w14:paraId="23F4003F"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13.5 ± 1.2% at 3 µM </w:t>
            </w:r>
          </w:p>
          <w:p w14:paraId="62BA2988"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31.0 ± 0.6% at 10 µM </w:t>
            </w:r>
          </w:p>
          <w:p w14:paraId="1AD82C89"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1.8 ± 0.6% in control</w:t>
            </w:r>
          </w:p>
          <w:p w14:paraId="72314D59" w14:textId="77777777" w:rsidR="00F805C2" w:rsidRPr="002F651C" w:rsidRDefault="00F805C2" w:rsidP="008038FF">
            <w:pPr>
              <w:spacing w:before="60" w:after="60" w:line="276" w:lineRule="auto"/>
              <w:rPr>
                <w:rFonts w:ascii="Times New Roman" w:eastAsia="Calibri" w:hAnsi="Times New Roman" w:cs="Times New Roman"/>
              </w:rPr>
            </w:pPr>
          </w:p>
          <w:p w14:paraId="68713768"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IC</w:t>
            </w:r>
            <w:r w:rsidRPr="002F651C">
              <w:rPr>
                <w:rFonts w:ascii="Times New Roman" w:eastAsia="Calibri" w:hAnsi="Times New Roman" w:cs="Times New Roman"/>
                <w:vertAlign w:val="subscript"/>
              </w:rPr>
              <w:t>50</w:t>
            </w:r>
            <w:r w:rsidRPr="002F651C">
              <w:rPr>
                <w:rFonts w:ascii="Times New Roman" w:eastAsia="Calibri" w:hAnsi="Times New Roman" w:cs="Times New Roman"/>
              </w:rPr>
              <w:t xml:space="preserve"> for the inhibitory effect of BLXA</w:t>
            </w:r>
            <w:r w:rsidRPr="002F651C">
              <w:rPr>
                <w:rFonts w:ascii="Times New Roman" w:eastAsia="Calibri" w:hAnsi="Times New Roman" w:cs="Times New Roman"/>
                <w:vertAlign w:val="subscript"/>
              </w:rPr>
              <w:t>4</w:t>
            </w:r>
            <w:r w:rsidRPr="002F651C">
              <w:rPr>
                <w:rFonts w:ascii="Times New Roman" w:eastAsia="Calibri" w:hAnsi="Times New Roman" w:cs="Times New Roman"/>
              </w:rPr>
              <w:t xml:space="preserve">-ME on </w:t>
            </w:r>
            <w:proofErr w:type="spellStart"/>
            <w:r w:rsidRPr="002F651C">
              <w:rPr>
                <w:rFonts w:ascii="Times New Roman" w:eastAsia="Calibri" w:hAnsi="Times New Roman" w:cs="Times New Roman"/>
              </w:rPr>
              <w:t>hERG</w:t>
            </w:r>
            <w:proofErr w:type="spellEnd"/>
            <w:r w:rsidRPr="002F651C">
              <w:rPr>
                <w:rFonts w:ascii="Times New Roman" w:eastAsia="Calibri" w:hAnsi="Times New Roman" w:cs="Times New Roman"/>
              </w:rPr>
              <w:t xml:space="preserve"> potassium current was estimated to be greater than 10 </w:t>
            </w:r>
            <w:proofErr w:type="spellStart"/>
            <w:r w:rsidRPr="002F651C">
              <w:rPr>
                <w:rFonts w:ascii="Times New Roman" w:eastAsia="Calibri" w:hAnsi="Times New Roman" w:cs="Times New Roman"/>
              </w:rPr>
              <w:t>μM</w:t>
            </w:r>
            <w:proofErr w:type="spellEnd"/>
            <w:r w:rsidRPr="002F651C">
              <w:rPr>
                <w:rFonts w:ascii="Times New Roman" w:eastAsia="Calibri" w:hAnsi="Times New Roman" w:cs="Times New Roman"/>
              </w:rPr>
              <w:t>.</w:t>
            </w:r>
          </w:p>
        </w:tc>
      </w:tr>
      <w:tr w:rsidR="00F805C2" w:rsidRPr="00F805C2" w14:paraId="28BB59E1" w14:textId="77777777" w:rsidTr="008038FF">
        <w:trPr>
          <w:cantSplit/>
          <w:jc w:val="center"/>
        </w:trPr>
        <w:tc>
          <w:tcPr>
            <w:tcW w:w="9576" w:type="dxa"/>
            <w:gridSpan w:val="6"/>
            <w:shd w:val="clear" w:color="auto" w:fill="auto"/>
          </w:tcPr>
          <w:p w14:paraId="4E2CD384" w14:textId="77777777" w:rsidR="00F805C2" w:rsidRPr="002F651C" w:rsidRDefault="00F805C2" w:rsidP="008038FF">
            <w:pPr>
              <w:pStyle w:val="C-TableText"/>
              <w:spacing w:line="276" w:lineRule="auto"/>
              <w:rPr>
                <w:b/>
                <w:szCs w:val="22"/>
              </w:rPr>
            </w:pPr>
            <w:r w:rsidRPr="002F651C">
              <w:rPr>
                <w:b/>
                <w:szCs w:val="22"/>
              </w:rPr>
              <w:t>In vivo</w:t>
            </w:r>
          </w:p>
        </w:tc>
      </w:tr>
      <w:tr w:rsidR="00F805C2" w:rsidRPr="00F805C2" w14:paraId="20848431" w14:textId="77777777" w:rsidTr="008038FF">
        <w:trPr>
          <w:cantSplit/>
          <w:jc w:val="center"/>
        </w:trPr>
        <w:tc>
          <w:tcPr>
            <w:tcW w:w="1702" w:type="dxa"/>
            <w:shd w:val="clear" w:color="auto" w:fill="auto"/>
          </w:tcPr>
          <w:p w14:paraId="3673C7EF"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Central nervous system</w:t>
            </w:r>
          </w:p>
        </w:tc>
        <w:tc>
          <w:tcPr>
            <w:tcW w:w="1350" w:type="dxa"/>
            <w:shd w:val="clear" w:color="auto" w:fill="auto"/>
          </w:tcPr>
          <w:p w14:paraId="12C9E256"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Rat/Sprague Dawley</w:t>
            </w:r>
          </w:p>
        </w:tc>
        <w:tc>
          <w:tcPr>
            <w:tcW w:w="1620" w:type="dxa"/>
            <w:shd w:val="clear" w:color="auto" w:fill="auto"/>
          </w:tcPr>
          <w:p w14:paraId="65FCADCB"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oral gavage</w:t>
            </w:r>
          </w:p>
        </w:tc>
        <w:tc>
          <w:tcPr>
            <w:tcW w:w="1350" w:type="dxa"/>
            <w:shd w:val="clear" w:color="auto" w:fill="auto"/>
          </w:tcPr>
          <w:p w14:paraId="29A43990"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200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p w14:paraId="1C41039C"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500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p w14:paraId="0534374A"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2000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tc>
        <w:tc>
          <w:tcPr>
            <w:tcW w:w="1260" w:type="dxa"/>
            <w:shd w:val="clear" w:color="auto" w:fill="auto"/>
          </w:tcPr>
          <w:p w14:paraId="3F39CD87"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5 males, 5 females per group</w:t>
            </w:r>
          </w:p>
        </w:tc>
        <w:tc>
          <w:tcPr>
            <w:tcW w:w="2294" w:type="dxa"/>
            <w:shd w:val="clear" w:color="auto" w:fill="auto"/>
          </w:tcPr>
          <w:p w14:paraId="278E7E00"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No apparent neuropharmacological effects</w:t>
            </w:r>
          </w:p>
        </w:tc>
      </w:tr>
      <w:tr w:rsidR="00F805C2" w:rsidRPr="00F805C2" w14:paraId="3C734D3B" w14:textId="77777777" w:rsidTr="008038FF">
        <w:trPr>
          <w:cantSplit/>
          <w:jc w:val="center"/>
        </w:trPr>
        <w:tc>
          <w:tcPr>
            <w:tcW w:w="1702" w:type="dxa"/>
            <w:tcBorders>
              <w:bottom w:val="single" w:sz="6" w:space="0" w:color="auto"/>
            </w:tcBorders>
            <w:shd w:val="clear" w:color="auto" w:fill="auto"/>
          </w:tcPr>
          <w:p w14:paraId="16D01C80"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Respiratory</w:t>
            </w:r>
          </w:p>
        </w:tc>
        <w:tc>
          <w:tcPr>
            <w:tcW w:w="1350" w:type="dxa"/>
            <w:tcBorders>
              <w:bottom w:val="single" w:sz="6" w:space="0" w:color="auto"/>
            </w:tcBorders>
            <w:shd w:val="clear" w:color="auto" w:fill="auto"/>
          </w:tcPr>
          <w:p w14:paraId="48E22607"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Rat/Sprague Dawley</w:t>
            </w:r>
          </w:p>
        </w:tc>
        <w:tc>
          <w:tcPr>
            <w:tcW w:w="1620" w:type="dxa"/>
            <w:tcBorders>
              <w:bottom w:val="single" w:sz="6" w:space="0" w:color="auto"/>
            </w:tcBorders>
            <w:shd w:val="clear" w:color="auto" w:fill="auto"/>
          </w:tcPr>
          <w:p w14:paraId="26D9B7FB"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oral gavage</w:t>
            </w:r>
          </w:p>
        </w:tc>
        <w:tc>
          <w:tcPr>
            <w:tcW w:w="1350" w:type="dxa"/>
            <w:tcBorders>
              <w:bottom w:val="single" w:sz="6" w:space="0" w:color="auto"/>
            </w:tcBorders>
            <w:shd w:val="clear" w:color="auto" w:fill="auto"/>
          </w:tcPr>
          <w:p w14:paraId="0973DF12"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200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p w14:paraId="3D416292"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500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p w14:paraId="106F5B40"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2000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tc>
        <w:tc>
          <w:tcPr>
            <w:tcW w:w="1260" w:type="dxa"/>
            <w:tcBorders>
              <w:bottom w:val="single" w:sz="6" w:space="0" w:color="auto"/>
            </w:tcBorders>
            <w:shd w:val="clear" w:color="auto" w:fill="auto"/>
          </w:tcPr>
          <w:p w14:paraId="1B0C626C"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5 males, 5 females per group</w:t>
            </w:r>
          </w:p>
        </w:tc>
        <w:tc>
          <w:tcPr>
            <w:tcW w:w="2294" w:type="dxa"/>
            <w:tcBorders>
              <w:bottom w:val="single" w:sz="6" w:space="0" w:color="auto"/>
            </w:tcBorders>
            <w:shd w:val="clear" w:color="auto" w:fill="auto"/>
          </w:tcPr>
          <w:p w14:paraId="4528773E"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No biologically relevant effects on respiratory rate, tidal volume, or minute volume</w:t>
            </w:r>
          </w:p>
        </w:tc>
      </w:tr>
      <w:tr w:rsidR="00F805C2" w:rsidRPr="00F805C2" w14:paraId="2AF7F9AF" w14:textId="77777777" w:rsidTr="008038FF">
        <w:trPr>
          <w:cantSplit/>
          <w:jc w:val="center"/>
        </w:trPr>
        <w:tc>
          <w:tcPr>
            <w:tcW w:w="1702" w:type="dxa"/>
            <w:shd w:val="clear" w:color="auto" w:fill="auto"/>
          </w:tcPr>
          <w:p w14:paraId="2E66A3C1"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Cardiovascular</w:t>
            </w:r>
          </w:p>
        </w:tc>
        <w:tc>
          <w:tcPr>
            <w:tcW w:w="1350" w:type="dxa"/>
            <w:shd w:val="clear" w:color="auto" w:fill="auto"/>
          </w:tcPr>
          <w:p w14:paraId="32A4FC5B"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Dog/beagle</w:t>
            </w:r>
          </w:p>
        </w:tc>
        <w:tc>
          <w:tcPr>
            <w:tcW w:w="1620" w:type="dxa"/>
            <w:shd w:val="clear" w:color="auto" w:fill="auto"/>
          </w:tcPr>
          <w:p w14:paraId="7E71EF58"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oral gavage</w:t>
            </w:r>
          </w:p>
        </w:tc>
        <w:tc>
          <w:tcPr>
            <w:tcW w:w="1350" w:type="dxa"/>
            <w:shd w:val="clear" w:color="auto" w:fill="auto"/>
          </w:tcPr>
          <w:p w14:paraId="73F7FD53"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200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p w14:paraId="0BBE4AD2"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500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p w14:paraId="1E4922E6"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 xml:space="preserve">2000 </w:t>
            </w:r>
            <w:proofErr w:type="spellStart"/>
            <w:r w:rsidRPr="002F651C">
              <w:rPr>
                <w:rFonts w:ascii="Times New Roman" w:eastAsia="Calibri" w:hAnsi="Times New Roman" w:cs="Times New Roman"/>
              </w:rPr>
              <w:t>μg</w:t>
            </w:r>
            <w:proofErr w:type="spellEnd"/>
            <w:r w:rsidRPr="002F651C">
              <w:rPr>
                <w:rFonts w:ascii="Times New Roman" w:eastAsia="Calibri" w:hAnsi="Times New Roman" w:cs="Times New Roman"/>
              </w:rPr>
              <w:t>/kg</w:t>
            </w:r>
          </w:p>
        </w:tc>
        <w:tc>
          <w:tcPr>
            <w:tcW w:w="1260" w:type="dxa"/>
            <w:shd w:val="clear" w:color="auto" w:fill="auto"/>
          </w:tcPr>
          <w:p w14:paraId="76CC8567"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4 males, Latin square design</w:t>
            </w:r>
          </w:p>
        </w:tc>
        <w:tc>
          <w:tcPr>
            <w:tcW w:w="2294" w:type="dxa"/>
            <w:shd w:val="clear" w:color="auto" w:fill="auto"/>
          </w:tcPr>
          <w:p w14:paraId="1F26B4EF" w14:textId="77777777" w:rsidR="00F805C2" w:rsidRPr="002F651C" w:rsidRDefault="00F805C2" w:rsidP="008038FF">
            <w:pPr>
              <w:spacing w:before="60" w:after="60" w:line="276" w:lineRule="auto"/>
              <w:rPr>
                <w:rFonts w:ascii="Times New Roman" w:eastAsia="Calibri" w:hAnsi="Times New Roman" w:cs="Times New Roman"/>
              </w:rPr>
            </w:pPr>
            <w:r w:rsidRPr="002F651C">
              <w:rPr>
                <w:rFonts w:ascii="Times New Roman" w:eastAsia="Calibri" w:hAnsi="Times New Roman" w:cs="Times New Roman"/>
              </w:rPr>
              <w:t>No definitive changes in clinical observations, arterial pressure, heart rate, electrocardiogram, or body temperature</w:t>
            </w:r>
          </w:p>
        </w:tc>
      </w:tr>
    </w:tbl>
    <w:p w14:paraId="063285A5" w14:textId="77777777" w:rsidR="00F805C2" w:rsidRPr="002F651C" w:rsidRDefault="00F805C2" w:rsidP="00F805C2">
      <w:pPr>
        <w:pStyle w:val="C-BodyText"/>
        <w:spacing w:before="0" w:line="276" w:lineRule="auto"/>
        <w:rPr>
          <w:sz w:val="22"/>
          <w:szCs w:val="22"/>
        </w:rPr>
      </w:pPr>
      <w:proofErr w:type="spellStart"/>
      <w:r w:rsidRPr="002F651C">
        <w:rPr>
          <w:sz w:val="22"/>
          <w:szCs w:val="22"/>
        </w:rPr>
        <w:t>hERG</w:t>
      </w:r>
      <w:proofErr w:type="spellEnd"/>
      <w:r w:rsidRPr="002F651C">
        <w:rPr>
          <w:sz w:val="22"/>
          <w:szCs w:val="22"/>
        </w:rPr>
        <w:t xml:space="preserve"> = human ether-à-go-go related gene </w:t>
      </w:r>
    </w:p>
    <w:p w14:paraId="5B3DC0F7" w14:textId="37BE4E45" w:rsidR="00F805C2" w:rsidRPr="00F805C2" w:rsidRDefault="00F805C2" w:rsidP="008F553D">
      <w:pPr>
        <w:pStyle w:val="SupplementaryMaterial"/>
      </w:pPr>
      <w:bookmarkStart w:id="18" w:name="_Ref401209448"/>
      <w:bookmarkStart w:id="19" w:name="_Toc401219282"/>
    </w:p>
    <w:p w14:paraId="6B209C25" w14:textId="31162C5D" w:rsidR="00F805C2" w:rsidRDefault="00F805C2" w:rsidP="00F805C2">
      <w:pPr>
        <w:pStyle w:val="Caption"/>
        <w:spacing w:line="240" w:lineRule="auto"/>
        <w:ind w:left="0" w:firstLine="0"/>
      </w:pPr>
      <w:r w:rsidRPr="00F805C2">
        <w:lastRenderedPageBreak/>
        <w:t>Supplementary Table</w:t>
      </w:r>
      <w:bookmarkEnd w:id="18"/>
      <w:r w:rsidRPr="00F805C2">
        <w:t xml:space="preserve"> 3. Mean pharmacokinetic parameters (BLXA</w:t>
      </w:r>
      <w:r w:rsidRPr="00F805C2">
        <w:rPr>
          <w:vertAlign w:val="subscript"/>
        </w:rPr>
        <w:t>4</w:t>
      </w:r>
      <w:r w:rsidRPr="00F805C2">
        <w:t xml:space="preserve">-FA) in Sprague Dawley rats following single 2000 </w:t>
      </w:r>
      <w:proofErr w:type="spellStart"/>
      <w:r w:rsidRPr="00F805C2">
        <w:t>μg</w:t>
      </w:r>
      <w:proofErr w:type="spellEnd"/>
      <w:r w:rsidRPr="00F805C2">
        <w:t>/kg dose of BLXA</w:t>
      </w:r>
      <w:r w:rsidRPr="00F805C2">
        <w:rPr>
          <w:vertAlign w:val="subscript"/>
        </w:rPr>
        <w:t>4</w:t>
      </w:r>
      <w:r w:rsidRPr="00F805C2">
        <w:t>-ME by oral gavage</w:t>
      </w:r>
      <w:bookmarkEnd w:id="19"/>
    </w:p>
    <w:p w14:paraId="22A4B092" w14:textId="77777777" w:rsidR="002F651C" w:rsidRPr="002F651C" w:rsidRDefault="002F651C" w:rsidP="002F651C">
      <w:pPr>
        <w:pStyle w:val="C-BodyText"/>
      </w:pPr>
    </w:p>
    <w:tbl>
      <w:tblPr>
        <w:tblW w:w="95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1080"/>
        <w:gridCol w:w="656"/>
        <w:gridCol w:w="1054"/>
        <w:gridCol w:w="656"/>
        <w:gridCol w:w="1440"/>
        <w:gridCol w:w="1440"/>
        <w:gridCol w:w="1350"/>
        <w:gridCol w:w="918"/>
      </w:tblGrid>
      <w:tr w:rsidR="00F805C2" w:rsidRPr="00F805C2" w14:paraId="187F5F3F" w14:textId="77777777" w:rsidTr="008038FF">
        <w:trPr>
          <w:cantSplit/>
          <w:tblHeader/>
          <w:jc w:val="center"/>
        </w:trPr>
        <w:tc>
          <w:tcPr>
            <w:tcW w:w="982" w:type="dxa"/>
            <w:shd w:val="clear" w:color="auto" w:fill="auto"/>
          </w:tcPr>
          <w:p w14:paraId="5D131E2B" w14:textId="77777777" w:rsidR="00F805C2" w:rsidRPr="00F805C2" w:rsidRDefault="00F805C2" w:rsidP="008038FF">
            <w:pPr>
              <w:pStyle w:val="C-TableHeader"/>
              <w:jc w:val="center"/>
              <w:rPr>
                <w:color w:val="000000"/>
                <w:sz w:val="20"/>
              </w:rPr>
            </w:pPr>
            <w:r w:rsidRPr="00F805C2">
              <w:rPr>
                <w:color w:val="000000"/>
                <w:sz w:val="20"/>
              </w:rPr>
              <w:t>Sex</w:t>
            </w:r>
          </w:p>
          <w:p w14:paraId="417932A9" w14:textId="77777777" w:rsidR="00F805C2" w:rsidRPr="00F805C2" w:rsidRDefault="00F805C2" w:rsidP="008038FF">
            <w:pPr>
              <w:pStyle w:val="C-TableText"/>
              <w:jc w:val="center"/>
              <w:rPr>
                <w:color w:val="000000"/>
                <w:sz w:val="20"/>
              </w:rPr>
            </w:pPr>
            <w:r w:rsidRPr="00F805C2">
              <w:rPr>
                <w:color w:val="000000"/>
                <w:sz w:val="20"/>
              </w:rPr>
              <w:t> </w:t>
            </w:r>
          </w:p>
        </w:tc>
        <w:tc>
          <w:tcPr>
            <w:tcW w:w="1080" w:type="dxa"/>
            <w:shd w:val="clear" w:color="auto" w:fill="auto"/>
          </w:tcPr>
          <w:p w14:paraId="61994B78" w14:textId="77777777" w:rsidR="00F805C2" w:rsidRPr="00F805C2" w:rsidRDefault="00F805C2" w:rsidP="008038FF">
            <w:pPr>
              <w:pStyle w:val="C-TableHeader"/>
              <w:jc w:val="center"/>
              <w:rPr>
                <w:color w:val="000000"/>
                <w:sz w:val="20"/>
              </w:rPr>
            </w:pPr>
            <w:proofErr w:type="spellStart"/>
            <w:r w:rsidRPr="00F805C2">
              <w:rPr>
                <w:color w:val="000000"/>
                <w:sz w:val="20"/>
              </w:rPr>
              <w:t>C</w:t>
            </w:r>
            <w:r w:rsidRPr="00F805C2">
              <w:rPr>
                <w:color w:val="000000"/>
                <w:sz w:val="20"/>
                <w:vertAlign w:val="subscript"/>
              </w:rPr>
              <w:t>max</w:t>
            </w:r>
            <w:proofErr w:type="spellEnd"/>
          </w:p>
          <w:p w14:paraId="50F11EC6" w14:textId="77777777" w:rsidR="00F805C2" w:rsidRPr="00F805C2" w:rsidRDefault="00F805C2" w:rsidP="008038FF">
            <w:pPr>
              <w:pStyle w:val="C-TableText"/>
              <w:jc w:val="center"/>
              <w:rPr>
                <w:b/>
                <w:color w:val="000000"/>
                <w:sz w:val="20"/>
              </w:rPr>
            </w:pPr>
            <w:r w:rsidRPr="00F805C2">
              <w:rPr>
                <w:b/>
                <w:color w:val="000000"/>
                <w:sz w:val="20"/>
              </w:rPr>
              <w:t>(ng/mL)</w:t>
            </w:r>
          </w:p>
        </w:tc>
        <w:tc>
          <w:tcPr>
            <w:tcW w:w="656" w:type="dxa"/>
            <w:shd w:val="clear" w:color="auto" w:fill="auto"/>
          </w:tcPr>
          <w:p w14:paraId="4D366626" w14:textId="77777777" w:rsidR="00F805C2" w:rsidRPr="00F805C2" w:rsidRDefault="00F805C2" w:rsidP="008038FF">
            <w:pPr>
              <w:pStyle w:val="C-TableHeader"/>
              <w:jc w:val="center"/>
              <w:rPr>
                <w:color w:val="000000"/>
                <w:sz w:val="20"/>
              </w:rPr>
            </w:pPr>
            <w:proofErr w:type="spellStart"/>
            <w:r w:rsidRPr="00F805C2">
              <w:rPr>
                <w:color w:val="000000"/>
                <w:sz w:val="20"/>
              </w:rPr>
              <w:t>T</w:t>
            </w:r>
            <w:r w:rsidRPr="00F805C2">
              <w:rPr>
                <w:color w:val="000000"/>
                <w:sz w:val="20"/>
                <w:vertAlign w:val="subscript"/>
              </w:rPr>
              <w:t>max</w:t>
            </w:r>
            <w:proofErr w:type="spellEnd"/>
          </w:p>
          <w:p w14:paraId="3AF99FF0"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c>
          <w:tcPr>
            <w:tcW w:w="1054" w:type="dxa"/>
            <w:shd w:val="clear" w:color="auto" w:fill="auto"/>
          </w:tcPr>
          <w:p w14:paraId="157995C1" w14:textId="77777777" w:rsidR="00F805C2" w:rsidRPr="00F805C2" w:rsidRDefault="00F805C2" w:rsidP="008038FF">
            <w:pPr>
              <w:pStyle w:val="C-TableHeader"/>
              <w:jc w:val="center"/>
              <w:rPr>
                <w:color w:val="000000"/>
                <w:sz w:val="20"/>
              </w:rPr>
            </w:pPr>
            <w:r w:rsidRPr="00F805C2">
              <w:rPr>
                <w:color w:val="000000"/>
                <w:sz w:val="20"/>
              </w:rPr>
              <w:t>C</w:t>
            </w:r>
            <w:r w:rsidRPr="00F805C2">
              <w:rPr>
                <w:color w:val="000000"/>
                <w:sz w:val="20"/>
                <w:vertAlign w:val="subscript"/>
              </w:rPr>
              <w:t>last</w:t>
            </w:r>
          </w:p>
          <w:p w14:paraId="7472BF3D" w14:textId="77777777" w:rsidR="00F805C2" w:rsidRPr="00F805C2" w:rsidRDefault="00F805C2" w:rsidP="008038FF">
            <w:pPr>
              <w:pStyle w:val="C-TableText"/>
              <w:jc w:val="center"/>
              <w:rPr>
                <w:b/>
                <w:color w:val="000000"/>
                <w:sz w:val="20"/>
              </w:rPr>
            </w:pPr>
            <w:r w:rsidRPr="00F805C2">
              <w:rPr>
                <w:b/>
                <w:color w:val="000000"/>
                <w:sz w:val="20"/>
              </w:rPr>
              <w:t>(ng/mL)</w:t>
            </w:r>
          </w:p>
        </w:tc>
        <w:tc>
          <w:tcPr>
            <w:tcW w:w="656" w:type="dxa"/>
            <w:shd w:val="clear" w:color="auto" w:fill="auto"/>
          </w:tcPr>
          <w:p w14:paraId="711F74DA" w14:textId="77777777" w:rsidR="00F805C2" w:rsidRPr="00F805C2" w:rsidRDefault="00F805C2" w:rsidP="008038FF">
            <w:pPr>
              <w:pStyle w:val="C-TableHeader"/>
              <w:jc w:val="center"/>
              <w:rPr>
                <w:color w:val="000000"/>
                <w:sz w:val="20"/>
              </w:rPr>
            </w:pPr>
            <w:proofErr w:type="spellStart"/>
            <w:r w:rsidRPr="00F805C2">
              <w:rPr>
                <w:color w:val="000000"/>
                <w:sz w:val="20"/>
              </w:rPr>
              <w:t>T</w:t>
            </w:r>
            <w:r w:rsidRPr="00F805C2">
              <w:rPr>
                <w:color w:val="000000"/>
                <w:sz w:val="20"/>
                <w:vertAlign w:val="subscript"/>
              </w:rPr>
              <w:t>last</w:t>
            </w:r>
            <w:proofErr w:type="spellEnd"/>
          </w:p>
          <w:p w14:paraId="5ED2CC66"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c>
          <w:tcPr>
            <w:tcW w:w="1440" w:type="dxa"/>
            <w:shd w:val="clear" w:color="auto" w:fill="auto"/>
          </w:tcPr>
          <w:p w14:paraId="57F852F9" w14:textId="77777777" w:rsidR="00F805C2" w:rsidRPr="00F805C2" w:rsidRDefault="00F805C2" w:rsidP="008038FF">
            <w:pPr>
              <w:pStyle w:val="C-TableHeader"/>
              <w:jc w:val="center"/>
              <w:rPr>
                <w:color w:val="000000"/>
                <w:sz w:val="20"/>
              </w:rPr>
            </w:pPr>
            <w:r w:rsidRPr="00F805C2">
              <w:rPr>
                <w:color w:val="000000"/>
                <w:sz w:val="20"/>
              </w:rPr>
              <w:t>AUC</w:t>
            </w:r>
            <w:r w:rsidRPr="00F805C2">
              <w:rPr>
                <w:color w:val="000000"/>
                <w:sz w:val="20"/>
                <w:vertAlign w:val="subscript"/>
              </w:rPr>
              <w:t>(0-last)</w:t>
            </w:r>
          </w:p>
          <w:p w14:paraId="6C940634"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440" w:type="dxa"/>
            <w:shd w:val="clear" w:color="auto" w:fill="auto"/>
          </w:tcPr>
          <w:p w14:paraId="05BEDA60" w14:textId="77777777" w:rsidR="00F805C2" w:rsidRPr="00F805C2" w:rsidRDefault="00F805C2" w:rsidP="008038FF">
            <w:pPr>
              <w:pStyle w:val="C-TableHeader"/>
              <w:jc w:val="center"/>
              <w:rPr>
                <w:color w:val="000000"/>
                <w:sz w:val="20"/>
              </w:rPr>
            </w:pPr>
            <w:r w:rsidRPr="00F805C2">
              <w:rPr>
                <w:color w:val="000000"/>
                <w:sz w:val="20"/>
              </w:rPr>
              <w:t>AUC</w:t>
            </w:r>
            <w:r w:rsidRPr="00F805C2">
              <w:rPr>
                <w:color w:val="000000"/>
                <w:sz w:val="20"/>
                <w:vertAlign w:val="subscript"/>
              </w:rPr>
              <w:t>(all)</w:t>
            </w:r>
          </w:p>
          <w:p w14:paraId="05CC547E"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350" w:type="dxa"/>
            <w:shd w:val="clear" w:color="auto" w:fill="auto"/>
          </w:tcPr>
          <w:p w14:paraId="0AD2216C" w14:textId="77777777" w:rsidR="00F805C2" w:rsidRPr="00F805C2" w:rsidRDefault="00F805C2" w:rsidP="008038FF">
            <w:pPr>
              <w:pStyle w:val="C-TableHeader"/>
              <w:jc w:val="center"/>
              <w:rPr>
                <w:color w:val="000000"/>
                <w:sz w:val="20"/>
              </w:rPr>
            </w:pPr>
            <w:r w:rsidRPr="00F805C2">
              <w:rPr>
                <w:color w:val="000000"/>
                <w:sz w:val="20"/>
              </w:rPr>
              <w:t>AUC</w:t>
            </w:r>
            <w:r w:rsidRPr="00F805C2">
              <w:rPr>
                <w:color w:val="000000"/>
                <w:sz w:val="20"/>
                <w:vertAlign w:val="subscript"/>
              </w:rPr>
              <w:t>(0–∞)</w:t>
            </w:r>
          </w:p>
          <w:p w14:paraId="3A58CFD3"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918" w:type="dxa"/>
            <w:shd w:val="clear" w:color="auto" w:fill="auto"/>
          </w:tcPr>
          <w:p w14:paraId="7C29B634" w14:textId="77777777" w:rsidR="00F805C2" w:rsidRPr="00F805C2" w:rsidRDefault="00F805C2" w:rsidP="008038FF">
            <w:pPr>
              <w:pStyle w:val="C-TableHeader"/>
              <w:jc w:val="center"/>
              <w:rPr>
                <w:color w:val="000000"/>
                <w:sz w:val="20"/>
              </w:rPr>
            </w:pPr>
            <w:r w:rsidRPr="00F805C2">
              <w:rPr>
                <w:color w:val="000000"/>
                <w:sz w:val="20"/>
              </w:rPr>
              <w:t>T</w:t>
            </w:r>
            <w:r w:rsidRPr="00F805C2">
              <w:rPr>
                <w:color w:val="000000"/>
                <w:sz w:val="20"/>
                <w:vertAlign w:val="subscript"/>
              </w:rPr>
              <w:t>1/2</w:t>
            </w:r>
          </w:p>
          <w:p w14:paraId="673FDFF3"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r>
      <w:tr w:rsidR="00F805C2" w:rsidRPr="00F805C2" w14:paraId="00BD3FFD" w14:textId="77777777" w:rsidTr="008038FF">
        <w:trPr>
          <w:cantSplit/>
          <w:jc w:val="center"/>
        </w:trPr>
        <w:tc>
          <w:tcPr>
            <w:tcW w:w="982" w:type="dxa"/>
            <w:shd w:val="clear" w:color="auto" w:fill="auto"/>
          </w:tcPr>
          <w:p w14:paraId="6975B1ED" w14:textId="77777777" w:rsidR="00F805C2" w:rsidRPr="00F805C2" w:rsidRDefault="00F805C2" w:rsidP="008038FF">
            <w:pPr>
              <w:pStyle w:val="C-TableText"/>
              <w:jc w:val="center"/>
              <w:rPr>
                <w:color w:val="000000"/>
                <w:sz w:val="20"/>
              </w:rPr>
            </w:pPr>
            <w:r w:rsidRPr="00F805C2">
              <w:rPr>
                <w:color w:val="000000"/>
                <w:sz w:val="20"/>
              </w:rPr>
              <w:t>Male</w:t>
            </w:r>
          </w:p>
          <w:p w14:paraId="6337BA38" w14:textId="77777777" w:rsidR="00F805C2" w:rsidRPr="00F805C2" w:rsidRDefault="00F805C2" w:rsidP="008038FF">
            <w:pPr>
              <w:pStyle w:val="C-TableText"/>
              <w:jc w:val="center"/>
              <w:rPr>
                <w:color w:val="000000"/>
                <w:sz w:val="20"/>
              </w:rPr>
            </w:pPr>
            <w:r w:rsidRPr="00F805C2">
              <w:rPr>
                <w:color w:val="000000"/>
                <w:sz w:val="20"/>
              </w:rPr>
              <w:t>N = 15</w:t>
            </w:r>
          </w:p>
        </w:tc>
        <w:tc>
          <w:tcPr>
            <w:tcW w:w="1080" w:type="dxa"/>
            <w:shd w:val="clear" w:color="auto" w:fill="auto"/>
            <w:vAlign w:val="center"/>
          </w:tcPr>
          <w:p w14:paraId="6BEFF079" w14:textId="77777777" w:rsidR="00F805C2" w:rsidRPr="00F805C2" w:rsidRDefault="00F805C2" w:rsidP="008038FF">
            <w:pPr>
              <w:pStyle w:val="C-TableText"/>
              <w:jc w:val="center"/>
              <w:rPr>
                <w:color w:val="000000"/>
                <w:sz w:val="20"/>
              </w:rPr>
            </w:pPr>
            <w:r w:rsidRPr="00F805C2">
              <w:rPr>
                <w:color w:val="000000"/>
                <w:sz w:val="20"/>
              </w:rPr>
              <w:t>1990</w:t>
            </w:r>
          </w:p>
        </w:tc>
        <w:tc>
          <w:tcPr>
            <w:tcW w:w="656" w:type="dxa"/>
            <w:shd w:val="clear" w:color="auto" w:fill="auto"/>
            <w:vAlign w:val="center"/>
          </w:tcPr>
          <w:p w14:paraId="6EE95501" w14:textId="77777777" w:rsidR="00F805C2" w:rsidRPr="00F805C2" w:rsidRDefault="00F805C2" w:rsidP="008038FF">
            <w:pPr>
              <w:pStyle w:val="C-TableText"/>
              <w:jc w:val="center"/>
              <w:rPr>
                <w:color w:val="000000"/>
                <w:sz w:val="20"/>
              </w:rPr>
            </w:pPr>
            <w:r w:rsidRPr="00F805C2">
              <w:rPr>
                <w:color w:val="000000"/>
                <w:sz w:val="20"/>
              </w:rPr>
              <w:t>0.25</w:t>
            </w:r>
          </w:p>
        </w:tc>
        <w:tc>
          <w:tcPr>
            <w:tcW w:w="1054" w:type="dxa"/>
            <w:shd w:val="clear" w:color="auto" w:fill="auto"/>
            <w:vAlign w:val="center"/>
          </w:tcPr>
          <w:p w14:paraId="086EFBBB" w14:textId="77777777" w:rsidR="00F805C2" w:rsidRPr="00F805C2" w:rsidRDefault="00F805C2" w:rsidP="008038FF">
            <w:pPr>
              <w:pStyle w:val="C-TableText"/>
              <w:jc w:val="center"/>
              <w:rPr>
                <w:color w:val="000000"/>
                <w:sz w:val="20"/>
              </w:rPr>
            </w:pPr>
            <w:r w:rsidRPr="00F805C2">
              <w:rPr>
                <w:color w:val="000000"/>
                <w:sz w:val="20"/>
              </w:rPr>
              <w:t>273</w:t>
            </w:r>
          </w:p>
        </w:tc>
        <w:tc>
          <w:tcPr>
            <w:tcW w:w="656" w:type="dxa"/>
            <w:shd w:val="clear" w:color="auto" w:fill="auto"/>
            <w:vAlign w:val="center"/>
          </w:tcPr>
          <w:p w14:paraId="24BBEBDC" w14:textId="77777777" w:rsidR="00F805C2" w:rsidRPr="00F805C2" w:rsidRDefault="00F805C2" w:rsidP="008038FF">
            <w:pPr>
              <w:pStyle w:val="C-TableText"/>
              <w:jc w:val="center"/>
              <w:rPr>
                <w:color w:val="000000"/>
                <w:sz w:val="20"/>
              </w:rPr>
            </w:pPr>
            <w:r w:rsidRPr="00F805C2">
              <w:rPr>
                <w:color w:val="000000"/>
                <w:sz w:val="20"/>
              </w:rPr>
              <w:t>12</w:t>
            </w:r>
          </w:p>
        </w:tc>
        <w:tc>
          <w:tcPr>
            <w:tcW w:w="1440" w:type="dxa"/>
            <w:shd w:val="clear" w:color="auto" w:fill="auto"/>
            <w:vAlign w:val="center"/>
          </w:tcPr>
          <w:p w14:paraId="58540FDE" w14:textId="77777777" w:rsidR="00F805C2" w:rsidRPr="00F805C2" w:rsidRDefault="00F805C2" w:rsidP="008038FF">
            <w:pPr>
              <w:pStyle w:val="C-TableText"/>
              <w:jc w:val="center"/>
              <w:rPr>
                <w:color w:val="000000"/>
                <w:sz w:val="20"/>
              </w:rPr>
            </w:pPr>
            <w:r w:rsidRPr="00F805C2">
              <w:rPr>
                <w:color w:val="000000"/>
                <w:sz w:val="20"/>
              </w:rPr>
              <w:t>2966.8</w:t>
            </w:r>
          </w:p>
        </w:tc>
        <w:tc>
          <w:tcPr>
            <w:tcW w:w="1440" w:type="dxa"/>
            <w:shd w:val="clear" w:color="auto" w:fill="auto"/>
            <w:vAlign w:val="center"/>
          </w:tcPr>
          <w:p w14:paraId="2BF1934A" w14:textId="77777777" w:rsidR="00F805C2" w:rsidRPr="00F805C2" w:rsidRDefault="00F805C2" w:rsidP="008038FF">
            <w:pPr>
              <w:pStyle w:val="C-TableText"/>
              <w:jc w:val="center"/>
              <w:rPr>
                <w:color w:val="000000"/>
                <w:sz w:val="20"/>
              </w:rPr>
            </w:pPr>
            <w:r w:rsidRPr="00F805C2">
              <w:rPr>
                <w:color w:val="000000"/>
                <w:sz w:val="20"/>
              </w:rPr>
              <w:t>4604.8</w:t>
            </w:r>
          </w:p>
        </w:tc>
        <w:tc>
          <w:tcPr>
            <w:tcW w:w="1350" w:type="dxa"/>
            <w:shd w:val="clear" w:color="auto" w:fill="auto"/>
            <w:vAlign w:val="center"/>
          </w:tcPr>
          <w:p w14:paraId="6DAC36FA" w14:textId="77777777" w:rsidR="00F805C2" w:rsidRPr="00F805C2" w:rsidRDefault="00F805C2" w:rsidP="008038FF">
            <w:pPr>
              <w:pStyle w:val="C-TableText"/>
              <w:jc w:val="center"/>
              <w:rPr>
                <w:color w:val="000000"/>
                <w:sz w:val="20"/>
              </w:rPr>
            </w:pPr>
            <w:r w:rsidRPr="00F805C2">
              <w:rPr>
                <w:color w:val="000000"/>
                <w:sz w:val="20"/>
              </w:rPr>
              <w:t>2967.4</w:t>
            </w:r>
          </w:p>
        </w:tc>
        <w:tc>
          <w:tcPr>
            <w:tcW w:w="918" w:type="dxa"/>
            <w:shd w:val="clear" w:color="auto" w:fill="auto"/>
            <w:vAlign w:val="center"/>
          </w:tcPr>
          <w:p w14:paraId="02C5FE66" w14:textId="77777777" w:rsidR="00F805C2" w:rsidRPr="00F805C2" w:rsidRDefault="00F805C2" w:rsidP="008038FF">
            <w:pPr>
              <w:pStyle w:val="C-TableText"/>
              <w:jc w:val="center"/>
              <w:rPr>
                <w:color w:val="000000"/>
                <w:sz w:val="20"/>
              </w:rPr>
            </w:pPr>
            <w:r w:rsidRPr="00F805C2">
              <w:rPr>
                <w:color w:val="000000"/>
                <w:sz w:val="20"/>
              </w:rPr>
              <w:t>1.06</w:t>
            </w:r>
          </w:p>
        </w:tc>
      </w:tr>
      <w:tr w:rsidR="00F805C2" w:rsidRPr="00F805C2" w14:paraId="4AAA385F" w14:textId="77777777" w:rsidTr="008038FF">
        <w:trPr>
          <w:cantSplit/>
          <w:jc w:val="center"/>
        </w:trPr>
        <w:tc>
          <w:tcPr>
            <w:tcW w:w="9576" w:type="dxa"/>
            <w:gridSpan w:val="9"/>
            <w:tcBorders>
              <w:bottom w:val="single" w:sz="6" w:space="0" w:color="auto"/>
            </w:tcBorders>
            <w:shd w:val="clear" w:color="auto" w:fill="auto"/>
          </w:tcPr>
          <w:p w14:paraId="774C7179" w14:textId="77777777" w:rsidR="00F805C2" w:rsidRPr="00F805C2" w:rsidRDefault="00F805C2" w:rsidP="008038FF">
            <w:pPr>
              <w:pStyle w:val="C-TableText"/>
              <w:rPr>
                <w:sz w:val="20"/>
              </w:rPr>
            </w:pPr>
          </w:p>
        </w:tc>
      </w:tr>
      <w:tr w:rsidR="00F805C2" w:rsidRPr="00F805C2" w14:paraId="5E402449" w14:textId="77777777" w:rsidTr="008038FF">
        <w:trPr>
          <w:cantSplit/>
          <w:jc w:val="center"/>
        </w:trPr>
        <w:tc>
          <w:tcPr>
            <w:tcW w:w="982" w:type="dxa"/>
            <w:shd w:val="clear" w:color="auto" w:fill="auto"/>
          </w:tcPr>
          <w:p w14:paraId="7F416043" w14:textId="77777777" w:rsidR="00F805C2" w:rsidRPr="00F805C2" w:rsidRDefault="00F805C2" w:rsidP="008038FF">
            <w:pPr>
              <w:pStyle w:val="C-TableText"/>
              <w:jc w:val="center"/>
              <w:rPr>
                <w:color w:val="000000"/>
                <w:sz w:val="20"/>
              </w:rPr>
            </w:pPr>
            <w:r w:rsidRPr="00F805C2">
              <w:rPr>
                <w:color w:val="000000"/>
                <w:sz w:val="20"/>
              </w:rPr>
              <w:t>Female</w:t>
            </w:r>
          </w:p>
          <w:p w14:paraId="0A16DCAF" w14:textId="77777777" w:rsidR="00F805C2" w:rsidRPr="00F805C2" w:rsidRDefault="00F805C2" w:rsidP="008038FF">
            <w:pPr>
              <w:pStyle w:val="C-TableText"/>
              <w:jc w:val="center"/>
              <w:rPr>
                <w:color w:val="000000"/>
                <w:sz w:val="20"/>
              </w:rPr>
            </w:pPr>
            <w:r w:rsidRPr="00F805C2">
              <w:rPr>
                <w:color w:val="000000"/>
                <w:sz w:val="20"/>
              </w:rPr>
              <w:t>N = 15</w:t>
            </w:r>
          </w:p>
        </w:tc>
        <w:tc>
          <w:tcPr>
            <w:tcW w:w="1080" w:type="dxa"/>
            <w:shd w:val="clear" w:color="auto" w:fill="auto"/>
            <w:vAlign w:val="center"/>
          </w:tcPr>
          <w:p w14:paraId="2A1CE03F" w14:textId="77777777" w:rsidR="00F805C2" w:rsidRPr="00F805C2" w:rsidRDefault="00F805C2" w:rsidP="008038FF">
            <w:pPr>
              <w:pStyle w:val="C-TableText"/>
              <w:jc w:val="center"/>
              <w:rPr>
                <w:sz w:val="20"/>
              </w:rPr>
            </w:pPr>
            <w:r w:rsidRPr="00F805C2">
              <w:rPr>
                <w:color w:val="000000"/>
                <w:sz w:val="20"/>
              </w:rPr>
              <w:t>2070</w:t>
            </w:r>
          </w:p>
        </w:tc>
        <w:tc>
          <w:tcPr>
            <w:tcW w:w="656" w:type="dxa"/>
            <w:shd w:val="clear" w:color="auto" w:fill="auto"/>
            <w:vAlign w:val="center"/>
          </w:tcPr>
          <w:p w14:paraId="30D38CFB" w14:textId="77777777" w:rsidR="00F805C2" w:rsidRPr="00F805C2" w:rsidRDefault="00F805C2" w:rsidP="008038FF">
            <w:pPr>
              <w:pStyle w:val="C-TableText"/>
              <w:jc w:val="center"/>
              <w:rPr>
                <w:color w:val="000000"/>
                <w:sz w:val="20"/>
              </w:rPr>
            </w:pPr>
            <w:r w:rsidRPr="00F805C2">
              <w:rPr>
                <w:color w:val="000000"/>
                <w:sz w:val="20"/>
              </w:rPr>
              <w:t>0.25</w:t>
            </w:r>
          </w:p>
        </w:tc>
        <w:tc>
          <w:tcPr>
            <w:tcW w:w="1054" w:type="dxa"/>
            <w:shd w:val="clear" w:color="auto" w:fill="auto"/>
            <w:vAlign w:val="center"/>
          </w:tcPr>
          <w:p w14:paraId="3ED44696" w14:textId="77777777" w:rsidR="00F805C2" w:rsidRPr="00F805C2" w:rsidRDefault="00F805C2" w:rsidP="008038FF">
            <w:pPr>
              <w:pStyle w:val="C-TableText"/>
              <w:jc w:val="center"/>
              <w:rPr>
                <w:color w:val="000000"/>
                <w:sz w:val="20"/>
              </w:rPr>
            </w:pPr>
            <w:r w:rsidRPr="00F805C2">
              <w:rPr>
                <w:color w:val="000000"/>
                <w:sz w:val="20"/>
              </w:rPr>
              <w:t>18</w:t>
            </w:r>
          </w:p>
        </w:tc>
        <w:tc>
          <w:tcPr>
            <w:tcW w:w="656" w:type="dxa"/>
            <w:shd w:val="clear" w:color="auto" w:fill="auto"/>
            <w:vAlign w:val="center"/>
          </w:tcPr>
          <w:p w14:paraId="70A4B451" w14:textId="77777777" w:rsidR="00F805C2" w:rsidRPr="00F805C2" w:rsidRDefault="00F805C2" w:rsidP="008038FF">
            <w:pPr>
              <w:pStyle w:val="C-TableText"/>
              <w:jc w:val="center"/>
              <w:rPr>
                <w:color w:val="000000"/>
                <w:sz w:val="20"/>
              </w:rPr>
            </w:pPr>
            <w:r w:rsidRPr="00F805C2">
              <w:rPr>
                <w:color w:val="000000"/>
                <w:sz w:val="20"/>
              </w:rPr>
              <w:t>8</w:t>
            </w:r>
          </w:p>
        </w:tc>
        <w:tc>
          <w:tcPr>
            <w:tcW w:w="1440" w:type="dxa"/>
            <w:shd w:val="clear" w:color="auto" w:fill="auto"/>
            <w:vAlign w:val="center"/>
          </w:tcPr>
          <w:p w14:paraId="79A680BB" w14:textId="77777777" w:rsidR="00F805C2" w:rsidRPr="00F805C2" w:rsidRDefault="00F805C2" w:rsidP="008038FF">
            <w:pPr>
              <w:pStyle w:val="C-TableText"/>
              <w:jc w:val="center"/>
              <w:rPr>
                <w:color w:val="000000"/>
                <w:sz w:val="20"/>
              </w:rPr>
            </w:pPr>
            <w:r w:rsidRPr="00F805C2">
              <w:rPr>
                <w:color w:val="000000"/>
                <w:sz w:val="20"/>
              </w:rPr>
              <w:t>3963.8</w:t>
            </w:r>
          </w:p>
        </w:tc>
        <w:tc>
          <w:tcPr>
            <w:tcW w:w="1440" w:type="dxa"/>
            <w:shd w:val="clear" w:color="auto" w:fill="auto"/>
            <w:vAlign w:val="center"/>
          </w:tcPr>
          <w:p w14:paraId="03A58923" w14:textId="77777777" w:rsidR="00F805C2" w:rsidRPr="00F805C2" w:rsidRDefault="00F805C2" w:rsidP="008038FF">
            <w:pPr>
              <w:pStyle w:val="C-TableText"/>
              <w:jc w:val="center"/>
              <w:rPr>
                <w:color w:val="000000"/>
                <w:sz w:val="20"/>
              </w:rPr>
            </w:pPr>
            <w:r w:rsidRPr="00F805C2">
              <w:rPr>
                <w:color w:val="000000"/>
                <w:sz w:val="20"/>
              </w:rPr>
              <w:t>3999.8</w:t>
            </w:r>
          </w:p>
        </w:tc>
        <w:tc>
          <w:tcPr>
            <w:tcW w:w="1350" w:type="dxa"/>
            <w:shd w:val="clear" w:color="auto" w:fill="auto"/>
            <w:vAlign w:val="center"/>
          </w:tcPr>
          <w:p w14:paraId="008AB94B" w14:textId="77777777" w:rsidR="00F805C2" w:rsidRPr="00F805C2" w:rsidRDefault="00F805C2" w:rsidP="008038FF">
            <w:pPr>
              <w:pStyle w:val="C-TableText"/>
              <w:jc w:val="center"/>
              <w:rPr>
                <w:color w:val="000000"/>
                <w:sz w:val="20"/>
              </w:rPr>
            </w:pPr>
            <w:r w:rsidRPr="00F805C2">
              <w:rPr>
                <w:color w:val="000000"/>
                <w:sz w:val="20"/>
              </w:rPr>
              <w:t>3992.8</w:t>
            </w:r>
          </w:p>
        </w:tc>
        <w:tc>
          <w:tcPr>
            <w:tcW w:w="918" w:type="dxa"/>
            <w:shd w:val="clear" w:color="auto" w:fill="auto"/>
            <w:vAlign w:val="center"/>
          </w:tcPr>
          <w:p w14:paraId="64F320D9" w14:textId="77777777" w:rsidR="00F805C2" w:rsidRPr="00F805C2" w:rsidRDefault="00F805C2" w:rsidP="008038FF">
            <w:pPr>
              <w:pStyle w:val="C-TableText"/>
              <w:jc w:val="center"/>
              <w:rPr>
                <w:color w:val="000000"/>
                <w:sz w:val="20"/>
              </w:rPr>
            </w:pPr>
            <w:r w:rsidRPr="00F805C2">
              <w:rPr>
                <w:color w:val="000000"/>
                <w:sz w:val="20"/>
              </w:rPr>
              <w:t>1.08</w:t>
            </w:r>
          </w:p>
        </w:tc>
      </w:tr>
    </w:tbl>
    <w:p w14:paraId="0272C44B" w14:textId="77777777" w:rsidR="00F805C2" w:rsidRPr="002F651C" w:rsidRDefault="00F805C2" w:rsidP="00F805C2">
      <w:pPr>
        <w:pStyle w:val="C-BodyText"/>
        <w:spacing w:before="0" w:line="240" w:lineRule="auto"/>
        <w:rPr>
          <w:szCs w:val="24"/>
        </w:rPr>
      </w:pPr>
      <w:r w:rsidRPr="002F651C">
        <w:rPr>
          <w:szCs w:val="24"/>
        </w:rPr>
        <w:t>AUC = area under the curve; AUC</w:t>
      </w:r>
      <w:r w:rsidRPr="002F651C">
        <w:rPr>
          <w:szCs w:val="24"/>
          <w:vertAlign w:val="subscript"/>
        </w:rPr>
        <w:t>(0</w:t>
      </w:r>
      <w:r w:rsidRPr="002F651C">
        <w:rPr>
          <w:szCs w:val="24"/>
          <w:vertAlign w:val="subscript"/>
        </w:rPr>
        <w:noBreakHyphen/>
        <w:t>∞)</w:t>
      </w:r>
      <w:r w:rsidRPr="002F651C">
        <w:rPr>
          <w:szCs w:val="24"/>
        </w:rPr>
        <w:t> = AUC from time zero to infinity; AUC</w:t>
      </w:r>
      <w:r w:rsidRPr="002F651C">
        <w:rPr>
          <w:szCs w:val="24"/>
          <w:vertAlign w:val="subscript"/>
        </w:rPr>
        <w:t>(0-last)</w:t>
      </w:r>
      <w:r w:rsidRPr="002F651C">
        <w:rPr>
          <w:szCs w:val="24"/>
        </w:rPr>
        <w:t xml:space="preserve"> = AUC from time zero to time of last quantifiable plasma concentration; AUC</w:t>
      </w:r>
      <w:r w:rsidRPr="002F651C">
        <w:rPr>
          <w:szCs w:val="24"/>
          <w:vertAlign w:val="subscript"/>
        </w:rPr>
        <w:t>(all)</w:t>
      </w:r>
      <w:r w:rsidRPr="002F651C">
        <w:rPr>
          <w:szCs w:val="24"/>
        </w:rPr>
        <w:t xml:space="preserve"> = AUC up to last time point; C</w:t>
      </w:r>
      <w:r w:rsidRPr="002F651C">
        <w:rPr>
          <w:szCs w:val="24"/>
          <w:vertAlign w:val="subscript"/>
        </w:rPr>
        <w:t>last</w:t>
      </w:r>
      <w:r w:rsidRPr="002F651C">
        <w:rPr>
          <w:szCs w:val="24"/>
        </w:rPr>
        <w:t xml:space="preserve"> = last quantifiable concentration; </w:t>
      </w:r>
      <w:proofErr w:type="spellStart"/>
      <w:r w:rsidRPr="002F651C">
        <w:rPr>
          <w:szCs w:val="24"/>
        </w:rPr>
        <w:t>C</w:t>
      </w:r>
      <w:r w:rsidRPr="002F651C">
        <w:rPr>
          <w:szCs w:val="24"/>
          <w:vertAlign w:val="subscript"/>
        </w:rPr>
        <w:t>max</w:t>
      </w:r>
      <w:proofErr w:type="spellEnd"/>
      <w:r w:rsidRPr="002F651C">
        <w:rPr>
          <w:szCs w:val="24"/>
        </w:rPr>
        <w:t> = maximal plasma concentration; T</w:t>
      </w:r>
      <w:r w:rsidRPr="002F651C">
        <w:rPr>
          <w:szCs w:val="24"/>
          <w:vertAlign w:val="subscript"/>
        </w:rPr>
        <w:t>1/2</w:t>
      </w:r>
      <w:r w:rsidRPr="002F651C">
        <w:rPr>
          <w:szCs w:val="24"/>
        </w:rPr>
        <w:t xml:space="preserve"> = terminal plasma half-life; </w:t>
      </w:r>
      <w:proofErr w:type="spellStart"/>
      <w:r w:rsidRPr="002F651C">
        <w:rPr>
          <w:szCs w:val="24"/>
        </w:rPr>
        <w:t>T</w:t>
      </w:r>
      <w:r w:rsidRPr="002F651C">
        <w:rPr>
          <w:szCs w:val="24"/>
          <w:vertAlign w:val="subscript"/>
        </w:rPr>
        <w:t>last</w:t>
      </w:r>
      <w:proofErr w:type="spellEnd"/>
      <w:r w:rsidRPr="002F651C">
        <w:rPr>
          <w:szCs w:val="24"/>
        </w:rPr>
        <w:t xml:space="preserve"> = time of last quantifiable plasma concentration; </w:t>
      </w:r>
      <w:proofErr w:type="spellStart"/>
      <w:r w:rsidRPr="002F651C">
        <w:rPr>
          <w:szCs w:val="24"/>
        </w:rPr>
        <w:t>T</w:t>
      </w:r>
      <w:r w:rsidRPr="002F651C">
        <w:rPr>
          <w:szCs w:val="24"/>
          <w:vertAlign w:val="subscript"/>
        </w:rPr>
        <w:t>max</w:t>
      </w:r>
      <w:proofErr w:type="spellEnd"/>
      <w:r w:rsidRPr="002F651C">
        <w:rPr>
          <w:szCs w:val="24"/>
        </w:rPr>
        <w:t xml:space="preserve"> = time of maximum plasma concentration </w:t>
      </w:r>
      <w:bookmarkStart w:id="20" w:name="_Ref401210152"/>
      <w:bookmarkStart w:id="21" w:name="_Toc401219283"/>
    </w:p>
    <w:p w14:paraId="62F462C2" w14:textId="52644868" w:rsidR="00F805C2" w:rsidRDefault="00F805C2" w:rsidP="00F805C2">
      <w:pPr>
        <w:pStyle w:val="C-BodyText"/>
        <w:spacing w:before="0" w:line="240" w:lineRule="auto"/>
        <w:rPr>
          <w:sz w:val="22"/>
          <w:szCs w:val="22"/>
        </w:rPr>
      </w:pPr>
    </w:p>
    <w:p w14:paraId="6C3A99DE" w14:textId="08C4CFCB" w:rsidR="002F651C" w:rsidRDefault="002F651C" w:rsidP="00F805C2">
      <w:pPr>
        <w:pStyle w:val="C-BodyText"/>
        <w:spacing w:before="0" w:line="240" w:lineRule="auto"/>
        <w:rPr>
          <w:sz w:val="22"/>
          <w:szCs w:val="22"/>
        </w:rPr>
      </w:pPr>
    </w:p>
    <w:p w14:paraId="3337EF3F" w14:textId="5A5796E8" w:rsidR="00F805C2" w:rsidRPr="002F651C" w:rsidRDefault="00F805C2" w:rsidP="00F805C2">
      <w:pPr>
        <w:pStyle w:val="C-BodyText"/>
        <w:spacing w:before="0" w:line="240" w:lineRule="auto"/>
        <w:rPr>
          <w:b/>
          <w:szCs w:val="24"/>
        </w:rPr>
      </w:pPr>
      <w:r w:rsidRPr="002F651C">
        <w:rPr>
          <w:b/>
          <w:bCs/>
          <w:szCs w:val="24"/>
        </w:rPr>
        <w:t>Supplementary</w:t>
      </w:r>
      <w:r w:rsidRPr="002F651C">
        <w:rPr>
          <w:szCs w:val="24"/>
        </w:rPr>
        <w:t xml:space="preserve"> </w:t>
      </w:r>
      <w:r w:rsidRPr="002F651C">
        <w:rPr>
          <w:b/>
          <w:szCs w:val="24"/>
        </w:rPr>
        <w:t>Table </w:t>
      </w:r>
      <w:bookmarkEnd w:id="20"/>
      <w:r w:rsidRPr="002F651C">
        <w:rPr>
          <w:b/>
          <w:szCs w:val="24"/>
        </w:rPr>
        <w:t>4. Mean pharmacokinetic parameters in beagle dogs following single 2000 </w:t>
      </w:r>
      <w:proofErr w:type="spellStart"/>
      <w:r w:rsidRPr="002F651C">
        <w:rPr>
          <w:b/>
          <w:szCs w:val="24"/>
        </w:rPr>
        <w:t>μg</w:t>
      </w:r>
      <w:proofErr w:type="spellEnd"/>
      <w:r w:rsidRPr="002F651C">
        <w:rPr>
          <w:b/>
          <w:szCs w:val="24"/>
        </w:rPr>
        <w:t>/kg dose of BLXA</w:t>
      </w:r>
      <w:r w:rsidRPr="002F651C">
        <w:rPr>
          <w:b/>
          <w:szCs w:val="24"/>
          <w:vertAlign w:val="subscript"/>
        </w:rPr>
        <w:t>4</w:t>
      </w:r>
      <w:r w:rsidRPr="002F651C">
        <w:rPr>
          <w:b/>
          <w:szCs w:val="24"/>
        </w:rPr>
        <w:t>-ME by oral gavage</w:t>
      </w:r>
      <w:bookmarkEnd w:id="21"/>
    </w:p>
    <w:tbl>
      <w:tblPr>
        <w:tblW w:w="95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1054"/>
        <w:gridCol w:w="656"/>
        <w:gridCol w:w="1054"/>
        <w:gridCol w:w="656"/>
        <w:gridCol w:w="1440"/>
        <w:gridCol w:w="1350"/>
        <w:gridCol w:w="1384"/>
        <w:gridCol w:w="1064"/>
      </w:tblGrid>
      <w:tr w:rsidR="00F805C2" w:rsidRPr="00F805C2" w14:paraId="158CAF62" w14:textId="77777777" w:rsidTr="008038FF">
        <w:trPr>
          <w:cantSplit/>
          <w:tblHeader/>
          <w:jc w:val="center"/>
        </w:trPr>
        <w:tc>
          <w:tcPr>
            <w:tcW w:w="9576" w:type="dxa"/>
            <w:gridSpan w:val="9"/>
            <w:tcBorders>
              <w:bottom w:val="single" w:sz="6" w:space="0" w:color="auto"/>
            </w:tcBorders>
            <w:shd w:val="clear" w:color="auto" w:fill="auto"/>
          </w:tcPr>
          <w:p w14:paraId="03E22406" w14:textId="77777777" w:rsidR="00F805C2" w:rsidRPr="00F805C2" w:rsidRDefault="00F805C2" w:rsidP="008038FF">
            <w:pPr>
              <w:pStyle w:val="C-TableHeader"/>
              <w:rPr>
                <w:sz w:val="20"/>
              </w:rPr>
            </w:pPr>
            <w:r w:rsidRPr="00F805C2">
              <w:rPr>
                <w:sz w:val="20"/>
              </w:rPr>
              <w:t>BLXA</w:t>
            </w:r>
            <w:r w:rsidRPr="00F805C2">
              <w:rPr>
                <w:sz w:val="20"/>
                <w:vertAlign w:val="subscript"/>
              </w:rPr>
              <w:t>4</w:t>
            </w:r>
            <w:r w:rsidRPr="00F805C2">
              <w:rPr>
                <w:sz w:val="20"/>
              </w:rPr>
              <w:t>-ME (N=4 per sex)</w:t>
            </w:r>
          </w:p>
        </w:tc>
      </w:tr>
      <w:tr w:rsidR="00F805C2" w:rsidRPr="00F805C2" w14:paraId="484A5526" w14:textId="77777777" w:rsidTr="008038FF">
        <w:trPr>
          <w:cantSplit/>
          <w:tblHeader/>
          <w:jc w:val="center"/>
        </w:trPr>
        <w:tc>
          <w:tcPr>
            <w:tcW w:w="918" w:type="dxa"/>
            <w:shd w:val="clear" w:color="auto" w:fill="auto"/>
          </w:tcPr>
          <w:p w14:paraId="5130F4BA" w14:textId="77777777" w:rsidR="00F805C2" w:rsidRPr="00F805C2" w:rsidRDefault="00F805C2" w:rsidP="008038FF">
            <w:pPr>
              <w:pStyle w:val="C-TableText"/>
              <w:jc w:val="center"/>
              <w:rPr>
                <w:b/>
                <w:color w:val="000000"/>
                <w:sz w:val="20"/>
              </w:rPr>
            </w:pPr>
            <w:r w:rsidRPr="00F805C2">
              <w:rPr>
                <w:b/>
                <w:color w:val="000000"/>
                <w:sz w:val="20"/>
              </w:rPr>
              <w:t>Sex</w:t>
            </w:r>
          </w:p>
          <w:p w14:paraId="5E297144" w14:textId="77777777" w:rsidR="00F805C2" w:rsidRPr="00F805C2" w:rsidRDefault="00F805C2" w:rsidP="008038FF">
            <w:pPr>
              <w:pStyle w:val="C-TableText"/>
              <w:jc w:val="center"/>
              <w:rPr>
                <w:b/>
                <w:color w:val="000000"/>
                <w:sz w:val="20"/>
              </w:rPr>
            </w:pPr>
            <w:r w:rsidRPr="00F805C2">
              <w:rPr>
                <w:b/>
                <w:color w:val="000000"/>
                <w:sz w:val="20"/>
              </w:rPr>
              <w:t> </w:t>
            </w:r>
          </w:p>
        </w:tc>
        <w:tc>
          <w:tcPr>
            <w:tcW w:w="1054" w:type="dxa"/>
            <w:shd w:val="clear" w:color="auto" w:fill="auto"/>
          </w:tcPr>
          <w:p w14:paraId="76EB148B" w14:textId="77777777" w:rsidR="00F805C2" w:rsidRPr="00F805C2" w:rsidRDefault="00F805C2" w:rsidP="008038FF">
            <w:pPr>
              <w:pStyle w:val="C-TableText"/>
              <w:jc w:val="center"/>
              <w:rPr>
                <w:b/>
                <w:color w:val="000000"/>
                <w:sz w:val="20"/>
              </w:rPr>
            </w:pPr>
            <w:proofErr w:type="spellStart"/>
            <w:r w:rsidRPr="00F805C2">
              <w:rPr>
                <w:b/>
                <w:color w:val="000000"/>
                <w:sz w:val="20"/>
              </w:rPr>
              <w:t>C</w:t>
            </w:r>
            <w:r w:rsidRPr="00F805C2">
              <w:rPr>
                <w:b/>
                <w:color w:val="000000"/>
                <w:sz w:val="20"/>
                <w:vertAlign w:val="subscript"/>
              </w:rPr>
              <w:t>max</w:t>
            </w:r>
            <w:proofErr w:type="spellEnd"/>
          </w:p>
          <w:p w14:paraId="33800658" w14:textId="77777777" w:rsidR="00F805C2" w:rsidRPr="00F805C2" w:rsidRDefault="00F805C2" w:rsidP="008038FF">
            <w:pPr>
              <w:pStyle w:val="C-TableText"/>
              <w:jc w:val="center"/>
              <w:rPr>
                <w:b/>
                <w:color w:val="000000"/>
                <w:sz w:val="20"/>
              </w:rPr>
            </w:pPr>
            <w:r w:rsidRPr="00F805C2">
              <w:rPr>
                <w:b/>
                <w:color w:val="000000"/>
                <w:sz w:val="20"/>
              </w:rPr>
              <w:t>(ng/mL)</w:t>
            </w:r>
          </w:p>
        </w:tc>
        <w:tc>
          <w:tcPr>
            <w:tcW w:w="656" w:type="dxa"/>
            <w:shd w:val="clear" w:color="auto" w:fill="auto"/>
          </w:tcPr>
          <w:p w14:paraId="51801C88" w14:textId="77777777" w:rsidR="00F805C2" w:rsidRPr="00F805C2" w:rsidRDefault="00F805C2" w:rsidP="008038FF">
            <w:pPr>
              <w:pStyle w:val="C-TableText"/>
              <w:jc w:val="center"/>
              <w:rPr>
                <w:b/>
                <w:color w:val="000000"/>
                <w:sz w:val="20"/>
              </w:rPr>
            </w:pPr>
            <w:proofErr w:type="spellStart"/>
            <w:r w:rsidRPr="00F805C2">
              <w:rPr>
                <w:b/>
                <w:color w:val="000000"/>
                <w:sz w:val="20"/>
              </w:rPr>
              <w:t>T</w:t>
            </w:r>
            <w:r w:rsidRPr="00F805C2">
              <w:rPr>
                <w:b/>
                <w:color w:val="000000"/>
                <w:sz w:val="20"/>
                <w:vertAlign w:val="subscript"/>
              </w:rPr>
              <w:t>max</w:t>
            </w:r>
            <w:proofErr w:type="spellEnd"/>
          </w:p>
          <w:p w14:paraId="3AD380F2"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c>
          <w:tcPr>
            <w:tcW w:w="1054" w:type="dxa"/>
            <w:shd w:val="clear" w:color="auto" w:fill="auto"/>
          </w:tcPr>
          <w:p w14:paraId="5F06A133" w14:textId="77777777" w:rsidR="00F805C2" w:rsidRPr="00F805C2" w:rsidRDefault="00F805C2" w:rsidP="008038FF">
            <w:pPr>
              <w:pStyle w:val="C-TableText"/>
              <w:jc w:val="center"/>
              <w:rPr>
                <w:b/>
                <w:color w:val="000000"/>
                <w:sz w:val="20"/>
              </w:rPr>
            </w:pPr>
            <w:r w:rsidRPr="00F805C2">
              <w:rPr>
                <w:b/>
                <w:color w:val="000000"/>
                <w:sz w:val="20"/>
              </w:rPr>
              <w:t>C</w:t>
            </w:r>
            <w:r w:rsidRPr="00F805C2">
              <w:rPr>
                <w:b/>
                <w:color w:val="000000"/>
                <w:sz w:val="20"/>
                <w:vertAlign w:val="subscript"/>
              </w:rPr>
              <w:t>last</w:t>
            </w:r>
          </w:p>
          <w:p w14:paraId="1C6300D7" w14:textId="77777777" w:rsidR="00F805C2" w:rsidRPr="00F805C2" w:rsidRDefault="00F805C2" w:rsidP="008038FF">
            <w:pPr>
              <w:pStyle w:val="C-TableText"/>
              <w:jc w:val="center"/>
              <w:rPr>
                <w:b/>
                <w:color w:val="000000"/>
                <w:sz w:val="20"/>
              </w:rPr>
            </w:pPr>
            <w:r w:rsidRPr="00F805C2">
              <w:rPr>
                <w:b/>
                <w:color w:val="000000"/>
                <w:sz w:val="20"/>
              </w:rPr>
              <w:t>(ng/mL)</w:t>
            </w:r>
          </w:p>
        </w:tc>
        <w:tc>
          <w:tcPr>
            <w:tcW w:w="656" w:type="dxa"/>
            <w:shd w:val="clear" w:color="auto" w:fill="auto"/>
          </w:tcPr>
          <w:p w14:paraId="1D23ED62" w14:textId="77777777" w:rsidR="00F805C2" w:rsidRPr="00F805C2" w:rsidRDefault="00F805C2" w:rsidP="008038FF">
            <w:pPr>
              <w:pStyle w:val="C-TableText"/>
              <w:jc w:val="center"/>
              <w:rPr>
                <w:b/>
                <w:color w:val="000000"/>
                <w:sz w:val="20"/>
              </w:rPr>
            </w:pPr>
            <w:proofErr w:type="spellStart"/>
            <w:r w:rsidRPr="00F805C2">
              <w:rPr>
                <w:b/>
                <w:color w:val="000000"/>
                <w:sz w:val="20"/>
              </w:rPr>
              <w:t>T</w:t>
            </w:r>
            <w:r w:rsidRPr="00F805C2">
              <w:rPr>
                <w:b/>
                <w:color w:val="000000"/>
                <w:sz w:val="20"/>
                <w:vertAlign w:val="subscript"/>
              </w:rPr>
              <w:t>last</w:t>
            </w:r>
            <w:proofErr w:type="spellEnd"/>
          </w:p>
          <w:p w14:paraId="065681B3"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c>
          <w:tcPr>
            <w:tcW w:w="1440" w:type="dxa"/>
            <w:shd w:val="clear" w:color="auto" w:fill="auto"/>
          </w:tcPr>
          <w:p w14:paraId="3FBA733D" w14:textId="77777777" w:rsidR="00F805C2" w:rsidRPr="00F805C2" w:rsidRDefault="00F805C2" w:rsidP="008038FF">
            <w:pPr>
              <w:pStyle w:val="C-TableText"/>
              <w:jc w:val="center"/>
              <w:rPr>
                <w:b/>
                <w:color w:val="000000"/>
                <w:sz w:val="20"/>
              </w:rPr>
            </w:pPr>
            <w:r w:rsidRPr="00F805C2">
              <w:rPr>
                <w:b/>
                <w:color w:val="000000"/>
                <w:sz w:val="20"/>
              </w:rPr>
              <w:t>AUC</w:t>
            </w:r>
            <w:r w:rsidRPr="00F805C2">
              <w:rPr>
                <w:b/>
                <w:color w:val="000000"/>
                <w:sz w:val="20"/>
                <w:vertAlign w:val="subscript"/>
              </w:rPr>
              <w:t>(0-last)</w:t>
            </w:r>
          </w:p>
          <w:p w14:paraId="6EE3C260"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350" w:type="dxa"/>
            <w:shd w:val="clear" w:color="auto" w:fill="auto"/>
          </w:tcPr>
          <w:p w14:paraId="32A4C733" w14:textId="77777777" w:rsidR="00F805C2" w:rsidRPr="00F805C2" w:rsidRDefault="00F805C2" w:rsidP="008038FF">
            <w:pPr>
              <w:pStyle w:val="C-TableText"/>
              <w:jc w:val="center"/>
              <w:rPr>
                <w:b/>
                <w:color w:val="000000"/>
                <w:sz w:val="20"/>
              </w:rPr>
            </w:pPr>
            <w:r w:rsidRPr="00F805C2">
              <w:rPr>
                <w:b/>
                <w:color w:val="000000"/>
                <w:sz w:val="20"/>
              </w:rPr>
              <w:t>AUC</w:t>
            </w:r>
            <w:r w:rsidRPr="00F805C2">
              <w:rPr>
                <w:b/>
                <w:color w:val="000000"/>
                <w:sz w:val="20"/>
                <w:vertAlign w:val="subscript"/>
              </w:rPr>
              <w:t>(all)</w:t>
            </w:r>
          </w:p>
          <w:p w14:paraId="767ABFC6"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384" w:type="dxa"/>
            <w:shd w:val="clear" w:color="auto" w:fill="auto"/>
          </w:tcPr>
          <w:p w14:paraId="5E1BFD5F" w14:textId="77777777" w:rsidR="00F805C2" w:rsidRPr="00F805C2" w:rsidRDefault="00F805C2" w:rsidP="008038FF">
            <w:pPr>
              <w:pStyle w:val="C-TableText"/>
              <w:jc w:val="center"/>
              <w:rPr>
                <w:b/>
                <w:color w:val="000000"/>
                <w:sz w:val="20"/>
              </w:rPr>
            </w:pPr>
            <w:r w:rsidRPr="00F805C2">
              <w:rPr>
                <w:b/>
                <w:color w:val="000000"/>
                <w:sz w:val="20"/>
              </w:rPr>
              <w:t>AUC</w:t>
            </w:r>
            <w:r w:rsidRPr="00F805C2">
              <w:rPr>
                <w:b/>
                <w:color w:val="000000"/>
                <w:sz w:val="20"/>
                <w:vertAlign w:val="subscript"/>
              </w:rPr>
              <w:t>(0–∞)</w:t>
            </w:r>
          </w:p>
          <w:p w14:paraId="72D41BD2"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064" w:type="dxa"/>
            <w:shd w:val="clear" w:color="auto" w:fill="auto"/>
          </w:tcPr>
          <w:p w14:paraId="4E3C4039" w14:textId="77777777" w:rsidR="00F805C2" w:rsidRPr="00F805C2" w:rsidRDefault="00F805C2" w:rsidP="008038FF">
            <w:pPr>
              <w:pStyle w:val="C-TableText"/>
              <w:jc w:val="center"/>
              <w:rPr>
                <w:b/>
                <w:color w:val="000000"/>
                <w:sz w:val="20"/>
              </w:rPr>
            </w:pPr>
            <w:r w:rsidRPr="00F805C2">
              <w:rPr>
                <w:b/>
                <w:color w:val="000000"/>
                <w:sz w:val="20"/>
              </w:rPr>
              <w:t>T</w:t>
            </w:r>
            <w:r w:rsidRPr="00F805C2">
              <w:rPr>
                <w:b/>
                <w:color w:val="000000"/>
                <w:sz w:val="20"/>
                <w:vertAlign w:val="subscript"/>
              </w:rPr>
              <w:t>1/2</w:t>
            </w:r>
          </w:p>
          <w:p w14:paraId="7878AB23"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r>
      <w:tr w:rsidR="00F805C2" w:rsidRPr="00F805C2" w14:paraId="3811CC75" w14:textId="77777777" w:rsidTr="008038FF">
        <w:trPr>
          <w:cantSplit/>
          <w:jc w:val="center"/>
        </w:trPr>
        <w:tc>
          <w:tcPr>
            <w:tcW w:w="918" w:type="dxa"/>
            <w:shd w:val="clear" w:color="auto" w:fill="auto"/>
          </w:tcPr>
          <w:p w14:paraId="66B18152" w14:textId="77777777" w:rsidR="00F805C2" w:rsidRPr="00F805C2" w:rsidRDefault="00F805C2" w:rsidP="008038FF">
            <w:pPr>
              <w:pStyle w:val="C-TableText"/>
              <w:jc w:val="center"/>
              <w:rPr>
                <w:color w:val="000000"/>
                <w:sz w:val="20"/>
              </w:rPr>
            </w:pPr>
            <w:r w:rsidRPr="00F805C2">
              <w:rPr>
                <w:color w:val="000000"/>
                <w:sz w:val="20"/>
              </w:rPr>
              <w:t>Male</w:t>
            </w:r>
          </w:p>
        </w:tc>
        <w:tc>
          <w:tcPr>
            <w:tcW w:w="1054" w:type="dxa"/>
            <w:shd w:val="clear" w:color="auto" w:fill="auto"/>
          </w:tcPr>
          <w:p w14:paraId="42BB23EB" w14:textId="77777777" w:rsidR="00F805C2" w:rsidRPr="00F805C2" w:rsidRDefault="00F805C2" w:rsidP="008038FF">
            <w:pPr>
              <w:pStyle w:val="C-TableText"/>
              <w:jc w:val="center"/>
              <w:rPr>
                <w:color w:val="000000"/>
                <w:sz w:val="20"/>
              </w:rPr>
            </w:pPr>
            <w:r w:rsidRPr="00F805C2">
              <w:rPr>
                <w:color w:val="000000"/>
                <w:sz w:val="20"/>
              </w:rPr>
              <w:t>74.5</w:t>
            </w:r>
          </w:p>
        </w:tc>
        <w:tc>
          <w:tcPr>
            <w:tcW w:w="656" w:type="dxa"/>
            <w:shd w:val="clear" w:color="auto" w:fill="auto"/>
          </w:tcPr>
          <w:p w14:paraId="205DD540" w14:textId="77777777" w:rsidR="00F805C2" w:rsidRPr="00F805C2" w:rsidRDefault="00F805C2" w:rsidP="008038FF">
            <w:pPr>
              <w:pStyle w:val="C-TableText"/>
              <w:jc w:val="center"/>
              <w:rPr>
                <w:color w:val="000000"/>
                <w:sz w:val="20"/>
              </w:rPr>
            </w:pPr>
            <w:r w:rsidRPr="00F805C2">
              <w:rPr>
                <w:color w:val="000000"/>
                <w:sz w:val="20"/>
              </w:rPr>
              <w:t>0.31</w:t>
            </w:r>
          </w:p>
        </w:tc>
        <w:tc>
          <w:tcPr>
            <w:tcW w:w="1054" w:type="dxa"/>
            <w:shd w:val="clear" w:color="auto" w:fill="auto"/>
          </w:tcPr>
          <w:p w14:paraId="4ACABAC9" w14:textId="77777777" w:rsidR="00F805C2" w:rsidRPr="00F805C2" w:rsidRDefault="00F805C2" w:rsidP="008038FF">
            <w:pPr>
              <w:pStyle w:val="C-TableText"/>
              <w:jc w:val="center"/>
              <w:rPr>
                <w:color w:val="000000"/>
                <w:sz w:val="20"/>
              </w:rPr>
            </w:pPr>
            <w:r w:rsidRPr="00F805C2">
              <w:rPr>
                <w:color w:val="000000"/>
                <w:sz w:val="20"/>
              </w:rPr>
              <w:t>56.5</w:t>
            </w:r>
          </w:p>
        </w:tc>
        <w:tc>
          <w:tcPr>
            <w:tcW w:w="656" w:type="dxa"/>
            <w:shd w:val="clear" w:color="auto" w:fill="auto"/>
          </w:tcPr>
          <w:p w14:paraId="5E6C963F" w14:textId="77777777" w:rsidR="00F805C2" w:rsidRPr="00F805C2" w:rsidRDefault="00F805C2" w:rsidP="008038FF">
            <w:pPr>
              <w:pStyle w:val="C-TableText"/>
              <w:jc w:val="center"/>
              <w:rPr>
                <w:color w:val="000000"/>
                <w:sz w:val="20"/>
              </w:rPr>
            </w:pPr>
            <w:r w:rsidRPr="00F805C2">
              <w:rPr>
                <w:color w:val="000000"/>
                <w:sz w:val="20"/>
              </w:rPr>
              <w:t>0.50</w:t>
            </w:r>
          </w:p>
        </w:tc>
        <w:tc>
          <w:tcPr>
            <w:tcW w:w="1440" w:type="dxa"/>
            <w:shd w:val="clear" w:color="auto" w:fill="auto"/>
          </w:tcPr>
          <w:p w14:paraId="06CCD7F1" w14:textId="77777777" w:rsidR="00F805C2" w:rsidRPr="00F805C2" w:rsidRDefault="00F805C2" w:rsidP="008038FF">
            <w:pPr>
              <w:pStyle w:val="C-TableText"/>
              <w:jc w:val="center"/>
              <w:rPr>
                <w:color w:val="000000"/>
                <w:sz w:val="20"/>
              </w:rPr>
            </w:pPr>
            <w:r w:rsidRPr="00F805C2">
              <w:rPr>
                <w:color w:val="000000"/>
                <w:sz w:val="20"/>
              </w:rPr>
              <w:t>27.2</w:t>
            </w:r>
          </w:p>
        </w:tc>
        <w:tc>
          <w:tcPr>
            <w:tcW w:w="1350" w:type="dxa"/>
            <w:shd w:val="clear" w:color="auto" w:fill="auto"/>
          </w:tcPr>
          <w:p w14:paraId="7B84DEFC" w14:textId="77777777" w:rsidR="00F805C2" w:rsidRPr="00F805C2" w:rsidRDefault="00F805C2" w:rsidP="008038FF">
            <w:pPr>
              <w:pStyle w:val="C-TableText"/>
              <w:jc w:val="center"/>
              <w:rPr>
                <w:color w:val="000000"/>
                <w:sz w:val="20"/>
              </w:rPr>
            </w:pPr>
            <w:r w:rsidRPr="00F805C2">
              <w:rPr>
                <w:color w:val="000000"/>
                <w:sz w:val="20"/>
              </w:rPr>
              <w:t>35.5</w:t>
            </w:r>
          </w:p>
        </w:tc>
        <w:tc>
          <w:tcPr>
            <w:tcW w:w="1384" w:type="dxa"/>
            <w:shd w:val="clear" w:color="auto" w:fill="auto"/>
          </w:tcPr>
          <w:p w14:paraId="336B70B8" w14:textId="77777777" w:rsidR="00F805C2" w:rsidRPr="00F805C2" w:rsidRDefault="00F805C2" w:rsidP="008038FF">
            <w:pPr>
              <w:pStyle w:val="C-TableText"/>
              <w:jc w:val="center"/>
              <w:rPr>
                <w:color w:val="000000"/>
                <w:sz w:val="20"/>
              </w:rPr>
            </w:pPr>
            <w:r w:rsidRPr="00F805C2">
              <w:rPr>
                <w:color w:val="000000"/>
                <w:sz w:val="20"/>
              </w:rPr>
              <w:t>98.0</w:t>
            </w:r>
            <w:r w:rsidRPr="00F805C2">
              <w:rPr>
                <w:color w:val="000000"/>
                <w:sz w:val="20"/>
                <w:vertAlign w:val="superscript"/>
              </w:rPr>
              <w:t>a</w:t>
            </w:r>
          </w:p>
        </w:tc>
        <w:tc>
          <w:tcPr>
            <w:tcW w:w="1064" w:type="dxa"/>
            <w:shd w:val="clear" w:color="auto" w:fill="auto"/>
          </w:tcPr>
          <w:p w14:paraId="3BD01065" w14:textId="77777777" w:rsidR="00F805C2" w:rsidRPr="00F805C2" w:rsidRDefault="00F805C2" w:rsidP="008038FF">
            <w:pPr>
              <w:pStyle w:val="C-TableText"/>
              <w:jc w:val="center"/>
              <w:rPr>
                <w:color w:val="000000"/>
                <w:sz w:val="20"/>
              </w:rPr>
            </w:pPr>
            <w:r w:rsidRPr="00F805C2">
              <w:rPr>
                <w:color w:val="000000"/>
                <w:sz w:val="20"/>
              </w:rPr>
              <w:t>0.487</w:t>
            </w:r>
            <w:r w:rsidRPr="00F805C2">
              <w:rPr>
                <w:rStyle w:val="C-TableCallout"/>
                <w:sz w:val="20"/>
                <w:szCs w:val="20"/>
              </w:rPr>
              <w:t>a</w:t>
            </w:r>
          </w:p>
        </w:tc>
      </w:tr>
      <w:tr w:rsidR="00F805C2" w:rsidRPr="00F805C2" w14:paraId="42A1ED9D" w14:textId="77777777" w:rsidTr="008038FF">
        <w:trPr>
          <w:cantSplit/>
          <w:jc w:val="center"/>
        </w:trPr>
        <w:tc>
          <w:tcPr>
            <w:tcW w:w="918" w:type="dxa"/>
            <w:shd w:val="clear" w:color="auto" w:fill="auto"/>
          </w:tcPr>
          <w:p w14:paraId="1DDD6F36" w14:textId="77777777" w:rsidR="00F805C2" w:rsidRPr="00F805C2" w:rsidRDefault="00F805C2" w:rsidP="008038FF">
            <w:pPr>
              <w:pStyle w:val="C-TableText"/>
              <w:jc w:val="center"/>
              <w:rPr>
                <w:color w:val="000000"/>
                <w:sz w:val="20"/>
              </w:rPr>
            </w:pPr>
            <w:r w:rsidRPr="00F805C2">
              <w:rPr>
                <w:color w:val="000000"/>
                <w:sz w:val="20"/>
              </w:rPr>
              <w:t>Female</w:t>
            </w:r>
          </w:p>
        </w:tc>
        <w:tc>
          <w:tcPr>
            <w:tcW w:w="1054" w:type="dxa"/>
            <w:shd w:val="clear" w:color="auto" w:fill="auto"/>
          </w:tcPr>
          <w:p w14:paraId="530021C3" w14:textId="77777777" w:rsidR="00F805C2" w:rsidRPr="00F805C2" w:rsidRDefault="00F805C2" w:rsidP="008038FF">
            <w:pPr>
              <w:pStyle w:val="C-TableText"/>
              <w:jc w:val="center"/>
              <w:rPr>
                <w:color w:val="000000"/>
                <w:sz w:val="20"/>
              </w:rPr>
            </w:pPr>
            <w:r w:rsidRPr="00F805C2">
              <w:rPr>
                <w:color w:val="000000"/>
                <w:sz w:val="20"/>
              </w:rPr>
              <w:t>82.6</w:t>
            </w:r>
          </w:p>
        </w:tc>
        <w:tc>
          <w:tcPr>
            <w:tcW w:w="656" w:type="dxa"/>
            <w:shd w:val="clear" w:color="auto" w:fill="auto"/>
          </w:tcPr>
          <w:p w14:paraId="471C2A0E" w14:textId="77777777" w:rsidR="00F805C2" w:rsidRPr="00F805C2" w:rsidRDefault="00F805C2" w:rsidP="008038FF">
            <w:pPr>
              <w:pStyle w:val="C-TableText"/>
              <w:jc w:val="center"/>
              <w:rPr>
                <w:color w:val="000000"/>
                <w:sz w:val="20"/>
              </w:rPr>
            </w:pPr>
            <w:r w:rsidRPr="00F805C2">
              <w:rPr>
                <w:color w:val="000000"/>
                <w:sz w:val="20"/>
              </w:rPr>
              <w:t>0.56</w:t>
            </w:r>
          </w:p>
        </w:tc>
        <w:tc>
          <w:tcPr>
            <w:tcW w:w="1054" w:type="dxa"/>
            <w:shd w:val="clear" w:color="auto" w:fill="auto"/>
          </w:tcPr>
          <w:p w14:paraId="1E862A5D" w14:textId="77777777" w:rsidR="00F805C2" w:rsidRPr="00F805C2" w:rsidRDefault="00F805C2" w:rsidP="008038FF">
            <w:pPr>
              <w:pStyle w:val="C-TableText"/>
              <w:jc w:val="center"/>
              <w:rPr>
                <w:color w:val="000000"/>
                <w:sz w:val="20"/>
              </w:rPr>
            </w:pPr>
            <w:r w:rsidRPr="00F805C2">
              <w:rPr>
                <w:color w:val="000000"/>
                <w:sz w:val="20"/>
              </w:rPr>
              <w:t>45.9</w:t>
            </w:r>
          </w:p>
        </w:tc>
        <w:tc>
          <w:tcPr>
            <w:tcW w:w="656" w:type="dxa"/>
            <w:shd w:val="clear" w:color="auto" w:fill="auto"/>
          </w:tcPr>
          <w:p w14:paraId="1C13EC02" w14:textId="77777777" w:rsidR="00F805C2" w:rsidRPr="00F805C2" w:rsidRDefault="00F805C2" w:rsidP="008038FF">
            <w:pPr>
              <w:pStyle w:val="C-TableText"/>
              <w:jc w:val="center"/>
              <w:rPr>
                <w:color w:val="000000"/>
                <w:sz w:val="20"/>
              </w:rPr>
            </w:pPr>
            <w:r w:rsidRPr="00F805C2">
              <w:rPr>
                <w:color w:val="000000"/>
                <w:sz w:val="20"/>
              </w:rPr>
              <w:t>0.94</w:t>
            </w:r>
          </w:p>
        </w:tc>
        <w:tc>
          <w:tcPr>
            <w:tcW w:w="1440" w:type="dxa"/>
            <w:shd w:val="clear" w:color="auto" w:fill="auto"/>
          </w:tcPr>
          <w:p w14:paraId="4351C15F" w14:textId="77777777" w:rsidR="00F805C2" w:rsidRPr="00F805C2" w:rsidRDefault="00F805C2" w:rsidP="008038FF">
            <w:pPr>
              <w:pStyle w:val="C-TableText"/>
              <w:jc w:val="center"/>
              <w:rPr>
                <w:color w:val="000000"/>
                <w:sz w:val="20"/>
              </w:rPr>
            </w:pPr>
            <w:r w:rsidRPr="00F805C2">
              <w:rPr>
                <w:color w:val="000000"/>
                <w:sz w:val="20"/>
              </w:rPr>
              <w:t>50.6</w:t>
            </w:r>
          </w:p>
        </w:tc>
        <w:tc>
          <w:tcPr>
            <w:tcW w:w="1350" w:type="dxa"/>
            <w:shd w:val="clear" w:color="auto" w:fill="auto"/>
          </w:tcPr>
          <w:p w14:paraId="32743FA4" w14:textId="77777777" w:rsidR="00F805C2" w:rsidRPr="00F805C2" w:rsidRDefault="00F805C2" w:rsidP="008038FF">
            <w:pPr>
              <w:pStyle w:val="C-TableText"/>
              <w:jc w:val="center"/>
              <w:rPr>
                <w:color w:val="000000"/>
                <w:sz w:val="20"/>
              </w:rPr>
            </w:pPr>
            <w:r w:rsidRPr="00F805C2">
              <w:rPr>
                <w:color w:val="000000"/>
                <w:sz w:val="20"/>
              </w:rPr>
              <w:t>59.0</w:t>
            </w:r>
          </w:p>
        </w:tc>
        <w:tc>
          <w:tcPr>
            <w:tcW w:w="1384" w:type="dxa"/>
            <w:shd w:val="clear" w:color="auto" w:fill="auto"/>
          </w:tcPr>
          <w:p w14:paraId="30BA4029" w14:textId="77777777" w:rsidR="00F805C2" w:rsidRPr="00F805C2" w:rsidRDefault="00F805C2" w:rsidP="008038FF">
            <w:pPr>
              <w:pStyle w:val="C-TableText"/>
              <w:jc w:val="center"/>
              <w:rPr>
                <w:color w:val="000000"/>
                <w:sz w:val="20"/>
              </w:rPr>
            </w:pPr>
            <w:r w:rsidRPr="00F805C2">
              <w:rPr>
                <w:color w:val="000000"/>
                <w:sz w:val="20"/>
              </w:rPr>
              <w:t>123.3</w:t>
            </w:r>
            <w:r w:rsidRPr="00F805C2">
              <w:rPr>
                <w:color w:val="000000"/>
                <w:sz w:val="20"/>
                <w:vertAlign w:val="superscript"/>
              </w:rPr>
              <w:t>b</w:t>
            </w:r>
          </w:p>
        </w:tc>
        <w:tc>
          <w:tcPr>
            <w:tcW w:w="1064" w:type="dxa"/>
            <w:shd w:val="clear" w:color="auto" w:fill="auto"/>
          </w:tcPr>
          <w:p w14:paraId="743C269B" w14:textId="77777777" w:rsidR="00F805C2" w:rsidRPr="00F805C2" w:rsidRDefault="00F805C2" w:rsidP="008038FF">
            <w:pPr>
              <w:pStyle w:val="C-TableText"/>
              <w:jc w:val="center"/>
              <w:rPr>
                <w:color w:val="000000"/>
                <w:sz w:val="20"/>
              </w:rPr>
            </w:pPr>
            <w:r w:rsidRPr="00F805C2">
              <w:rPr>
                <w:color w:val="000000"/>
                <w:sz w:val="20"/>
              </w:rPr>
              <w:t>0.600</w:t>
            </w:r>
            <w:r w:rsidRPr="00F805C2">
              <w:rPr>
                <w:rStyle w:val="C-TableCallout"/>
                <w:sz w:val="20"/>
                <w:szCs w:val="20"/>
              </w:rPr>
              <w:t>b</w:t>
            </w:r>
          </w:p>
        </w:tc>
      </w:tr>
      <w:tr w:rsidR="00F805C2" w:rsidRPr="00623818" w14:paraId="0B5473FC" w14:textId="77777777" w:rsidTr="008038FF">
        <w:trPr>
          <w:cantSplit/>
          <w:jc w:val="center"/>
        </w:trPr>
        <w:tc>
          <w:tcPr>
            <w:tcW w:w="9576" w:type="dxa"/>
            <w:gridSpan w:val="9"/>
            <w:shd w:val="clear" w:color="auto" w:fill="auto"/>
          </w:tcPr>
          <w:p w14:paraId="592569B0" w14:textId="77777777" w:rsidR="00F805C2" w:rsidRPr="00623818" w:rsidRDefault="00F805C2" w:rsidP="008038FF">
            <w:pPr>
              <w:pStyle w:val="C-TableText"/>
              <w:rPr>
                <w:sz w:val="20"/>
                <w:lang w:val="it-IT"/>
              </w:rPr>
            </w:pPr>
            <w:r w:rsidRPr="00623818">
              <w:rPr>
                <w:b/>
                <w:sz w:val="20"/>
                <w:lang w:val="it-IT"/>
              </w:rPr>
              <w:t>BLXA</w:t>
            </w:r>
            <w:r w:rsidRPr="00623818">
              <w:rPr>
                <w:b/>
                <w:sz w:val="20"/>
                <w:vertAlign w:val="subscript"/>
                <w:lang w:val="it-IT"/>
              </w:rPr>
              <w:t>4</w:t>
            </w:r>
            <w:r w:rsidRPr="00623818">
              <w:rPr>
                <w:b/>
                <w:sz w:val="20"/>
                <w:lang w:val="it-IT"/>
              </w:rPr>
              <w:t>-FA (N=4 per sex)</w:t>
            </w:r>
          </w:p>
        </w:tc>
      </w:tr>
      <w:tr w:rsidR="00F805C2" w:rsidRPr="00F805C2" w14:paraId="5132CDE4" w14:textId="77777777" w:rsidTr="008038FF">
        <w:trPr>
          <w:cantSplit/>
          <w:jc w:val="center"/>
        </w:trPr>
        <w:tc>
          <w:tcPr>
            <w:tcW w:w="918" w:type="dxa"/>
            <w:shd w:val="clear" w:color="auto" w:fill="auto"/>
          </w:tcPr>
          <w:p w14:paraId="41F2455E" w14:textId="77777777" w:rsidR="00F805C2" w:rsidRPr="00F805C2" w:rsidRDefault="00F805C2" w:rsidP="008038FF">
            <w:pPr>
              <w:pStyle w:val="C-TableText"/>
              <w:jc w:val="center"/>
              <w:rPr>
                <w:b/>
                <w:color w:val="000000"/>
                <w:sz w:val="20"/>
              </w:rPr>
            </w:pPr>
            <w:r w:rsidRPr="00F805C2">
              <w:rPr>
                <w:b/>
                <w:color w:val="000000"/>
                <w:sz w:val="20"/>
              </w:rPr>
              <w:t>Sex</w:t>
            </w:r>
          </w:p>
          <w:p w14:paraId="065BF12E" w14:textId="77777777" w:rsidR="00F805C2" w:rsidRPr="00F805C2" w:rsidRDefault="00F805C2" w:rsidP="008038FF">
            <w:pPr>
              <w:pStyle w:val="C-TableText"/>
              <w:jc w:val="center"/>
              <w:rPr>
                <w:b/>
                <w:color w:val="000000"/>
                <w:sz w:val="20"/>
              </w:rPr>
            </w:pPr>
            <w:r w:rsidRPr="00F805C2">
              <w:rPr>
                <w:b/>
                <w:color w:val="000000"/>
                <w:sz w:val="20"/>
              </w:rPr>
              <w:t> </w:t>
            </w:r>
          </w:p>
        </w:tc>
        <w:tc>
          <w:tcPr>
            <w:tcW w:w="1054" w:type="dxa"/>
            <w:shd w:val="clear" w:color="auto" w:fill="auto"/>
          </w:tcPr>
          <w:p w14:paraId="104036DF" w14:textId="77777777" w:rsidR="00F805C2" w:rsidRPr="00F805C2" w:rsidRDefault="00F805C2" w:rsidP="008038FF">
            <w:pPr>
              <w:pStyle w:val="C-TableText"/>
              <w:jc w:val="center"/>
              <w:rPr>
                <w:b/>
                <w:color w:val="000000"/>
                <w:sz w:val="20"/>
              </w:rPr>
            </w:pPr>
            <w:proofErr w:type="spellStart"/>
            <w:r w:rsidRPr="00F805C2">
              <w:rPr>
                <w:b/>
                <w:color w:val="000000"/>
                <w:sz w:val="20"/>
              </w:rPr>
              <w:t>C</w:t>
            </w:r>
            <w:r w:rsidRPr="00F805C2">
              <w:rPr>
                <w:b/>
                <w:color w:val="000000"/>
                <w:sz w:val="20"/>
                <w:vertAlign w:val="subscript"/>
              </w:rPr>
              <w:t>max</w:t>
            </w:r>
            <w:proofErr w:type="spellEnd"/>
          </w:p>
          <w:p w14:paraId="0A85D598" w14:textId="77777777" w:rsidR="00F805C2" w:rsidRPr="00F805C2" w:rsidRDefault="00F805C2" w:rsidP="008038FF">
            <w:pPr>
              <w:pStyle w:val="C-TableText"/>
              <w:jc w:val="center"/>
              <w:rPr>
                <w:b/>
                <w:color w:val="000000"/>
                <w:sz w:val="20"/>
              </w:rPr>
            </w:pPr>
            <w:r w:rsidRPr="00F805C2">
              <w:rPr>
                <w:b/>
                <w:color w:val="000000"/>
                <w:sz w:val="20"/>
              </w:rPr>
              <w:t>(ng/mL)</w:t>
            </w:r>
          </w:p>
        </w:tc>
        <w:tc>
          <w:tcPr>
            <w:tcW w:w="656" w:type="dxa"/>
            <w:shd w:val="clear" w:color="auto" w:fill="auto"/>
          </w:tcPr>
          <w:p w14:paraId="4B5FCDC2" w14:textId="77777777" w:rsidR="00F805C2" w:rsidRPr="00F805C2" w:rsidRDefault="00F805C2" w:rsidP="008038FF">
            <w:pPr>
              <w:pStyle w:val="C-TableText"/>
              <w:jc w:val="center"/>
              <w:rPr>
                <w:b/>
                <w:color w:val="000000"/>
                <w:sz w:val="20"/>
              </w:rPr>
            </w:pPr>
            <w:proofErr w:type="spellStart"/>
            <w:r w:rsidRPr="00F805C2">
              <w:rPr>
                <w:b/>
                <w:color w:val="000000"/>
                <w:sz w:val="20"/>
              </w:rPr>
              <w:t>T</w:t>
            </w:r>
            <w:r w:rsidRPr="00F805C2">
              <w:rPr>
                <w:b/>
                <w:color w:val="000000"/>
                <w:sz w:val="20"/>
                <w:vertAlign w:val="subscript"/>
              </w:rPr>
              <w:t>max</w:t>
            </w:r>
            <w:proofErr w:type="spellEnd"/>
          </w:p>
          <w:p w14:paraId="35656564"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c>
          <w:tcPr>
            <w:tcW w:w="1054" w:type="dxa"/>
            <w:shd w:val="clear" w:color="auto" w:fill="auto"/>
          </w:tcPr>
          <w:p w14:paraId="0DEF85F9" w14:textId="77777777" w:rsidR="00F805C2" w:rsidRPr="00F805C2" w:rsidRDefault="00F805C2" w:rsidP="008038FF">
            <w:pPr>
              <w:pStyle w:val="C-TableText"/>
              <w:jc w:val="center"/>
              <w:rPr>
                <w:b/>
                <w:color w:val="000000"/>
                <w:sz w:val="20"/>
              </w:rPr>
            </w:pPr>
            <w:r w:rsidRPr="00F805C2">
              <w:rPr>
                <w:b/>
                <w:color w:val="000000"/>
                <w:sz w:val="20"/>
              </w:rPr>
              <w:t>C</w:t>
            </w:r>
            <w:r w:rsidRPr="00F805C2">
              <w:rPr>
                <w:b/>
                <w:color w:val="000000"/>
                <w:sz w:val="20"/>
                <w:vertAlign w:val="subscript"/>
              </w:rPr>
              <w:t>last</w:t>
            </w:r>
          </w:p>
          <w:p w14:paraId="38F3505D" w14:textId="77777777" w:rsidR="00F805C2" w:rsidRPr="00F805C2" w:rsidRDefault="00F805C2" w:rsidP="008038FF">
            <w:pPr>
              <w:pStyle w:val="C-TableText"/>
              <w:jc w:val="center"/>
              <w:rPr>
                <w:b/>
                <w:color w:val="000000"/>
                <w:sz w:val="20"/>
              </w:rPr>
            </w:pPr>
            <w:r w:rsidRPr="00F805C2">
              <w:rPr>
                <w:b/>
                <w:color w:val="000000"/>
                <w:sz w:val="20"/>
              </w:rPr>
              <w:t>(ng/mL)</w:t>
            </w:r>
          </w:p>
        </w:tc>
        <w:tc>
          <w:tcPr>
            <w:tcW w:w="656" w:type="dxa"/>
            <w:shd w:val="clear" w:color="auto" w:fill="auto"/>
          </w:tcPr>
          <w:p w14:paraId="695ECE62" w14:textId="77777777" w:rsidR="00F805C2" w:rsidRPr="00F805C2" w:rsidRDefault="00F805C2" w:rsidP="008038FF">
            <w:pPr>
              <w:pStyle w:val="C-TableText"/>
              <w:jc w:val="center"/>
              <w:rPr>
                <w:b/>
                <w:color w:val="000000"/>
                <w:sz w:val="20"/>
              </w:rPr>
            </w:pPr>
            <w:proofErr w:type="spellStart"/>
            <w:r w:rsidRPr="00F805C2">
              <w:rPr>
                <w:b/>
                <w:color w:val="000000"/>
                <w:sz w:val="20"/>
              </w:rPr>
              <w:t>T</w:t>
            </w:r>
            <w:r w:rsidRPr="00F805C2">
              <w:rPr>
                <w:b/>
                <w:color w:val="000000"/>
                <w:sz w:val="20"/>
                <w:vertAlign w:val="subscript"/>
              </w:rPr>
              <w:t>last</w:t>
            </w:r>
            <w:proofErr w:type="spellEnd"/>
          </w:p>
          <w:p w14:paraId="75207431"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c>
          <w:tcPr>
            <w:tcW w:w="1440" w:type="dxa"/>
            <w:shd w:val="clear" w:color="auto" w:fill="auto"/>
          </w:tcPr>
          <w:p w14:paraId="79167FE5" w14:textId="77777777" w:rsidR="00F805C2" w:rsidRPr="00F805C2" w:rsidRDefault="00F805C2" w:rsidP="008038FF">
            <w:pPr>
              <w:pStyle w:val="C-TableText"/>
              <w:jc w:val="center"/>
              <w:rPr>
                <w:b/>
                <w:color w:val="000000"/>
                <w:sz w:val="20"/>
              </w:rPr>
            </w:pPr>
            <w:r w:rsidRPr="00F805C2">
              <w:rPr>
                <w:b/>
                <w:color w:val="000000"/>
                <w:sz w:val="20"/>
              </w:rPr>
              <w:t>AUC</w:t>
            </w:r>
            <w:r w:rsidRPr="00F805C2">
              <w:rPr>
                <w:b/>
                <w:color w:val="000000"/>
                <w:sz w:val="20"/>
                <w:vertAlign w:val="subscript"/>
              </w:rPr>
              <w:t>(0-last)</w:t>
            </w:r>
          </w:p>
          <w:p w14:paraId="6F357D62"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350" w:type="dxa"/>
            <w:shd w:val="clear" w:color="auto" w:fill="auto"/>
          </w:tcPr>
          <w:p w14:paraId="721808EB" w14:textId="77777777" w:rsidR="00F805C2" w:rsidRPr="00F805C2" w:rsidRDefault="00F805C2" w:rsidP="008038FF">
            <w:pPr>
              <w:pStyle w:val="C-TableText"/>
              <w:jc w:val="center"/>
              <w:rPr>
                <w:b/>
                <w:color w:val="000000"/>
                <w:sz w:val="20"/>
              </w:rPr>
            </w:pPr>
            <w:r w:rsidRPr="00F805C2">
              <w:rPr>
                <w:b/>
                <w:color w:val="000000"/>
                <w:sz w:val="20"/>
              </w:rPr>
              <w:t>AUC</w:t>
            </w:r>
            <w:r w:rsidRPr="00F805C2">
              <w:rPr>
                <w:b/>
                <w:color w:val="000000"/>
                <w:sz w:val="20"/>
                <w:vertAlign w:val="subscript"/>
              </w:rPr>
              <w:t>(all)</w:t>
            </w:r>
          </w:p>
          <w:p w14:paraId="1F1B0401"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384" w:type="dxa"/>
            <w:shd w:val="clear" w:color="auto" w:fill="auto"/>
          </w:tcPr>
          <w:p w14:paraId="6A754BBD" w14:textId="77777777" w:rsidR="00F805C2" w:rsidRPr="00F805C2" w:rsidRDefault="00F805C2" w:rsidP="008038FF">
            <w:pPr>
              <w:pStyle w:val="C-TableText"/>
              <w:jc w:val="center"/>
              <w:rPr>
                <w:b/>
                <w:color w:val="000000"/>
                <w:sz w:val="20"/>
              </w:rPr>
            </w:pPr>
            <w:r w:rsidRPr="00F805C2">
              <w:rPr>
                <w:b/>
                <w:color w:val="000000"/>
                <w:sz w:val="20"/>
              </w:rPr>
              <w:t>AUC</w:t>
            </w:r>
            <w:r w:rsidRPr="00F805C2">
              <w:rPr>
                <w:b/>
                <w:color w:val="000000"/>
                <w:sz w:val="20"/>
                <w:vertAlign w:val="subscript"/>
              </w:rPr>
              <w:t>(0–∞)</w:t>
            </w:r>
          </w:p>
          <w:p w14:paraId="30E78666" w14:textId="77777777" w:rsidR="00F805C2" w:rsidRPr="00F805C2" w:rsidRDefault="00F805C2" w:rsidP="008038FF">
            <w:pPr>
              <w:pStyle w:val="C-TableText"/>
              <w:jc w:val="center"/>
              <w:rPr>
                <w:b/>
                <w:color w:val="000000"/>
                <w:sz w:val="20"/>
              </w:rPr>
            </w:pPr>
            <w:r w:rsidRPr="00F805C2">
              <w:rPr>
                <w:b/>
                <w:color w:val="000000"/>
                <w:sz w:val="20"/>
              </w:rPr>
              <w:t>(ng*</w:t>
            </w:r>
            <w:proofErr w:type="spellStart"/>
            <w:r w:rsidRPr="00F805C2">
              <w:rPr>
                <w:b/>
                <w:color w:val="000000"/>
                <w:sz w:val="20"/>
              </w:rPr>
              <w:t>hr</w:t>
            </w:r>
            <w:proofErr w:type="spellEnd"/>
            <w:r w:rsidRPr="00F805C2">
              <w:rPr>
                <w:b/>
                <w:color w:val="000000"/>
                <w:sz w:val="20"/>
              </w:rPr>
              <w:t>/mL)</w:t>
            </w:r>
          </w:p>
        </w:tc>
        <w:tc>
          <w:tcPr>
            <w:tcW w:w="1064" w:type="dxa"/>
            <w:shd w:val="clear" w:color="auto" w:fill="auto"/>
          </w:tcPr>
          <w:p w14:paraId="3D1BD0BF" w14:textId="77777777" w:rsidR="00F805C2" w:rsidRPr="00F805C2" w:rsidRDefault="00F805C2" w:rsidP="008038FF">
            <w:pPr>
              <w:pStyle w:val="C-TableText"/>
              <w:jc w:val="center"/>
              <w:rPr>
                <w:b/>
                <w:color w:val="000000"/>
                <w:sz w:val="20"/>
              </w:rPr>
            </w:pPr>
            <w:r w:rsidRPr="00F805C2">
              <w:rPr>
                <w:b/>
                <w:color w:val="000000"/>
                <w:sz w:val="20"/>
              </w:rPr>
              <w:t>T</w:t>
            </w:r>
            <w:r w:rsidRPr="00F805C2">
              <w:rPr>
                <w:b/>
                <w:color w:val="000000"/>
                <w:sz w:val="20"/>
                <w:vertAlign w:val="subscript"/>
              </w:rPr>
              <w:t>1/2</w:t>
            </w:r>
          </w:p>
          <w:p w14:paraId="6F23F31F" w14:textId="77777777" w:rsidR="00F805C2" w:rsidRPr="00F805C2" w:rsidRDefault="00F805C2" w:rsidP="008038FF">
            <w:pPr>
              <w:pStyle w:val="C-TableText"/>
              <w:jc w:val="center"/>
              <w:rPr>
                <w:b/>
                <w:color w:val="000000"/>
                <w:sz w:val="20"/>
              </w:rPr>
            </w:pPr>
            <w:r w:rsidRPr="00F805C2">
              <w:rPr>
                <w:b/>
                <w:color w:val="000000"/>
                <w:sz w:val="20"/>
              </w:rPr>
              <w:t>(</w:t>
            </w:r>
            <w:proofErr w:type="spellStart"/>
            <w:r w:rsidRPr="00F805C2">
              <w:rPr>
                <w:b/>
                <w:color w:val="000000"/>
                <w:sz w:val="20"/>
              </w:rPr>
              <w:t>hr</w:t>
            </w:r>
            <w:proofErr w:type="spellEnd"/>
            <w:r w:rsidRPr="00F805C2">
              <w:rPr>
                <w:b/>
                <w:color w:val="000000"/>
                <w:sz w:val="20"/>
              </w:rPr>
              <w:t>)</w:t>
            </w:r>
          </w:p>
        </w:tc>
      </w:tr>
      <w:tr w:rsidR="00F805C2" w:rsidRPr="00F805C2" w14:paraId="611A2B0C" w14:textId="77777777" w:rsidTr="008038FF">
        <w:trPr>
          <w:cantSplit/>
          <w:jc w:val="center"/>
        </w:trPr>
        <w:tc>
          <w:tcPr>
            <w:tcW w:w="918" w:type="dxa"/>
            <w:tcBorders>
              <w:bottom w:val="single" w:sz="6" w:space="0" w:color="auto"/>
            </w:tcBorders>
            <w:shd w:val="clear" w:color="auto" w:fill="auto"/>
          </w:tcPr>
          <w:p w14:paraId="251197BF" w14:textId="77777777" w:rsidR="00F805C2" w:rsidRPr="00F805C2" w:rsidRDefault="00F805C2" w:rsidP="008038FF">
            <w:pPr>
              <w:pStyle w:val="C-TableText"/>
              <w:jc w:val="center"/>
              <w:rPr>
                <w:color w:val="000000"/>
                <w:sz w:val="20"/>
              </w:rPr>
            </w:pPr>
            <w:r w:rsidRPr="00F805C2">
              <w:rPr>
                <w:color w:val="000000"/>
                <w:sz w:val="20"/>
              </w:rPr>
              <w:t>Male</w:t>
            </w:r>
          </w:p>
        </w:tc>
        <w:tc>
          <w:tcPr>
            <w:tcW w:w="1054" w:type="dxa"/>
            <w:tcBorders>
              <w:bottom w:val="single" w:sz="6" w:space="0" w:color="auto"/>
            </w:tcBorders>
            <w:shd w:val="clear" w:color="auto" w:fill="auto"/>
          </w:tcPr>
          <w:p w14:paraId="2EF72DCA" w14:textId="77777777" w:rsidR="00F805C2" w:rsidRPr="00F805C2" w:rsidRDefault="00F805C2" w:rsidP="008038FF">
            <w:pPr>
              <w:pStyle w:val="C-TableText"/>
              <w:jc w:val="center"/>
              <w:rPr>
                <w:color w:val="000000"/>
                <w:sz w:val="20"/>
              </w:rPr>
            </w:pPr>
            <w:r w:rsidRPr="00F805C2">
              <w:rPr>
                <w:color w:val="000000"/>
                <w:sz w:val="20"/>
              </w:rPr>
              <w:t>532</w:t>
            </w:r>
          </w:p>
        </w:tc>
        <w:tc>
          <w:tcPr>
            <w:tcW w:w="656" w:type="dxa"/>
            <w:tcBorders>
              <w:bottom w:val="single" w:sz="6" w:space="0" w:color="auto"/>
            </w:tcBorders>
            <w:shd w:val="clear" w:color="auto" w:fill="auto"/>
          </w:tcPr>
          <w:p w14:paraId="5BA46916" w14:textId="77777777" w:rsidR="00F805C2" w:rsidRPr="00F805C2" w:rsidRDefault="00F805C2" w:rsidP="008038FF">
            <w:pPr>
              <w:pStyle w:val="C-TableText"/>
              <w:jc w:val="center"/>
              <w:rPr>
                <w:color w:val="000000"/>
                <w:sz w:val="20"/>
              </w:rPr>
            </w:pPr>
            <w:r w:rsidRPr="00F805C2">
              <w:rPr>
                <w:color w:val="000000"/>
                <w:sz w:val="20"/>
              </w:rPr>
              <w:t>0.25</w:t>
            </w:r>
          </w:p>
        </w:tc>
        <w:tc>
          <w:tcPr>
            <w:tcW w:w="1054" w:type="dxa"/>
            <w:tcBorders>
              <w:bottom w:val="single" w:sz="6" w:space="0" w:color="auto"/>
            </w:tcBorders>
            <w:shd w:val="clear" w:color="auto" w:fill="auto"/>
          </w:tcPr>
          <w:p w14:paraId="4D604E81" w14:textId="77777777" w:rsidR="00F805C2" w:rsidRPr="00F805C2" w:rsidRDefault="00F805C2" w:rsidP="008038FF">
            <w:pPr>
              <w:pStyle w:val="C-TableText"/>
              <w:jc w:val="center"/>
              <w:rPr>
                <w:color w:val="000000"/>
                <w:sz w:val="20"/>
              </w:rPr>
            </w:pPr>
            <w:r w:rsidRPr="00F805C2">
              <w:rPr>
                <w:color w:val="000000"/>
                <w:sz w:val="20"/>
              </w:rPr>
              <w:t>13.0</w:t>
            </w:r>
          </w:p>
        </w:tc>
        <w:tc>
          <w:tcPr>
            <w:tcW w:w="656" w:type="dxa"/>
            <w:tcBorders>
              <w:bottom w:val="single" w:sz="6" w:space="0" w:color="auto"/>
            </w:tcBorders>
            <w:shd w:val="clear" w:color="auto" w:fill="auto"/>
          </w:tcPr>
          <w:p w14:paraId="02B078B8" w14:textId="77777777" w:rsidR="00F805C2" w:rsidRPr="00F805C2" w:rsidRDefault="00F805C2" w:rsidP="008038FF">
            <w:pPr>
              <w:pStyle w:val="C-TableText"/>
              <w:jc w:val="center"/>
              <w:rPr>
                <w:color w:val="000000"/>
                <w:sz w:val="20"/>
              </w:rPr>
            </w:pPr>
            <w:r w:rsidRPr="00F805C2">
              <w:rPr>
                <w:color w:val="000000"/>
                <w:sz w:val="20"/>
              </w:rPr>
              <w:t>4.5</w:t>
            </w:r>
          </w:p>
        </w:tc>
        <w:tc>
          <w:tcPr>
            <w:tcW w:w="1440" w:type="dxa"/>
            <w:tcBorders>
              <w:bottom w:val="single" w:sz="6" w:space="0" w:color="auto"/>
            </w:tcBorders>
            <w:shd w:val="clear" w:color="auto" w:fill="auto"/>
          </w:tcPr>
          <w:p w14:paraId="4713D3C1" w14:textId="77777777" w:rsidR="00F805C2" w:rsidRPr="00F805C2" w:rsidRDefault="00F805C2" w:rsidP="008038FF">
            <w:pPr>
              <w:pStyle w:val="C-TableText"/>
              <w:jc w:val="center"/>
              <w:rPr>
                <w:color w:val="000000"/>
                <w:sz w:val="20"/>
              </w:rPr>
            </w:pPr>
            <w:r w:rsidRPr="00F805C2">
              <w:rPr>
                <w:color w:val="000000"/>
                <w:sz w:val="20"/>
              </w:rPr>
              <w:t>433.1</w:t>
            </w:r>
          </w:p>
        </w:tc>
        <w:tc>
          <w:tcPr>
            <w:tcW w:w="1350" w:type="dxa"/>
            <w:tcBorders>
              <w:bottom w:val="single" w:sz="6" w:space="0" w:color="auto"/>
            </w:tcBorders>
            <w:shd w:val="clear" w:color="auto" w:fill="auto"/>
          </w:tcPr>
          <w:p w14:paraId="5EAF73B2" w14:textId="77777777" w:rsidR="00F805C2" w:rsidRPr="00F805C2" w:rsidRDefault="00F805C2" w:rsidP="008038FF">
            <w:pPr>
              <w:pStyle w:val="C-TableText"/>
              <w:jc w:val="center"/>
              <w:rPr>
                <w:color w:val="000000"/>
                <w:sz w:val="20"/>
              </w:rPr>
            </w:pPr>
            <w:r w:rsidRPr="00F805C2">
              <w:rPr>
                <w:color w:val="000000"/>
                <w:sz w:val="20"/>
              </w:rPr>
              <w:t>442.9</w:t>
            </w:r>
          </w:p>
        </w:tc>
        <w:tc>
          <w:tcPr>
            <w:tcW w:w="1384" w:type="dxa"/>
            <w:tcBorders>
              <w:bottom w:val="single" w:sz="6" w:space="0" w:color="auto"/>
            </w:tcBorders>
            <w:shd w:val="clear" w:color="auto" w:fill="auto"/>
          </w:tcPr>
          <w:p w14:paraId="0BF669AE" w14:textId="77777777" w:rsidR="00F805C2" w:rsidRPr="00F805C2" w:rsidRDefault="00F805C2" w:rsidP="008038FF">
            <w:pPr>
              <w:pStyle w:val="C-TableText"/>
              <w:jc w:val="center"/>
              <w:rPr>
                <w:color w:val="000000"/>
                <w:sz w:val="20"/>
              </w:rPr>
            </w:pPr>
            <w:r w:rsidRPr="00F805C2">
              <w:rPr>
                <w:color w:val="000000"/>
                <w:sz w:val="20"/>
              </w:rPr>
              <w:t>458.4</w:t>
            </w:r>
          </w:p>
        </w:tc>
        <w:tc>
          <w:tcPr>
            <w:tcW w:w="1064" w:type="dxa"/>
            <w:tcBorders>
              <w:bottom w:val="single" w:sz="6" w:space="0" w:color="auto"/>
            </w:tcBorders>
            <w:shd w:val="clear" w:color="auto" w:fill="auto"/>
          </w:tcPr>
          <w:p w14:paraId="0740EEEA" w14:textId="77777777" w:rsidR="00F805C2" w:rsidRPr="00F805C2" w:rsidRDefault="00F805C2" w:rsidP="008038FF">
            <w:pPr>
              <w:pStyle w:val="C-TableText"/>
              <w:jc w:val="center"/>
              <w:rPr>
                <w:color w:val="000000"/>
                <w:sz w:val="20"/>
              </w:rPr>
            </w:pPr>
            <w:r w:rsidRPr="00F805C2">
              <w:rPr>
                <w:color w:val="000000"/>
                <w:sz w:val="20"/>
              </w:rPr>
              <w:t>1.52</w:t>
            </w:r>
          </w:p>
        </w:tc>
      </w:tr>
      <w:tr w:rsidR="00F805C2" w:rsidRPr="00F805C2" w14:paraId="6B83ACA2" w14:textId="77777777" w:rsidTr="008038FF">
        <w:trPr>
          <w:cantSplit/>
          <w:jc w:val="center"/>
        </w:trPr>
        <w:tc>
          <w:tcPr>
            <w:tcW w:w="918" w:type="dxa"/>
            <w:shd w:val="clear" w:color="auto" w:fill="auto"/>
          </w:tcPr>
          <w:p w14:paraId="43F2535C" w14:textId="77777777" w:rsidR="00F805C2" w:rsidRPr="00F805C2" w:rsidRDefault="00F805C2" w:rsidP="008038FF">
            <w:pPr>
              <w:pStyle w:val="C-TableText"/>
              <w:jc w:val="center"/>
              <w:rPr>
                <w:color w:val="000000"/>
                <w:sz w:val="20"/>
              </w:rPr>
            </w:pPr>
            <w:r w:rsidRPr="00F805C2">
              <w:rPr>
                <w:color w:val="000000"/>
                <w:sz w:val="20"/>
              </w:rPr>
              <w:t>Female</w:t>
            </w:r>
          </w:p>
        </w:tc>
        <w:tc>
          <w:tcPr>
            <w:tcW w:w="1054" w:type="dxa"/>
            <w:shd w:val="clear" w:color="auto" w:fill="auto"/>
          </w:tcPr>
          <w:p w14:paraId="4274CEC2" w14:textId="77777777" w:rsidR="00F805C2" w:rsidRPr="00F805C2" w:rsidRDefault="00F805C2" w:rsidP="008038FF">
            <w:pPr>
              <w:pStyle w:val="C-TableText"/>
              <w:jc w:val="center"/>
              <w:rPr>
                <w:color w:val="000000"/>
                <w:sz w:val="20"/>
              </w:rPr>
            </w:pPr>
            <w:r w:rsidRPr="00F805C2">
              <w:rPr>
                <w:color w:val="000000"/>
                <w:sz w:val="20"/>
              </w:rPr>
              <w:t>803</w:t>
            </w:r>
          </w:p>
        </w:tc>
        <w:tc>
          <w:tcPr>
            <w:tcW w:w="656" w:type="dxa"/>
            <w:shd w:val="clear" w:color="auto" w:fill="auto"/>
          </w:tcPr>
          <w:p w14:paraId="162CB641" w14:textId="77777777" w:rsidR="00F805C2" w:rsidRPr="00F805C2" w:rsidRDefault="00F805C2" w:rsidP="008038FF">
            <w:pPr>
              <w:pStyle w:val="C-TableText"/>
              <w:jc w:val="center"/>
              <w:rPr>
                <w:color w:val="000000"/>
                <w:sz w:val="20"/>
              </w:rPr>
            </w:pPr>
            <w:r w:rsidRPr="00F805C2">
              <w:rPr>
                <w:color w:val="000000"/>
                <w:sz w:val="20"/>
              </w:rPr>
              <w:t>0.38</w:t>
            </w:r>
          </w:p>
        </w:tc>
        <w:tc>
          <w:tcPr>
            <w:tcW w:w="1054" w:type="dxa"/>
            <w:shd w:val="clear" w:color="auto" w:fill="auto"/>
          </w:tcPr>
          <w:p w14:paraId="4C58A3EB" w14:textId="77777777" w:rsidR="00F805C2" w:rsidRPr="00F805C2" w:rsidRDefault="00F805C2" w:rsidP="008038FF">
            <w:pPr>
              <w:pStyle w:val="C-TableText"/>
              <w:jc w:val="center"/>
              <w:rPr>
                <w:color w:val="000000"/>
                <w:sz w:val="20"/>
              </w:rPr>
            </w:pPr>
            <w:r w:rsidRPr="00F805C2">
              <w:rPr>
                <w:color w:val="000000"/>
                <w:sz w:val="20"/>
              </w:rPr>
              <w:t>19.0</w:t>
            </w:r>
          </w:p>
        </w:tc>
        <w:tc>
          <w:tcPr>
            <w:tcW w:w="656" w:type="dxa"/>
            <w:shd w:val="clear" w:color="auto" w:fill="auto"/>
          </w:tcPr>
          <w:p w14:paraId="7F955312" w14:textId="77777777" w:rsidR="00F805C2" w:rsidRPr="00F805C2" w:rsidRDefault="00F805C2" w:rsidP="008038FF">
            <w:pPr>
              <w:pStyle w:val="C-TableText"/>
              <w:jc w:val="center"/>
              <w:rPr>
                <w:color w:val="000000"/>
                <w:sz w:val="20"/>
              </w:rPr>
            </w:pPr>
            <w:r w:rsidRPr="00F805C2">
              <w:rPr>
                <w:color w:val="000000"/>
                <w:sz w:val="20"/>
              </w:rPr>
              <w:t>8.0</w:t>
            </w:r>
          </w:p>
        </w:tc>
        <w:tc>
          <w:tcPr>
            <w:tcW w:w="1440" w:type="dxa"/>
            <w:shd w:val="clear" w:color="auto" w:fill="auto"/>
          </w:tcPr>
          <w:p w14:paraId="1EA0DE8A" w14:textId="77777777" w:rsidR="00F805C2" w:rsidRPr="00F805C2" w:rsidRDefault="00F805C2" w:rsidP="008038FF">
            <w:pPr>
              <w:pStyle w:val="C-TableText"/>
              <w:jc w:val="center"/>
              <w:rPr>
                <w:color w:val="000000"/>
                <w:sz w:val="20"/>
              </w:rPr>
            </w:pPr>
            <w:r w:rsidRPr="00F805C2">
              <w:rPr>
                <w:color w:val="000000"/>
                <w:sz w:val="20"/>
              </w:rPr>
              <w:t>749.5</w:t>
            </w:r>
          </w:p>
        </w:tc>
        <w:tc>
          <w:tcPr>
            <w:tcW w:w="1350" w:type="dxa"/>
            <w:shd w:val="clear" w:color="auto" w:fill="auto"/>
          </w:tcPr>
          <w:p w14:paraId="1C86177F" w14:textId="77777777" w:rsidR="00F805C2" w:rsidRPr="00F805C2" w:rsidRDefault="00F805C2" w:rsidP="008038FF">
            <w:pPr>
              <w:pStyle w:val="C-TableText"/>
              <w:jc w:val="center"/>
              <w:rPr>
                <w:color w:val="000000"/>
                <w:sz w:val="20"/>
              </w:rPr>
            </w:pPr>
            <w:r w:rsidRPr="00F805C2">
              <w:rPr>
                <w:color w:val="000000"/>
                <w:sz w:val="20"/>
              </w:rPr>
              <w:t>786.5</w:t>
            </w:r>
          </w:p>
        </w:tc>
        <w:tc>
          <w:tcPr>
            <w:tcW w:w="1384" w:type="dxa"/>
            <w:shd w:val="clear" w:color="auto" w:fill="auto"/>
          </w:tcPr>
          <w:p w14:paraId="5F4021ED" w14:textId="77777777" w:rsidR="00F805C2" w:rsidRPr="00F805C2" w:rsidRDefault="00F805C2" w:rsidP="008038FF">
            <w:pPr>
              <w:pStyle w:val="C-TableText"/>
              <w:jc w:val="center"/>
              <w:rPr>
                <w:color w:val="000000"/>
                <w:sz w:val="20"/>
              </w:rPr>
            </w:pPr>
            <w:r w:rsidRPr="00F805C2">
              <w:rPr>
                <w:color w:val="000000"/>
                <w:sz w:val="20"/>
              </w:rPr>
              <w:t>860.0</w:t>
            </w:r>
          </w:p>
        </w:tc>
        <w:tc>
          <w:tcPr>
            <w:tcW w:w="1064" w:type="dxa"/>
            <w:shd w:val="clear" w:color="auto" w:fill="auto"/>
          </w:tcPr>
          <w:p w14:paraId="3A62632E" w14:textId="77777777" w:rsidR="00F805C2" w:rsidRPr="00F805C2" w:rsidRDefault="00F805C2" w:rsidP="008038FF">
            <w:pPr>
              <w:pStyle w:val="C-TableText"/>
              <w:jc w:val="center"/>
              <w:rPr>
                <w:color w:val="000000"/>
                <w:sz w:val="20"/>
              </w:rPr>
            </w:pPr>
            <w:r w:rsidRPr="00F805C2">
              <w:rPr>
                <w:color w:val="000000"/>
                <w:sz w:val="20"/>
              </w:rPr>
              <w:t>5.02</w:t>
            </w:r>
          </w:p>
        </w:tc>
      </w:tr>
    </w:tbl>
    <w:p w14:paraId="3582A349" w14:textId="77777777" w:rsidR="00F805C2" w:rsidRPr="002F651C" w:rsidRDefault="00F805C2" w:rsidP="00F805C2">
      <w:pPr>
        <w:pStyle w:val="C-TableFootnote"/>
        <w:rPr>
          <w:rFonts w:cs="Times New Roman"/>
          <w:sz w:val="24"/>
          <w:szCs w:val="24"/>
          <w:vertAlign w:val="superscript"/>
        </w:rPr>
      </w:pPr>
      <w:proofErr w:type="spellStart"/>
      <w:r w:rsidRPr="002F651C">
        <w:rPr>
          <w:rFonts w:cs="Times New Roman"/>
          <w:sz w:val="24"/>
          <w:szCs w:val="24"/>
          <w:vertAlign w:val="superscript"/>
        </w:rPr>
        <w:t>a</w:t>
      </w:r>
      <w:r w:rsidRPr="002F651C">
        <w:rPr>
          <w:rFonts w:cs="Times New Roman"/>
          <w:sz w:val="24"/>
          <w:szCs w:val="24"/>
        </w:rPr>
        <w:t>N</w:t>
      </w:r>
      <w:proofErr w:type="spellEnd"/>
      <w:r w:rsidRPr="002F651C">
        <w:rPr>
          <w:rFonts w:cs="Times New Roman"/>
          <w:sz w:val="24"/>
          <w:szCs w:val="24"/>
        </w:rPr>
        <w:t xml:space="preserve"> = 1</w:t>
      </w:r>
    </w:p>
    <w:p w14:paraId="6FBEF8AA" w14:textId="77777777" w:rsidR="00F805C2" w:rsidRPr="002F651C" w:rsidRDefault="00F805C2" w:rsidP="00F805C2">
      <w:pPr>
        <w:pStyle w:val="C-TableFootnote"/>
        <w:rPr>
          <w:rFonts w:cs="Times New Roman"/>
          <w:sz w:val="24"/>
          <w:szCs w:val="24"/>
        </w:rPr>
      </w:pPr>
      <w:proofErr w:type="spellStart"/>
      <w:r w:rsidRPr="002F651C">
        <w:rPr>
          <w:rFonts w:cs="Times New Roman"/>
          <w:sz w:val="24"/>
          <w:szCs w:val="24"/>
          <w:vertAlign w:val="superscript"/>
        </w:rPr>
        <w:t>b</w:t>
      </w:r>
      <w:r w:rsidRPr="002F651C">
        <w:rPr>
          <w:rFonts w:cs="Times New Roman"/>
          <w:sz w:val="24"/>
          <w:szCs w:val="24"/>
        </w:rPr>
        <w:t>N</w:t>
      </w:r>
      <w:proofErr w:type="spellEnd"/>
      <w:r w:rsidRPr="002F651C">
        <w:rPr>
          <w:rFonts w:cs="Times New Roman"/>
          <w:sz w:val="24"/>
          <w:szCs w:val="24"/>
        </w:rPr>
        <w:t xml:space="preserve"> = 2</w:t>
      </w:r>
    </w:p>
    <w:p w14:paraId="0C568719" w14:textId="77777777" w:rsidR="00F805C2" w:rsidRPr="002F651C" w:rsidRDefault="00F805C2" w:rsidP="00F805C2">
      <w:pPr>
        <w:pStyle w:val="C-TableFootnote"/>
        <w:ind w:left="0" w:firstLine="0"/>
        <w:rPr>
          <w:rFonts w:cs="Times New Roman"/>
          <w:sz w:val="24"/>
          <w:szCs w:val="24"/>
        </w:rPr>
      </w:pPr>
      <w:r w:rsidRPr="002F651C">
        <w:rPr>
          <w:rFonts w:cs="Times New Roman"/>
          <w:sz w:val="24"/>
          <w:szCs w:val="24"/>
        </w:rPr>
        <w:t>AUC = area under the curve; AUC</w:t>
      </w:r>
      <w:r w:rsidRPr="002F651C">
        <w:rPr>
          <w:rFonts w:cs="Times New Roman"/>
          <w:sz w:val="24"/>
          <w:szCs w:val="24"/>
          <w:vertAlign w:val="subscript"/>
        </w:rPr>
        <w:t>(0</w:t>
      </w:r>
      <w:r w:rsidRPr="002F651C">
        <w:rPr>
          <w:rFonts w:cs="Times New Roman"/>
          <w:sz w:val="24"/>
          <w:szCs w:val="24"/>
          <w:vertAlign w:val="subscript"/>
        </w:rPr>
        <w:noBreakHyphen/>
        <w:t>∞)</w:t>
      </w:r>
      <w:r w:rsidRPr="002F651C">
        <w:rPr>
          <w:rFonts w:cs="Times New Roman"/>
          <w:sz w:val="24"/>
          <w:szCs w:val="24"/>
        </w:rPr>
        <w:t> = AUC from time zero to infinity; AUC</w:t>
      </w:r>
      <w:r w:rsidRPr="002F651C">
        <w:rPr>
          <w:rFonts w:cs="Times New Roman"/>
          <w:sz w:val="24"/>
          <w:szCs w:val="24"/>
          <w:vertAlign w:val="subscript"/>
        </w:rPr>
        <w:t>(0-last)</w:t>
      </w:r>
      <w:r w:rsidRPr="002F651C">
        <w:rPr>
          <w:rFonts w:cs="Times New Roman"/>
          <w:sz w:val="24"/>
          <w:szCs w:val="24"/>
        </w:rPr>
        <w:t xml:space="preserve"> = AUC from time zero to time of last quantifiable plasma concentration; AUC</w:t>
      </w:r>
      <w:r w:rsidRPr="002F651C">
        <w:rPr>
          <w:rFonts w:cs="Times New Roman"/>
          <w:sz w:val="24"/>
          <w:szCs w:val="24"/>
          <w:vertAlign w:val="subscript"/>
        </w:rPr>
        <w:t>(all)</w:t>
      </w:r>
      <w:r w:rsidRPr="002F651C">
        <w:rPr>
          <w:rFonts w:cs="Times New Roman"/>
          <w:sz w:val="24"/>
          <w:szCs w:val="24"/>
        </w:rPr>
        <w:t xml:space="preserve"> = AUC up to last time point; C</w:t>
      </w:r>
      <w:r w:rsidRPr="002F651C">
        <w:rPr>
          <w:rFonts w:cs="Times New Roman"/>
          <w:sz w:val="24"/>
          <w:szCs w:val="24"/>
          <w:vertAlign w:val="subscript"/>
        </w:rPr>
        <w:t>last</w:t>
      </w:r>
      <w:r w:rsidRPr="002F651C">
        <w:rPr>
          <w:rFonts w:cs="Times New Roman"/>
          <w:sz w:val="24"/>
          <w:szCs w:val="24"/>
        </w:rPr>
        <w:t xml:space="preserve"> = last quantifiable concentration; </w:t>
      </w:r>
      <w:proofErr w:type="spellStart"/>
      <w:r w:rsidRPr="002F651C">
        <w:rPr>
          <w:rFonts w:cs="Times New Roman"/>
          <w:sz w:val="24"/>
          <w:szCs w:val="24"/>
        </w:rPr>
        <w:t>C</w:t>
      </w:r>
      <w:r w:rsidRPr="002F651C">
        <w:rPr>
          <w:rFonts w:cs="Times New Roman"/>
          <w:sz w:val="24"/>
          <w:szCs w:val="24"/>
          <w:vertAlign w:val="subscript"/>
        </w:rPr>
        <w:t>max</w:t>
      </w:r>
      <w:proofErr w:type="spellEnd"/>
      <w:r w:rsidRPr="002F651C">
        <w:rPr>
          <w:rFonts w:cs="Times New Roman"/>
          <w:sz w:val="24"/>
          <w:szCs w:val="24"/>
        </w:rPr>
        <w:t> = maximal plasma concentration; T</w:t>
      </w:r>
      <w:r w:rsidRPr="002F651C">
        <w:rPr>
          <w:rFonts w:cs="Times New Roman"/>
          <w:sz w:val="24"/>
          <w:szCs w:val="24"/>
          <w:vertAlign w:val="subscript"/>
        </w:rPr>
        <w:t>1/2</w:t>
      </w:r>
      <w:r w:rsidRPr="002F651C">
        <w:rPr>
          <w:rFonts w:cs="Times New Roman"/>
          <w:sz w:val="24"/>
          <w:szCs w:val="24"/>
        </w:rPr>
        <w:t xml:space="preserve"> = terminal plasma half-life; </w:t>
      </w:r>
      <w:proofErr w:type="spellStart"/>
      <w:r w:rsidRPr="002F651C">
        <w:rPr>
          <w:rFonts w:cs="Times New Roman"/>
          <w:sz w:val="24"/>
          <w:szCs w:val="24"/>
        </w:rPr>
        <w:t>T</w:t>
      </w:r>
      <w:r w:rsidRPr="002F651C">
        <w:rPr>
          <w:rFonts w:cs="Times New Roman"/>
          <w:sz w:val="24"/>
          <w:szCs w:val="24"/>
          <w:vertAlign w:val="subscript"/>
        </w:rPr>
        <w:t>last</w:t>
      </w:r>
      <w:proofErr w:type="spellEnd"/>
      <w:r w:rsidRPr="002F651C">
        <w:rPr>
          <w:rFonts w:cs="Times New Roman"/>
          <w:sz w:val="24"/>
          <w:szCs w:val="24"/>
        </w:rPr>
        <w:t xml:space="preserve"> = time of last quantifiable plasma concentration; </w:t>
      </w:r>
      <w:proofErr w:type="spellStart"/>
      <w:r w:rsidRPr="002F651C">
        <w:rPr>
          <w:rFonts w:cs="Times New Roman"/>
          <w:sz w:val="24"/>
          <w:szCs w:val="24"/>
        </w:rPr>
        <w:t>T</w:t>
      </w:r>
      <w:r w:rsidRPr="002F651C">
        <w:rPr>
          <w:rFonts w:cs="Times New Roman"/>
          <w:sz w:val="24"/>
          <w:szCs w:val="24"/>
          <w:vertAlign w:val="subscript"/>
        </w:rPr>
        <w:t>max</w:t>
      </w:r>
      <w:proofErr w:type="spellEnd"/>
      <w:r w:rsidRPr="002F651C">
        <w:rPr>
          <w:rFonts w:cs="Times New Roman"/>
          <w:sz w:val="24"/>
          <w:szCs w:val="24"/>
        </w:rPr>
        <w:t> = time of maximum plasma concentration</w:t>
      </w:r>
    </w:p>
    <w:p w14:paraId="6E898EF0" w14:textId="77777777" w:rsidR="00F805C2" w:rsidRPr="00F805C2" w:rsidRDefault="00F805C2" w:rsidP="00F805C2">
      <w:pPr>
        <w:rPr>
          <w:rFonts w:ascii="Times New Roman" w:hAnsi="Times New Roman" w:cs="Times New Roman"/>
        </w:rPr>
      </w:pPr>
    </w:p>
    <w:p w14:paraId="6E21BE6B" w14:textId="2079DA29" w:rsidR="00771977" w:rsidRDefault="00771977" w:rsidP="00771977">
      <w:pPr>
        <w:pStyle w:val="Caption"/>
        <w:rPr>
          <w:sz w:val="22"/>
          <w:szCs w:val="22"/>
        </w:rPr>
      </w:pPr>
    </w:p>
    <w:p w14:paraId="7DB31EBF" w14:textId="77777777" w:rsidR="008F553D" w:rsidRPr="008F553D" w:rsidRDefault="008F553D" w:rsidP="008F553D">
      <w:pPr>
        <w:pStyle w:val="C-BodyText"/>
      </w:pPr>
    </w:p>
    <w:p w14:paraId="5742BF49" w14:textId="7468824A" w:rsidR="002B58D8" w:rsidRPr="00641648" w:rsidRDefault="00771977" w:rsidP="00641648">
      <w:pPr>
        <w:pStyle w:val="ListParagraph"/>
        <w:numPr>
          <w:ilvl w:val="0"/>
          <w:numId w:val="4"/>
        </w:numPr>
        <w:spacing w:line="240" w:lineRule="auto"/>
        <w:rPr>
          <w:rFonts w:ascii="Times New Roman" w:hAnsi="Times New Roman" w:cs="Times New Roman"/>
          <w:b/>
          <w:bCs/>
          <w:sz w:val="24"/>
          <w:szCs w:val="24"/>
        </w:rPr>
      </w:pPr>
      <w:r w:rsidRPr="00641648">
        <w:rPr>
          <w:rFonts w:ascii="Times New Roman" w:hAnsi="Times New Roman" w:cs="Times New Roman"/>
          <w:b/>
          <w:bCs/>
          <w:sz w:val="24"/>
          <w:szCs w:val="24"/>
        </w:rPr>
        <w:lastRenderedPageBreak/>
        <w:t xml:space="preserve">Supplementary Material </w:t>
      </w:r>
      <w:r w:rsidR="002B58D8" w:rsidRPr="00641648">
        <w:rPr>
          <w:rFonts w:ascii="Times New Roman" w:hAnsi="Times New Roman" w:cs="Times New Roman"/>
          <w:b/>
          <w:bCs/>
          <w:sz w:val="24"/>
          <w:szCs w:val="24"/>
        </w:rPr>
        <w:t>References</w:t>
      </w:r>
    </w:p>
    <w:p w14:paraId="39095A07" w14:textId="77777777" w:rsidR="008515B4" w:rsidRPr="00F805C2" w:rsidRDefault="00302D86" w:rsidP="009F3D53">
      <w:pPr>
        <w:pStyle w:val="EndNoteBibliography"/>
        <w:spacing w:after="0"/>
        <w:ind w:left="360" w:hanging="360"/>
        <w:rPr>
          <w:rFonts w:ascii="Times New Roman" w:hAnsi="Times New Roman" w:cs="Times New Roman"/>
          <w:sz w:val="24"/>
          <w:szCs w:val="24"/>
        </w:rPr>
      </w:pPr>
      <w:r w:rsidRPr="00F805C2">
        <w:rPr>
          <w:rFonts w:ascii="Times New Roman" w:hAnsi="Times New Roman" w:cs="Times New Roman"/>
          <w:sz w:val="24"/>
          <w:szCs w:val="24"/>
        </w:rPr>
        <w:fldChar w:fldCharType="begin"/>
      </w:r>
      <w:r w:rsidRPr="00F805C2">
        <w:rPr>
          <w:rFonts w:ascii="Times New Roman" w:hAnsi="Times New Roman" w:cs="Times New Roman"/>
          <w:sz w:val="24"/>
          <w:szCs w:val="24"/>
        </w:rPr>
        <w:instrText xml:space="preserve"> ADDIN EN.REFLIST </w:instrText>
      </w:r>
      <w:r w:rsidRPr="00F805C2">
        <w:rPr>
          <w:rFonts w:ascii="Times New Roman" w:hAnsi="Times New Roman" w:cs="Times New Roman"/>
          <w:sz w:val="24"/>
          <w:szCs w:val="24"/>
        </w:rPr>
        <w:fldChar w:fldCharType="separate"/>
      </w:r>
      <w:r w:rsidR="008515B4" w:rsidRPr="00F805C2">
        <w:rPr>
          <w:rFonts w:ascii="Times New Roman" w:hAnsi="Times New Roman" w:cs="Times New Roman"/>
          <w:sz w:val="24"/>
          <w:szCs w:val="24"/>
        </w:rPr>
        <w:t>1.</w:t>
      </w:r>
      <w:r w:rsidR="008515B4" w:rsidRPr="00F805C2">
        <w:rPr>
          <w:rFonts w:ascii="Times New Roman" w:hAnsi="Times New Roman" w:cs="Times New Roman"/>
          <w:sz w:val="24"/>
          <w:szCs w:val="24"/>
        </w:rPr>
        <w:tab/>
        <w:t>Sonis ST</w:t>
      </w:r>
      <w:r w:rsidR="008515B4" w:rsidRPr="00F805C2">
        <w:rPr>
          <w:rFonts w:ascii="Times New Roman" w:hAnsi="Times New Roman" w:cs="Times New Roman"/>
          <w:i/>
          <w:sz w:val="24"/>
          <w:szCs w:val="24"/>
        </w:rPr>
        <w:t>, et al.</w:t>
      </w:r>
      <w:r w:rsidR="008515B4" w:rsidRPr="00F805C2">
        <w:rPr>
          <w:rFonts w:ascii="Times New Roman" w:hAnsi="Times New Roman" w:cs="Times New Roman"/>
          <w:sz w:val="24"/>
          <w:szCs w:val="24"/>
        </w:rPr>
        <w:t xml:space="preserve"> (1999) Validation of a new scoring system for the assessment of clinical trial research of oral mucositis induced by radiation or chemotherapy. Mucositis Study Group. </w:t>
      </w:r>
      <w:r w:rsidR="008515B4" w:rsidRPr="00F805C2">
        <w:rPr>
          <w:rFonts w:ascii="Times New Roman" w:hAnsi="Times New Roman" w:cs="Times New Roman"/>
          <w:i/>
          <w:sz w:val="24"/>
          <w:szCs w:val="24"/>
        </w:rPr>
        <w:t>Cancer</w:t>
      </w:r>
      <w:r w:rsidR="008515B4" w:rsidRPr="00F805C2">
        <w:rPr>
          <w:rFonts w:ascii="Times New Roman" w:hAnsi="Times New Roman" w:cs="Times New Roman"/>
          <w:sz w:val="24"/>
          <w:szCs w:val="24"/>
        </w:rPr>
        <w:t xml:space="preserve"> 85(10):2103-2113.</w:t>
      </w:r>
    </w:p>
    <w:p w14:paraId="0AA821FC" w14:textId="77777777" w:rsidR="008515B4" w:rsidRPr="00F805C2" w:rsidRDefault="008515B4" w:rsidP="009F3D53">
      <w:pPr>
        <w:pStyle w:val="EndNoteBibliography"/>
        <w:spacing w:after="0"/>
        <w:ind w:left="360" w:hanging="360"/>
        <w:rPr>
          <w:rFonts w:ascii="Times New Roman" w:hAnsi="Times New Roman" w:cs="Times New Roman"/>
          <w:sz w:val="24"/>
          <w:szCs w:val="24"/>
        </w:rPr>
      </w:pPr>
      <w:r w:rsidRPr="00F805C2">
        <w:rPr>
          <w:rFonts w:ascii="Times New Roman" w:hAnsi="Times New Roman" w:cs="Times New Roman"/>
          <w:sz w:val="24"/>
          <w:szCs w:val="24"/>
        </w:rPr>
        <w:t>2.</w:t>
      </w:r>
      <w:r w:rsidRPr="00F805C2">
        <w:rPr>
          <w:rFonts w:ascii="Times New Roman" w:hAnsi="Times New Roman" w:cs="Times New Roman"/>
          <w:sz w:val="24"/>
          <w:szCs w:val="24"/>
        </w:rPr>
        <w:tab/>
        <w:t>Socransky SS</w:t>
      </w:r>
      <w:r w:rsidRPr="00F805C2">
        <w:rPr>
          <w:rFonts w:ascii="Times New Roman" w:hAnsi="Times New Roman" w:cs="Times New Roman"/>
          <w:i/>
          <w:sz w:val="24"/>
          <w:szCs w:val="24"/>
        </w:rPr>
        <w:t>, et al.</w:t>
      </w:r>
      <w:r w:rsidRPr="00F805C2">
        <w:rPr>
          <w:rFonts w:ascii="Times New Roman" w:hAnsi="Times New Roman" w:cs="Times New Roman"/>
          <w:sz w:val="24"/>
          <w:szCs w:val="24"/>
        </w:rPr>
        <w:t xml:space="preserve"> (1994) "Checkerboard" DNA-DNA hybridization. </w:t>
      </w:r>
      <w:r w:rsidRPr="00F805C2">
        <w:rPr>
          <w:rFonts w:ascii="Times New Roman" w:hAnsi="Times New Roman" w:cs="Times New Roman"/>
          <w:i/>
          <w:sz w:val="24"/>
          <w:szCs w:val="24"/>
        </w:rPr>
        <w:t>BioTechniques</w:t>
      </w:r>
      <w:r w:rsidRPr="00F805C2">
        <w:rPr>
          <w:rFonts w:ascii="Times New Roman" w:hAnsi="Times New Roman" w:cs="Times New Roman"/>
          <w:sz w:val="24"/>
          <w:szCs w:val="24"/>
        </w:rPr>
        <w:t xml:space="preserve"> 17(4):788-792.</w:t>
      </w:r>
    </w:p>
    <w:p w14:paraId="1A853829" w14:textId="77777777" w:rsidR="008515B4" w:rsidRPr="00F805C2" w:rsidRDefault="008515B4" w:rsidP="009F3D53">
      <w:pPr>
        <w:pStyle w:val="EndNoteBibliography"/>
        <w:spacing w:after="0"/>
        <w:ind w:left="360" w:hanging="360"/>
        <w:rPr>
          <w:rFonts w:ascii="Times New Roman" w:hAnsi="Times New Roman" w:cs="Times New Roman"/>
          <w:sz w:val="24"/>
          <w:szCs w:val="24"/>
        </w:rPr>
      </w:pPr>
      <w:r w:rsidRPr="00F805C2">
        <w:rPr>
          <w:rFonts w:ascii="Times New Roman" w:hAnsi="Times New Roman" w:cs="Times New Roman"/>
          <w:sz w:val="24"/>
          <w:szCs w:val="24"/>
        </w:rPr>
        <w:t>3.</w:t>
      </w:r>
      <w:r w:rsidRPr="00F805C2">
        <w:rPr>
          <w:rFonts w:ascii="Times New Roman" w:hAnsi="Times New Roman" w:cs="Times New Roman"/>
          <w:sz w:val="24"/>
          <w:szCs w:val="24"/>
        </w:rPr>
        <w:tab/>
        <w:t>Socransky SS</w:t>
      </w:r>
      <w:r w:rsidRPr="00F805C2">
        <w:rPr>
          <w:rFonts w:ascii="Times New Roman" w:hAnsi="Times New Roman" w:cs="Times New Roman"/>
          <w:i/>
          <w:sz w:val="24"/>
          <w:szCs w:val="24"/>
        </w:rPr>
        <w:t>, et al.</w:t>
      </w:r>
      <w:r w:rsidRPr="00F805C2">
        <w:rPr>
          <w:rFonts w:ascii="Times New Roman" w:hAnsi="Times New Roman" w:cs="Times New Roman"/>
          <w:sz w:val="24"/>
          <w:szCs w:val="24"/>
        </w:rPr>
        <w:t xml:space="preserve"> (2004) Use of checkerboard DNA-DNA hybridization to study complex microbial ecosystems. </w:t>
      </w:r>
      <w:r w:rsidRPr="00F805C2">
        <w:rPr>
          <w:rFonts w:ascii="Times New Roman" w:hAnsi="Times New Roman" w:cs="Times New Roman"/>
          <w:i/>
          <w:sz w:val="24"/>
          <w:szCs w:val="24"/>
        </w:rPr>
        <w:t>Oral microbiology and immunology</w:t>
      </w:r>
      <w:r w:rsidRPr="00F805C2">
        <w:rPr>
          <w:rFonts w:ascii="Times New Roman" w:hAnsi="Times New Roman" w:cs="Times New Roman"/>
          <w:sz w:val="24"/>
          <w:szCs w:val="24"/>
        </w:rPr>
        <w:t xml:space="preserve"> 19(6):352-362.</w:t>
      </w:r>
    </w:p>
    <w:p w14:paraId="5C027738" w14:textId="77777777" w:rsidR="008515B4" w:rsidRPr="00F805C2" w:rsidRDefault="008515B4" w:rsidP="009F3D53">
      <w:pPr>
        <w:pStyle w:val="EndNoteBibliography"/>
        <w:ind w:left="360" w:hanging="360"/>
        <w:rPr>
          <w:rFonts w:ascii="Times New Roman" w:hAnsi="Times New Roman" w:cs="Times New Roman"/>
          <w:sz w:val="24"/>
          <w:szCs w:val="24"/>
        </w:rPr>
      </w:pPr>
      <w:r w:rsidRPr="00F805C2">
        <w:rPr>
          <w:rFonts w:ascii="Times New Roman" w:hAnsi="Times New Roman" w:cs="Times New Roman"/>
          <w:sz w:val="24"/>
          <w:szCs w:val="24"/>
        </w:rPr>
        <w:t>4.</w:t>
      </w:r>
      <w:r w:rsidRPr="00F805C2">
        <w:rPr>
          <w:rFonts w:ascii="Times New Roman" w:hAnsi="Times New Roman" w:cs="Times New Roman"/>
          <w:sz w:val="24"/>
          <w:szCs w:val="24"/>
        </w:rPr>
        <w:tab/>
        <w:t xml:space="preserve">Ames BN, McCann J, &amp; Yamasaki E (1975) Proceedings: carcinogens are mutagens: a simple test system. </w:t>
      </w:r>
      <w:r w:rsidRPr="00F805C2">
        <w:rPr>
          <w:rFonts w:ascii="Times New Roman" w:hAnsi="Times New Roman" w:cs="Times New Roman"/>
          <w:i/>
          <w:sz w:val="24"/>
          <w:szCs w:val="24"/>
        </w:rPr>
        <w:t>Mutat Res</w:t>
      </w:r>
      <w:r w:rsidRPr="00F805C2">
        <w:rPr>
          <w:rFonts w:ascii="Times New Roman" w:hAnsi="Times New Roman" w:cs="Times New Roman"/>
          <w:sz w:val="24"/>
          <w:szCs w:val="24"/>
        </w:rPr>
        <w:t xml:space="preserve"> 33(1 Spec No):27-28.</w:t>
      </w:r>
    </w:p>
    <w:p w14:paraId="4CEEF079" w14:textId="00C8E9B2" w:rsidR="00AF19FD" w:rsidRPr="00F805C2" w:rsidRDefault="00302D86" w:rsidP="009F3D53">
      <w:pPr>
        <w:pStyle w:val="ListParagraph"/>
        <w:spacing w:line="240" w:lineRule="auto"/>
        <w:ind w:left="360" w:hanging="360"/>
        <w:rPr>
          <w:rFonts w:ascii="Times New Roman" w:hAnsi="Times New Roman" w:cs="Times New Roman"/>
        </w:rPr>
      </w:pPr>
      <w:r w:rsidRPr="00F805C2">
        <w:rPr>
          <w:rFonts w:ascii="Times New Roman" w:hAnsi="Times New Roman" w:cs="Times New Roman"/>
          <w:sz w:val="24"/>
          <w:szCs w:val="24"/>
        </w:rPr>
        <w:fldChar w:fldCharType="end"/>
      </w:r>
      <w:bookmarkEnd w:id="0"/>
    </w:p>
    <w:sectPr w:rsidR="00AF19FD" w:rsidRPr="00F80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 w15:restartNumberingAfterBreak="0">
    <w:nsid w:val="459D61B7"/>
    <w:multiLevelType w:val="hybridMultilevel"/>
    <w:tmpl w:val="D5081FDC"/>
    <w:lvl w:ilvl="0" w:tplc="57EA3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575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C83DA0"/>
    <w:multiLevelType w:val="hybridMultilevel"/>
    <w:tmpl w:val="6014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24F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5423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BB23A6"/>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05sdatrvwfp8efax65wttrztww02zfarxa&quot;&gt;My EndNote Library&lt;record-ids&gt;&lt;item&gt;810&lt;/item&gt;&lt;item&gt;11368&lt;/item&gt;&lt;item&gt;11372&lt;/item&gt;&lt;item&gt;11384&lt;/item&gt;&lt;/record-ids&gt;&lt;/item&gt;&lt;/Libraries&gt;"/>
  </w:docVars>
  <w:rsids>
    <w:rsidRoot w:val="00873F73"/>
    <w:rsid w:val="000535F0"/>
    <w:rsid w:val="00177CA5"/>
    <w:rsid w:val="001E3A57"/>
    <w:rsid w:val="001F3A5F"/>
    <w:rsid w:val="00236056"/>
    <w:rsid w:val="002B58D8"/>
    <w:rsid w:val="002F651C"/>
    <w:rsid w:val="00302D86"/>
    <w:rsid w:val="003135EE"/>
    <w:rsid w:val="003A1EB4"/>
    <w:rsid w:val="003E46BC"/>
    <w:rsid w:val="00420A36"/>
    <w:rsid w:val="00475161"/>
    <w:rsid w:val="00502990"/>
    <w:rsid w:val="00530070"/>
    <w:rsid w:val="00593ED2"/>
    <w:rsid w:val="005D089F"/>
    <w:rsid w:val="00623818"/>
    <w:rsid w:val="00624695"/>
    <w:rsid w:val="00641648"/>
    <w:rsid w:val="006533AF"/>
    <w:rsid w:val="006625AC"/>
    <w:rsid w:val="006658A3"/>
    <w:rsid w:val="00724541"/>
    <w:rsid w:val="0077116A"/>
    <w:rsid w:val="00771977"/>
    <w:rsid w:val="007A0DFE"/>
    <w:rsid w:val="008515B4"/>
    <w:rsid w:val="00857195"/>
    <w:rsid w:val="00873F73"/>
    <w:rsid w:val="008B0822"/>
    <w:rsid w:val="008F553D"/>
    <w:rsid w:val="00967318"/>
    <w:rsid w:val="009A5EB6"/>
    <w:rsid w:val="009C4E14"/>
    <w:rsid w:val="009D172C"/>
    <w:rsid w:val="009F3D53"/>
    <w:rsid w:val="009F4DBC"/>
    <w:rsid w:val="00A90737"/>
    <w:rsid w:val="00AD6948"/>
    <w:rsid w:val="00AF19FD"/>
    <w:rsid w:val="00BA189A"/>
    <w:rsid w:val="00BA41F6"/>
    <w:rsid w:val="00BA7E36"/>
    <w:rsid w:val="00C02A93"/>
    <w:rsid w:val="00C71207"/>
    <w:rsid w:val="00C961B8"/>
    <w:rsid w:val="00C97973"/>
    <w:rsid w:val="00CE2391"/>
    <w:rsid w:val="00CF5FFA"/>
    <w:rsid w:val="00D60D2F"/>
    <w:rsid w:val="00DA4E6B"/>
    <w:rsid w:val="00DE06FE"/>
    <w:rsid w:val="00DF301B"/>
    <w:rsid w:val="00E02A59"/>
    <w:rsid w:val="00E06192"/>
    <w:rsid w:val="00E4765A"/>
    <w:rsid w:val="00E96AD3"/>
    <w:rsid w:val="00EA269B"/>
    <w:rsid w:val="00F07387"/>
    <w:rsid w:val="00F805C2"/>
    <w:rsid w:val="00FD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2F93"/>
  <w15:docId w15:val="{9A1ECA38-AA4F-403E-8E9B-EC89A2EB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06FE"/>
    <w:pPr>
      <w:widowControl w:val="0"/>
      <w:autoSpaceDE w:val="0"/>
      <w:autoSpaceDN w:val="0"/>
      <w:spacing w:after="0" w:line="240" w:lineRule="auto"/>
      <w:ind w:left="140"/>
      <w:outlineLvl w:val="0"/>
    </w:pPr>
    <w:rPr>
      <w:rFonts w:ascii="Arial" w:eastAsia="Arial" w:hAnsi="Arial" w:cs="Arial"/>
      <w:b/>
      <w:bCs/>
      <w:lang w:bidi="en-US"/>
    </w:rPr>
  </w:style>
  <w:style w:type="paragraph" w:styleId="Heading2">
    <w:name w:val="heading 2"/>
    <w:basedOn w:val="Normal"/>
    <w:next w:val="Normal"/>
    <w:link w:val="Heading2Char"/>
    <w:uiPriority w:val="9"/>
    <w:semiHidden/>
    <w:unhideWhenUsed/>
    <w:qFormat/>
    <w:rsid w:val="006416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73"/>
    <w:rPr>
      <w:color w:val="0563C1" w:themeColor="hyperlink"/>
      <w:u w:val="single"/>
    </w:rPr>
  </w:style>
  <w:style w:type="character" w:customStyle="1" w:styleId="UnresolvedMention1">
    <w:name w:val="Unresolved Mention1"/>
    <w:basedOn w:val="DefaultParagraphFont"/>
    <w:uiPriority w:val="99"/>
    <w:semiHidden/>
    <w:unhideWhenUsed/>
    <w:rsid w:val="00873F73"/>
    <w:rPr>
      <w:color w:val="605E5C"/>
      <w:shd w:val="clear" w:color="auto" w:fill="E1DFDD"/>
    </w:rPr>
  </w:style>
  <w:style w:type="paragraph" w:styleId="BalloonText">
    <w:name w:val="Balloon Text"/>
    <w:basedOn w:val="Normal"/>
    <w:link w:val="BalloonTextChar"/>
    <w:uiPriority w:val="99"/>
    <w:semiHidden/>
    <w:unhideWhenUsed/>
    <w:rsid w:val="00873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73"/>
    <w:rPr>
      <w:rFonts w:ascii="Segoe UI" w:hAnsi="Segoe UI" w:cs="Segoe UI"/>
      <w:sz w:val="18"/>
      <w:szCs w:val="18"/>
    </w:rPr>
  </w:style>
  <w:style w:type="paragraph" w:customStyle="1" w:styleId="C-BodyText">
    <w:name w:val="C-Body Text"/>
    <w:link w:val="C-BodyTextChar"/>
    <w:rsid w:val="00873F73"/>
    <w:pPr>
      <w:spacing w:before="120" w:after="120" w:line="280" w:lineRule="atLeast"/>
    </w:pPr>
    <w:rPr>
      <w:rFonts w:ascii="Times New Roman" w:eastAsia="Times New Roman" w:hAnsi="Times New Roman" w:cs="Times New Roman"/>
      <w:sz w:val="24"/>
      <w:szCs w:val="20"/>
    </w:rPr>
  </w:style>
  <w:style w:type="paragraph" w:styleId="Caption">
    <w:name w:val="caption"/>
    <w:next w:val="C-BodyText"/>
    <w:qFormat/>
    <w:rsid w:val="00873F73"/>
    <w:pPr>
      <w:keepNext/>
      <w:spacing w:before="120" w:after="120" w:line="280" w:lineRule="atLeast"/>
      <w:ind w:left="1440" w:hanging="1440"/>
    </w:pPr>
    <w:rPr>
      <w:rFonts w:ascii="Times New Roman" w:eastAsia="Times New Roman" w:hAnsi="Times New Roman" w:cs="Times New Roman"/>
      <w:b/>
      <w:bCs/>
      <w:sz w:val="24"/>
      <w:szCs w:val="24"/>
    </w:rPr>
  </w:style>
  <w:style w:type="paragraph" w:customStyle="1" w:styleId="C-Heading1">
    <w:name w:val="C-Heading 1"/>
    <w:next w:val="C-BodyText"/>
    <w:rsid w:val="00873F73"/>
    <w:pPr>
      <w:keepNext/>
      <w:pageBreakBefore/>
      <w:numPr>
        <w:numId w:val="1"/>
      </w:numPr>
      <w:spacing w:before="480" w:after="120" w:line="240" w:lineRule="auto"/>
      <w:outlineLvl w:val="0"/>
    </w:pPr>
    <w:rPr>
      <w:rFonts w:ascii="Times New Roman" w:eastAsia="Times New Roman" w:hAnsi="Times New Roman" w:cs="Times New Roman"/>
      <w:b/>
      <w:caps/>
      <w:sz w:val="28"/>
      <w:szCs w:val="20"/>
    </w:rPr>
  </w:style>
  <w:style w:type="paragraph" w:customStyle="1" w:styleId="C-Heading2">
    <w:name w:val="C-Heading 2"/>
    <w:next w:val="C-BodyText"/>
    <w:rsid w:val="00873F73"/>
    <w:pPr>
      <w:keepNext/>
      <w:numPr>
        <w:ilvl w:val="1"/>
        <w:numId w:val="1"/>
      </w:numPr>
      <w:spacing w:before="240" w:after="0" w:line="240" w:lineRule="auto"/>
      <w:outlineLvl w:val="1"/>
    </w:pPr>
    <w:rPr>
      <w:rFonts w:ascii="Times New Roman" w:eastAsia="Times New Roman" w:hAnsi="Times New Roman" w:cs="Times New Roman"/>
      <w:b/>
      <w:sz w:val="28"/>
      <w:szCs w:val="20"/>
    </w:rPr>
  </w:style>
  <w:style w:type="paragraph" w:customStyle="1" w:styleId="C-Heading3">
    <w:name w:val="C-Heading 3"/>
    <w:next w:val="C-BodyText"/>
    <w:rsid w:val="00873F73"/>
    <w:pPr>
      <w:keepNext/>
      <w:numPr>
        <w:ilvl w:val="2"/>
        <w:numId w:val="1"/>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873F73"/>
    <w:pPr>
      <w:keepNext/>
      <w:numPr>
        <w:ilvl w:val="3"/>
        <w:numId w:val="1"/>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873F73"/>
    <w:pPr>
      <w:keepNext/>
      <w:numPr>
        <w:ilvl w:val="4"/>
        <w:numId w:val="1"/>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873F73"/>
    <w:pPr>
      <w:keepNext/>
      <w:numPr>
        <w:ilvl w:val="5"/>
        <w:numId w:val="1"/>
      </w:numPr>
      <w:tabs>
        <w:tab w:val="clear" w:pos="1080"/>
        <w:tab w:val="num" w:pos="1224"/>
        <w:tab w:val="num" w:pos="1309"/>
      </w:tabs>
      <w:spacing w:before="240" w:after="0" w:line="240" w:lineRule="auto"/>
      <w:ind w:left="1224" w:hanging="1224"/>
      <w:outlineLvl w:val="5"/>
    </w:pPr>
    <w:rPr>
      <w:rFonts w:ascii="Times New Roman" w:eastAsia="Times New Roman" w:hAnsi="Times New Roman" w:cs="Times New Roman"/>
      <w:b/>
      <w:sz w:val="24"/>
      <w:szCs w:val="20"/>
    </w:rPr>
  </w:style>
  <w:style w:type="paragraph" w:customStyle="1" w:styleId="C-TableHeader">
    <w:name w:val="C-Table Header"/>
    <w:next w:val="C-TableText"/>
    <w:link w:val="C-TableHeaderChar"/>
    <w:rsid w:val="00873F73"/>
    <w:pPr>
      <w:keepNext/>
      <w:spacing w:before="60" w:after="60" w:line="240" w:lineRule="auto"/>
    </w:pPr>
    <w:rPr>
      <w:rFonts w:ascii="Times New Roman" w:eastAsia="Times New Roman" w:hAnsi="Times New Roman" w:cs="Times New Roman"/>
      <w:b/>
      <w:szCs w:val="20"/>
    </w:rPr>
  </w:style>
  <w:style w:type="paragraph" w:customStyle="1" w:styleId="C-TableText">
    <w:name w:val="C-Table Text"/>
    <w:link w:val="C-TableTextChar"/>
    <w:rsid w:val="00873F73"/>
    <w:pPr>
      <w:spacing w:before="60" w:after="60" w:line="240" w:lineRule="auto"/>
    </w:pPr>
    <w:rPr>
      <w:rFonts w:ascii="Times New Roman" w:eastAsia="Times New Roman" w:hAnsi="Times New Roman" w:cs="Times New Roman"/>
      <w:szCs w:val="20"/>
    </w:rPr>
  </w:style>
  <w:style w:type="paragraph" w:customStyle="1" w:styleId="C-TableFootnote">
    <w:name w:val="C-Table Footnote"/>
    <w:next w:val="C-BodyText"/>
    <w:rsid w:val="00873F73"/>
    <w:pPr>
      <w:tabs>
        <w:tab w:val="left" w:pos="144"/>
      </w:tabs>
      <w:spacing w:after="0" w:line="240" w:lineRule="auto"/>
      <w:ind w:left="144" w:hanging="144"/>
    </w:pPr>
    <w:rPr>
      <w:rFonts w:ascii="Times New Roman" w:eastAsia="Times New Roman" w:hAnsi="Times New Roman" w:cs="Arial"/>
      <w:sz w:val="20"/>
      <w:szCs w:val="20"/>
    </w:rPr>
  </w:style>
  <w:style w:type="character" w:customStyle="1" w:styleId="C-Hyperlink">
    <w:name w:val="C-Hyperlink"/>
    <w:rsid w:val="00873F73"/>
    <w:rPr>
      <w:color w:val="0000FF"/>
    </w:rPr>
  </w:style>
  <w:style w:type="character" w:customStyle="1" w:styleId="C-TableCallout">
    <w:name w:val="C-Table Callout"/>
    <w:rsid w:val="00873F73"/>
    <w:rPr>
      <w:rFonts w:ascii="Times New Roman" w:hAnsi="Times New Roman"/>
      <w:dstrike w:val="0"/>
      <w:color w:val="auto"/>
      <w:spacing w:val="0"/>
      <w:w w:val="100"/>
      <w:position w:val="0"/>
      <w:sz w:val="22"/>
      <w:szCs w:val="22"/>
      <w:u w:val="none"/>
      <w:effect w:val="none"/>
      <w:vertAlign w:val="superscript"/>
      <w:em w:val="none"/>
    </w:rPr>
  </w:style>
  <w:style w:type="character" w:customStyle="1" w:styleId="C-TableTextChar">
    <w:name w:val="C-Table Text Char"/>
    <w:link w:val="C-TableText"/>
    <w:locked/>
    <w:rsid w:val="00873F73"/>
    <w:rPr>
      <w:rFonts w:ascii="Times New Roman" w:eastAsia="Times New Roman" w:hAnsi="Times New Roman" w:cs="Times New Roman"/>
      <w:szCs w:val="20"/>
    </w:rPr>
  </w:style>
  <w:style w:type="character" w:customStyle="1" w:styleId="C-TableHeaderChar">
    <w:name w:val="C-Table Header Char"/>
    <w:link w:val="C-TableHeader"/>
    <w:locked/>
    <w:rsid w:val="00873F73"/>
    <w:rPr>
      <w:rFonts w:ascii="Times New Roman" w:eastAsia="Times New Roman" w:hAnsi="Times New Roman" w:cs="Times New Roman"/>
      <w:b/>
      <w:szCs w:val="20"/>
    </w:rPr>
  </w:style>
  <w:style w:type="paragraph" w:styleId="BodyText">
    <w:name w:val="Body Text"/>
    <w:basedOn w:val="Normal"/>
    <w:link w:val="BodyTextChar"/>
    <w:rsid w:val="006658A3"/>
    <w:pPr>
      <w:spacing w:after="12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rsid w:val="006658A3"/>
    <w:rPr>
      <w:rFonts w:ascii="Times New Roman" w:eastAsia="Times New Roman" w:hAnsi="Times New Roman" w:cs="Arial"/>
      <w:sz w:val="24"/>
      <w:szCs w:val="20"/>
    </w:rPr>
  </w:style>
  <w:style w:type="paragraph" w:customStyle="1" w:styleId="TableParagraph">
    <w:name w:val="Table Paragraph"/>
    <w:basedOn w:val="Normal"/>
    <w:uiPriority w:val="1"/>
    <w:qFormat/>
    <w:rsid w:val="00C02A93"/>
    <w:pPr>
      <w:autoSpaceDE w:val="0"/>
      <w:autoSpaceDN w:val="0"/>
      <w:adjustRightInd w:val="0"/>
      <w:spacing w:before="57" w:after="0" w:line="240" w:lineRule="auto"/>
      <w:ind w:left="107"/>
    </w:pPr>
    <w:rPr>
      <w:rFonts w:ascii="Times New Roman" w:hAnsi="Times New Roman" w:cs="Times New Roman"/>
      <w:sz w:val="24"/>
      <w:szCs w:val="24"/>
    </w:rPr>
  </w:style>
  <w:style w:type="paragraph" w:styleId="ListParagraph">
    <w:name w:val="List Paragraph"/>
    <w:basedOn w:val="Normal"/>
    <w:uiPriority w:val="34"/>
    <w:qFormat/>
    <w:rsid w:val="001E3A57"/>
    <w:pPr>
      <w:ind w:left="720"/>
      <w:contextualSpacing/>
    </w:pPr>
  </w:style>
  <w:style w:type="paragraph" w:customStyle="1" w:styleId="EndNoteBibliographyTitle">
    <w:name w:val="EndNote Bibliography Title"/>
    <w:basedOn w:val="Normal"/>
    <w:link w:val="EndNoteBibliographyTitleChar"/>
    <w:rsid w:val="00302D86"/>
    <w:pPr>
      <w:spacing w:after="0"/>
      <w:jc w:val="center"/>
    </w:pPr>
    <w:rPr>
      <w:rFonts w:ascii="Calibri" w:hAnsi="Calibri"/>
      <w:noProof/>
    </w:rPr>
  </w:style>
  <w:style w:type="character" w:customStyle="1" w:styleId="C-BodyTextChar">
    <w:name w:val="C-Body Text Char"/>
    <w:basedOn w:val="DefaultParagraphFont"/>
    <w:link w:val="C-BodyText"/>
    <w:rsid w:val="00302D86"/>
    <w:rPr>
      <w:rFonts w:ascii="Times New Roman" w:eastAsia="Times New Roman" w:hAnsi="Times New Roman" w:cs="Times New Roman"/>
      <w:sz w:val="24"/>
      <w:szCs w:val="20"/>
    </w:rPr>
  </w:style>
  <w:style w:type="character" w:customStyle="1" w:styleId="EndNoteBibliographyTitleChar">
    <w:name w:val="EndNote Bibliography Title Char"/>
    <w:basedOn w:val="C-BodyTextChar"/>
    <w:link w:val="EndNoteBibliographyTitle"/>
    <w:rsid w:val="00302D86"/>
    <w:rPr>
      <w:rFonts w:ascii="Calibri" w:eastAsia="Times New Roman" w:hAnsi="Calibri" w:cs="Times New Roman"/>
      <w:noProof/>
      <w:sz w:val="24"/>
      <w:szCs w:val="20"/>
    </w:rPr>
  </w:style>
  <w:style w:type="paragraph" w:customStyle="1" w:styleId="EndNoteBibliography">
    <w:name w:val="EndNote Bibliography"/>
    <w:basedOn w:val="Normal"/>
    <w:link w:val="EndNoteBibliographyChar"/>
    <w:rsid w:val="00302D86"/>
    <w:pPr>
      <w:spacing w:line="240" w:lineRule="auto"/>
    </w:pPr>
    <w:rPr>
      <w:rFonts w:ascii="Calibri" w:hAnsi="Calibri"/>
      <w:noProof/>
    </w:rPr>
  </w:style>
  <w:style w:type="character" w:customStyle="1" w:styleId="EndNoteBibliographyChar">
    <w:name w:val="EndNote Bibliography Char"/>
    <w:basedOn w:val="C-BodyTextChar"/>
    <w:link w:val="EndNoteBibliography"/>
    <w:rsid w:val="00302D86"/>
    <w:rPr>
      <w:rFonts w:ascii="Calibri" w:eastAsia="Times New Roman" w:hAnsi="Calibri" w:cs="Times New Roman"/>
      <w:noProof/>
      <w:sz w:val="24"/>
      <w:szCs w:val="20"/>
    </w:rPr>
  </w:style>
  <w:style w:type="character" w:styleId="CommentReference">
    <w:name w:val="annotation reference"/>
    <w:basedOn w:val="DefaultParagraphFont"/>
    <w:uiPriority w:val="99"/>
    <w:semiHidden/>
    <w:unhideWhenUsed/>
    <w:rsid w:val="00E06192"/>
    <w:rPr>
      <w:sz w:val="16"/>
      <w:szCs w:val="16"/>
    </w:rPr>
  </w:style>
  <w:style w:type="paragraph" w:styleId="CommentText">
    <w:name w:val="annotation text"/>
    <w:basedOn w:val="Normal"/>
    <w:link w:val="CommentTextChar"/>
    <w:uiPriority w:val="99"/>
    <w:semiHidden/>
    <w:unhideWhenUsed/>
    <w:rsid w:val="00E06192"/>
    <w:pPr>
      <w:spacing w:line="240" w:lineRule="auto"/>
    </w:pPr>
    <w:rPr>
      <w:sz w:val="20"/>
      <w:szCs w:val="20"/>
    </w:rPr>
  </w:style>
  <w:style w:type="character" w:customStyle="1" w:styleId="CommentTextChar">
    <w:name w:val="Comment Text Char"/>
    <w:basedOn w:val="DefaultParagraphFont"/>
    <w:link w:val="CommentText"/>
    <w:uiPriority w:val="99"/>
    <w:semiHidden/>
    <w:rsid w:val="00E06192"/>
    <w:rPr>
      <w:sz w:val="20"/>
      <w:szCs w:val="20"/>
    </w:rPr>
  </w:style>
  <w:style w:type="paragraph" w:styleId="CommentSubject">
    <w:name w:val="annotation subject"/>
    <w:basedOn w:val="CommentText"/>
    <w:next w:val="CommentText"/>
    <w:link w:val="CommentSubjectChar"/>
    <w:uiPriority w:val="99"/>
    <w:semiHidden/>
    <w:unhideWhenUsed/>
    <w:rsid w:val="00E06192"/>
    <w:rPr>
      <w:b/>
      <w:bCs/>
    </w:rPr>
  </w:style>
  <w:style w:type="character" w:customStyle="1" w:styleId="CommentSubjectChar">
    <w:name w:val="Comment Subject Char"/>
    <w:basedOn w:val="CommentTextChar"/>
    <w:link w:val="CommentSubject"/>
    <w:uiPriority w:val="99"/>
    <w:semiHidden/>
    <w:rsid w:val="00E06192"/>
    <w:rPr>
      <w:b/>
      <w:bCs/>
      <w:sz w:val="20"/>
      <w:szCs w:val="20"/>
    </w:rPr>
  </w:style>
  <w:style w:type="character" w:customStyle="1" w:styleId="Heading1Char">
    <w:name w:val="Heading 1 Char"/>
    <w:basedOn w:val="DefaultParagraphFont"/>
    <w:link w:val="Heading1"/>
    <w:uiPriority w:val="9"/>
    <w:rsid w:val="00DE06FE"/>
    <w:rPr>
      <w:rFonts w:ascii="Arial" w:eastAsia="Arial" w:hAnsi="Arial" w:cs="Arial"/>
      <w:b/>
      <w:bCs/>
      <w:lang w:bidi="en-US"/>
    </w:rPr>
  </w:style>
  <w:style w:type="paragraph" w:customStyle="1" w:styleId="SupplementaryMaterial">
    <w:name w:val="Supplementary Material"/>
    <w:basedOn w:val="Title"/>
    <w:next w:val="Title"/>
    <w:qFormat/>
    <w:rsid w:val="00F805C2"/>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Title">
    <w:name w:val="Title"/>
    <w:basedOn w:val="Normal"/>
    <w:next w:val="Normal"/>
    <w:link w:val="TitleChar"/>
    <w:uiPriority w:val="10"/>
    <w:qFormat/>
    <w:rsid w:val="00F805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5C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6416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Forsyth Institute</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Hasturk, Hatice</dc:creator>
  <cp:keywords/>
  <dc:description/>
  <cp:lastModifiedBy>Megan Bond</cp:lastModifiedBy>
  <cp:revision>2</cp:revision>
  <dcterms:created xsi:type="dcterms:W3CDTF">2021-08-23T10:58:00Z</dcterms:created>
  <dcterms:modified xsi:type="dcterms:W3CDTF">2021-08-23T10:58:00Z</dcterms:modified>
</cp:coreProperties>
</file>