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998"/>
        <w:gridCol w:w="1781"/>
        <w:gridCol w:w="1075"/>
      </w:tblGrid>
      <w:tr w:rsidR="007923C3" w14:paraId="10E6FB67" w14:textId="77777777" w:rsidTr="00746CC6">
        <w:tc>
          <w:tcPr>
            <w:tcW w:w="8385" w:type="dxa"/>
            <w:gridSpan w:val="5"/>
            <w:tcBorders>
              <w:bottom w:val="single" w:sz="4" w:space="0" w:color="auto"/>
            </w:tcBorders>
          </w:tcPr>
          <w:p w14:paraId="091BF732" w14:textId="77777777" w:rsidR="007923C3" w:rsidRPr="003428C1" w:rsidRDefault="00813398" w:rsidP="00813398">
            <w:pPr>
              <w:widowControl/>
              <w:jc w:val="both"/>
              <w:rPr>
                <w:rFonts w:ascii="Times New Roman" w:eastAsia="PMingLiU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eastAsia="PMingLiU" w:hAnsi="Times New Roman" w:cs="Times New Roman"/>
                <w:b/>
                <w:noProof/>
                <w:color w:val="000000" w:themeColor="text1"/>
                <w:sz w:val="24"/>
              </w:rPr>
              <w:t>Supplemental t</w:t>
            </w:r>
            <w:r w:rsidR="007923C3" w:rsidRPr="003428C1">
              <w:rPr>
                <w:rFonts w:ascii="Times New Roman" w:eastAsia="PMingLiU" w:hAnsi="Times New Roman" w:cs="Times New Roman"/>
                <w:b/>
                <w:noProof/>
                <w:color w:val="000000" w:themeColor="text1"/>
                <w:sz w:val="24"/>
              </w:rPr>
              <w:t xml:space="preserve">able </w:t>
            </w:r>
            <w:r>
              <w:rPr>
                <w:rFonts w:ascii="Times New Roman" w:eastAsia="PMingLiU" w:hAnsi="Times New Roman" w:cs="Times New Roman"/>
                <w:b/>
                <w:noProof/>
                <w:color w:val="000000" w:themeColor="text1"/>
                <w:sz w:val="24"/>
              </w:rPr>
              <w:t>1</w:t>
            </w:r>
            <w:r w:rsidR="007923C3" w:rsidRPr="003428C1">
              <w:rPr>
                <w:rFonts w:ascii="Times New Roman" w:eastAsia="PMingLiU" w:hAnsi="Times New Roman" w:cs="Times New Roman"/>
                <w:b/>
                <w:noProof/>
                <w:color w:val="000000" w:themeColor="text1"/>
                <w:sz w:val="24"/>
              </w:rPr>
              <w:t>. Stratified analyses for the association between benign breast diseases and Sjogren's syndrome risk</w:t>
            </w:r>
            <w:r w:rsidR="007923C3">
              <w:rPr>
                <w:rFonts w:ascii="Times New Roman" w:eastAsia="PMingLiU" w:hAnsi="Times New Roman" w:cs="Times New Roman" w:hint="eastAsia"/>
                <w:b/>
                <w:noProof/>
                <w:color w:val="000000" w:themeColor="text1"/>
                <w:sz w:val="24"/>
              </w:rPr>
              <w:t xml:space="preserve"> </w:t>
            </w:r>
            <w:r w:rsidR="007923C3">
              <w:rPr>
                <w:rFonts w:ascii="Times New Roman" w:eastAsia="PMingLiU" w:hAnsi="Times New Roman" w:cs="Times New Roman"/>
                <w:b/>
                <w:noProof/>
                <w:color w:val="000000" w:themeColor="text1"/>
                <w:sz w:val="24"/>
              </w:rPr>
              <w:t xml:space="preserve">(1:20 matched subjects) </w:t>
            </w:r>
          </w:p>
        </w:tc>
      </w:tr>
      <w:tr w:rsidR="00CD46DA" w:rsidRPr="00CD46DA" w14:paraId="36573848" w14:textId="77777777" w:rsidTr="0059406E">
        <w:tc>
          <w:tcPr>
            <w:tcW w:w="2830" w:type="dxa"/>
            <w:tcBorders>
              <w:top w:val="single" w:sz="4" w:space="0" w:color="auto"/>
            </w:tcBorders>
          </w:tcPr>
          <w:p w14:paraId="084767C7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</w:tcPr>
          <w:p w14:paraId="3664EA1A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noProof/>
                <w:sz w:val="24"/>
              </w:rPr>
            </w:pPr>
            <w:r w:rsidRPr="00CD46DA">
              <w:rPr>
                <w:rFonts w:ascii="Times New Roman" w:eastAsia="PMingLiU" w:hAnsi="Times New Roman" w:cs="Times New Roman"/>
                <w:b/>
                <w:noProof/>
                <w:sz w:val="22"/>
              </w:rPr>
              <w:t>Fibrocystic breast disease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</w:tcBorders>
          </w:tcPr>
          <w:p w14:paraId="5875B2BF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noProof/>
                <w:sz w:val="24"/>
              </w:rPr>
            </w:pPr>
            <w:r w:rsidRPr="00CD46DA">
              <w:rPr>
                <w:rFonts w:ascii="Times New Roman" w:eastAsia="PMingLiU" w:hAnsi="Times New Roman" w:cs="Times New Roman"/>
                <w:b/>
                <w:noProof/>
                <w:sz w:val="22"/>
              </w:rPr>
              <w:t>Mastitis</w:t>
            </w:r>
          </w:p>
        </w:tc>
      </w:tr>
      <w:tr w:rsidR="00CD46DA" w:rsidRPr="00CD46DA" w14:paraId="65DD844F" w14:textId="77777777" w:rsidTr="0059406E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6F567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42B0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  <w:sz w:val="22"/>
              </w:rPr>
            </w:pPr>
            <w:proofErr w:type="spellStart"/>
            <w:r w:rsidRPr="00CD46DA">
              <w:rPr>
                <w:rFonts w:ascii="Times New Roman" w:hAnsi="Times New Roman" w:cs="Times New Roman"/>
                <w:sz w:val="22"/>
              </w:rPr>
              <w:t>aOR</w:t>
            </w:r>
            <w:proofErr w:type="spellEnd"/>
            <w:r w:rsidRPr="00CD46DA">
              <w:rPr>
                <w:rFonts w:ascii="Times New Roman" w:hAnsi="Times New Roman" w:cs="Times New Roman"/>
                <w:sz w:val="22"/>
              </w:rPr>
              <w:t xml:space="preserve"> (95% CI)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844B6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  <w:sz w:val="22"/>
              </w:rPr>
            </w:pPr>
            <w:r w:rsidRPr="00CD46DA">
              <w:rPr>
                <w:rFonts w:ascii="Times New Roman" w:hAnsi="Times New Roman" w:cs="Times New Roman" w:hint="eastAsia"/>
                <w:sz w:val="22"/>
              </w:rPr>
              <w:t>p*</w:t>
            </w:r>
            <w:r w:rsidRPr="00CD46D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CDBD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  <w:sz w:val="22"/>
              </w:rPr>
            </w:pPr>
            <w:proofErr w:type="spellStart"/>
            <w:r w:rsidRPr="00CD46DA">
              <w:rPr>
                <w:rFonts w:ascii="Times New Roman" w:hAnsi="Times New Roman" w:cs="Times New Roman"/>
                <w:sz w:val="22"/>
              </w:rPr>
              <w:t>aOR</w:t>
            </w:r>
            <w:proofErr w:type="spellEnd"/>
            <w:r w:rsidRPr="00CD46DA">
              <w:rPr>
                <w:rFonts w:ascii="Times New Roman" w:hAnsi="Times New Roman" w:cs="Times New Roman"/>
                <w:sz w:val="22"/>
              </w:rPr>
              <w:t xml:space="preserve"> (95% CI)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19A69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  <w:sz w:val="22"/>
              </w:rPr>
            </w:pPr>
            <w:r w:rsidRPr="00CD46DA">
              <w:rPr>
                <w:rFonts w:ascii="Times New Roman" w:hAnsi="Times New Roman" w:cs="Times New Roman" w:hint="eastAsia"/>
                <w:sz w:val="22"/>
              </w:rPr>
              <w:t>p*</w:t>
            </w:r>
            <w:r w:rsidRPr="00CD46D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CD46DA" w:rsidRPr="00CD46DA" w14:paraId="03E5484A" w14:textId="77777777" w:rsidTr="0059406E"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9C68D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  <w:b/>
                <w:bCs/>
              </w:rPr>
              <w:t>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1918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66997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0.026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D7E5A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51AE2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0.026</w:t>
            </w:r>
          </w:p>
        </w:tc>
      </w:tr>
      <w:tr w:rsidR="00CD46DA" w:rsidRPr="00CD46DA" w14:paraId="4D50EF56" w14:textId="77777777" w:rsidTr="0059406E">
        <w:tc>
          <w:tcPr>
            <w:tcW w:w="2830" w:type="dxa"/>
            <w:shd w:val="clear" w:color="auto" w:fill="auto"/>
            <w:vAlign w:val="center"/>
          </w:tcPr>
          <w:p w14:paraId="0E12FFD9" w14:textId="77777777" w:rsidR="00746CC6" w:rsidRPr="00CD46DA" w:rsidRDefault="00746CC6" w:rsidP="00325EFE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PMingLiU" w:eastAsia="PMingLiU" w:hAnsi="PMingLiU" w:cs="PMingLiU" w:hint="eastAsia"/>
              </w:rPr>
              <w:t>≦</w:t>
            </w:r>
            <w:r w:rsidRPr="00CD46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DEDD2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1.43 (1.17–1.74)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9376E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03BE5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1.43 (1.17–1.74)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69E39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499DA192" w14:textId="77777777" w:rsidTr="0059406E">
        <w:tc>
          <w:tcPr>
            <w:tcW w:w="2830" w:type="dxa"/>
            <w:shd w:val="clear" w:color="auto" w:fill="auto"/>
            <w:vAlign w:val="center"/>
          </w:tcPr>
          <w:p w14:paraId="34FA8F2F" w14:textId="77777777" w:rsidR="00746CC6" w:rsidRPr="00CD46DA" w:rsidRDefault="00325EFE" w:rsidP="00325EFE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 w:hint="eastAsia"/>
              </w:rPr>
              <w:t>40-</w:t>
            </w:r>
            <w:r w:rsidR="00746CC6" w:rsidRPr="00CD46D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3C8DB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1.81 (1.67–1.97)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D37AD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DB194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1.81 (1.67–1.97)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24A6A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49991594" w14:textId="77777777" w:rsidTr="0059406E">
        <w:tc>
          <w:tcPr>
            <w:tcW w:w="2830" w:type="dxa"/>
            <w:shd w:val="clear" w:color="auto" w:fill="auto"/>
            <w:vAlign w:val="center"/>
          </w:tcPr>
          <w:p w14:paraId="3F4C2871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PMingLiU" w:eastAsia="PMingLiU" w:hAnsi="PMingLiU" w:cs="PMingLiU" w:hint="eastAsia"/>
              </w:rPr>
              <w:t>≧</w:t>
            </w:r>
            <w:r w:rsidRPr="00CD46D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85F0D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3.19 (3.17–3.20)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540F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C913A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3.19 (3.17–3.20)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C2661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504D9A83" w14:textId="77777777" w:rsidTr="0059406E">
        <w:tc>
          <w:tcPr>
            <w:tcW w:w="2830" w:type="dxa"/>
            <w:shd w:val="clear" w:color="auto" w:fill="auto"/>
          </w:tcPr>
          <w:p w14:paraId="10DDAD67" w14:textId="77777777" w:rsidR="0059406E" w:rsidRPr="00CD46DA" w:rsidRDefault="0059406E" w:rsidP="0059406E">
            <w:pPr>
              <w:widowControl/>
              <w:rPr>
                <w:rFonts w:ascii="Times New Roman" w:eastAsia="PMingLiU" w:hAnsi="Times New Roman" w:cs="Times New Roman"/>
                <w:b/>
                <w:noProof/>
              </w:rPr>
            </w:pPr>
            <w:r w:rsidRPr="00CD46DA">
              <w:rPr>
                <w:rFonts w:ascii="Times New Roman" w:hAnsi="Times New Roman" w:cs="Times New Roman"/>
                <w:b/>
                <w:bCs/>
              </w:rPr>
              <w:t xml:space="preserve">Frequency of OPD </w:t>
            </w:r>
            <w:proofErr w:type="spellStart"/>
            <w:r w:rsidRPr="00CD46DA">
              <w:rPr>
                <w:rFonts w:ascii="Times New Roman" w:hAnsi="Times New Roman" w:cs="Times New Roman"/>
                <w:b/>
                <w:bCs/>
              </w:rPr>
              <w:t>visit</w:t>
            </w:r>
            <w:r w:rsidRPr="00CD46DA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20BB5" w14:textId="77777777" w:rsidR="0059406E" w:rsidRPr="00CD46DA" w:rsidRDefault="0059406E" w:rsidP="0059406E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7D694" w14:textId="77777777" w:rsidR="0059406E" w:rsidRPr="00CD46DA" w:rsidRDefault="0059406E" w:rsidP="0059406E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0.636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FAB9A" w14:textId="77777777" w:rsidR="0059406E" w:rsidRPr="00CD46DA" w:rsidRDefault="0059406E" w:rsidP="0059406E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729DC" w14:textId="77777777" w:rsidR="0059406E" w:rsidRPr="00CD46DA" w:rsidRDefault="0059406E" w:rsidP="0059406E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0.636</w:t>
            </w:r>
          </w:p>
        </w:tc>
      </w:tr>
      <w:tr w:rsidR="00CD46DA" w:rsidRPr="00CD46DA" w14:paraId="3DA8570F" w14:textId="77777777" w:rsidTr="0059406E">
        <w:tc>
          <w:tcPr>
            <w:tcW w:w="2830" w:type="dxa"/>
            <w:shd w:val="clear" w:color="auto" w:fill="auto"/>
          </w:tcPr>
          <w:p w14:paraId="4C2D7944" w14:textId="77777777" w:rsidR="0059406E" w:rsidRPr="00CD46DA" w:rsidRDefault="0059406E" w:rsidP="0059406E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Lower than median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21234" w14:textId="77777777" w:rsidR="0059406E" w:rsidRPr="00CD46DA" w:rsidRDefault="0059406E" w:rsidP="0059406E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1.73 (1.47–2.05)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108F8" w14:textId="77777777" w:rsidR="0059406E" w:rsidRPr="00CD46DA" w:rsidRDefault="0059406E" w:rsidP="0059406E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1CEC9" w14:textId="77777777" w:rsidR="0059406E" w:rsidRPr="00CD46DA" w:rsidRDefault="0059406E" w:rsidP="0059406E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1.73 (1.47–2.05)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6D3CD" w14:textId="77777777" w:rsidR="0059406E" w:rsidRPr="00CD46DA" w:rsidRDefault="0059406E" w:rsidP="0059406E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4C283EC8" w14:textId="77777777" w:rsidTr="0059406E">
        <w:tc>
          <w:tcPr>
            <w:tcW w:w="2830" w:type="dxa"/>
            <w:shd w:val="clear" w:color="auto" w:fill="auto"/>
          </w:tcPr>
          <w:p w14:paraId="7E20B063" w14:textId="77777777" w:rsidR="0059406E" w:rsidRPr="00CD46DA" w:rsidRDefault="0059406E" w:rsidP="0059406E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Higher than median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D348" w14:textId="77777777" w:rsidR="0059406E" w:rsidRPr="00CD46DA" w:rsidRDefault="0059406E" w:rsidP="0059406E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1.80 (1.67–1.95)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53AD0" w14:textId="77777777" w:rsidR="0059406E" w:rsidRPr="00CD46DA" w:rsidRDefault="0059406E" w:rsidP="0059406E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E063E" w14:textId="77777777" w:rsidR="0059406E" w:rsidRPr="00CD46DA" w:rsidRDefault="0059406E" w:rsidP="0059406E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1.80 (1.67–1.95)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259B4" w14:textId="77777777" w:rsidR="0059406E" w:rsidRPr="00CD46DA" w:rsidRDefault="0059406E" w:rsidP="0059406E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5E7BD492" w14:textId="77777777" w:rsidTr="0059406E">
        <w:tc>
          <w:tcPr>
            <w:tcW w:w="2830" w:type="dxa"/>
            <w:shd w:val="clear" w:color="auto" w:fill="auto"/>
          </w:tcPr>
          <w:p w14:paraId="3EFD6A2E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  <w:b/>
              </w:rPr>
              <w:t>Diabetes mellitus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F334A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F69C8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0.091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A1DEE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B3277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0.091</w:t>
            </w:r>
          </w:p>
        </w:tc>
      </w:tr>
      <w:tr w:rsidR="00CD46DA" w:rsidRPr="00CD46DA" w14:paraId="4BC9B19B" w14:textId="77777777" w:rsidTr="0059406E">
        <w:tc>
          <w:tcPr>
            <w:tcW w:w="2830" w:type="dxa"/>
            <w:shd w:val="clear" w:color="auto" w:fill="auto"/>
          </w:tcPr>
          <w:p w14:paraId="4F96E0F8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17491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1.71 (1.70–1.71)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1BCC9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44A40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1.71 (1.70–1.71)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1745B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0C9C86F7" w14:textId="77777777" w:rsidTr="0059406E">
        <w:tc>
          <w:tcPr>
            <w:tcW w:w="2830" w:type="dxa"/>
            <w:shd w:val="clear" w:color="auto" w:fill="auto"/>
          </w:tcPr>
          <w:p w14:paraId="13AF6C8A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3ACD2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2.32 (2.31–2.33)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9C116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1702B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2.32 (2.31–2.33)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8C8CE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515C7E07" w14:textId="77777777" w:rsidTr="0059406E">
        <w:tc>
          <w:tcPr>
            <w:tcW w:w="2830" w:type="dxa"/>
            <w:shd w:val="clear" w:color="auto" w:fill="auto"/>
          </w:tcPr>
          <w:p w14:paraId="6BF27C95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  <w:b/>
              </w:rPr>
              <w:t>Coronary artery disease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24B93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A3285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11CA4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49106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0.001</w:t>
            </w:r>
          </w:p>
        </w:tc>
      </w:tr>
      <w:tr w:rsidR="00CD46DA" w:rsidRPr="00CD46DA" w14:paraId="0A39BD9D" w14:textId="77777777" w:rsidTr="0059406E">
        <w:tc>
          <w:tcPr>
            <w:tcW w:w="2830" w:type="dxa"/>
            <w:shd w:val="clear" w:color="auto" w:fill="auto"/>
          </w:tcPr>
          <w:p w14:paraId="645BAD47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37BB9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1.74 (1.61–1.87)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E3683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DEBF3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1.74 (1.61–1.87)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19123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702922BD" w14:textId="77777777" w:rsidTr="0059406E">
        <w:tc>
          <w:tcPr>
            <w:tcW w:w="2830" w:type="dxa"/>
            <w:shd w:val="clear" w:color="auto" w:fill="auto"/>
          </w:tcPr>
          <w:p w14:paraId="642BF7F7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4A6F6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2.69 (2.10–3.45)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5D1E1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18C84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2.69 (2.10–3.45)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86D63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796934D6" w14:textId="77777777" w:rsidTr="0059406E">
        <w:tc>
          <w:tcPr>
            <w:tcW w:w="2830" w:type="dxa"/>
            <w:shd w:val="clear" w:color="auto" w:fill="auto"/>
          </w:tcPr>
          <w:p w14:paraId="75269A34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  <w:b/>
              </w:rPr>
              <w:t>Cerebral vascular accident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AC4F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D306F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7F514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1E98B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0.96</w:t>
            </w:r>
          </w:p>
        </w:tc>
      </w:tr>
      <w:tr w:rsidR="00CD46DA" w:rsidRPr="00CD46DA" w14:paraId="23B317CE" w14:textId="77777777" w:rsidTr="0059406E">
        <w:tc>
          <w:tcPr>
            <w:tcW w:w="2830" w:type="dxa"/>
            <w:shd w:val="clear" w:color="auto" w:fill="auto"/>
          </w:tcPr>
          <w:p w14:paraId="541CF08C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51FF8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1.79 (1.67–1.93)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8699F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8F4C5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1.79 (1.67–1.93)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2F4B9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6A1DAEDB" w14:textId="77777777" w:rsidTr="0059406E">
        <w:tc>
          <w:tcPr>
            <w:tcW w:w="2830" w:type="dxa"/>
            <w:shd w:val="clear" w:color="auto" w:fill="auto"/>
          </w:tcPr>
          <w:p w14:paraId="28A4EEF7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03346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1.73 (1.33–2.25)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BF174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AADA1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1.73 (1.33–2.25)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3E610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11464E13" w14:textId="77777777" w:rsidTr="0059406E">
        <w:tc>
          <w:tcPr>
            <w:tcW w:w="2830" w:type="dxa"/>
            <w:shd w:val="clear" w:color="auto" w:fill="auto"/>
          </w:tcPr>
          <w:p w14:paraId="0FC9E67F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proofErr w:type="spellStart"/>
            <w:r w:rsidRPr="00CD46DA">
              <w:rPr>
                <w:rFonts w:ascii="Times New Roman" w:hAnsi="Times New Roman" w:cs="Times New Roman"/>
                <w:b/>
              </w:rPr>
              <w:t>Hyperlipidaemia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C4EEF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CF487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A061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920F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0.018</w:t>
            </w:r>
          </w:p>
        </w:tc>
      </w:tr>
      <w:tr w:rsidR="00CD46DA" w:rsidRPr="00CD46DA" w14:paraId="2C26225F" w14:textId="77777777" w:rsidTr="0059406E">
        <w:tc>
          <w:tcPr>
            <w:tcW w:w="2830" w:type="dxa"/>
            <w:shd w:val="clear" w:color="auto" w:fill="auto"/>
          </w:tcPr>
          <w:p w14:paraId="512DF5DC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DD348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1.76 (1.76–1.76)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F739B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2E44A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1.76 (1.76–1.76)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CC2B3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3B9A2AA9" w14:textId="77777777" w:rsidTr="0059406E">
        <w:tc>
          <w:tcPr>
            <w:tcW w:w="2830" w:type="dxa"/>
            <w:shd w:val="clear" w:color="auto" w:fill="auto"/>
          </w:tcPr>
          <w:p w14:paraId="4E016C14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C25BE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2.50 (1.67–3.74)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0A1C6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AE1CE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2.50 (1.67–3.74)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54A25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173FC347" w14:textId="77777777" w:rsidTr="0059406E">
        <w:tc>
          <w:tcPr>
            <w:tcW w:w="2830" w:type="dxa"/>
            <w:shd w:val="clear" w:color="auto" w:fill="auto"/>
          </w:tcPr>
          <w:p w14:paraId="2463583C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  <w:b/>
              </w:rPr>
              <w:t>Hyperthyroidism/Thyroiditis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CAA2D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9328D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0.014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51986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0FC67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0.014</w:t>
            </w:r>
          </w:p>
        </w:tc>
      </w:tr>
      <w:tr w:rsidR="00CD46DA" w:rsidRPr="00CD46DA" w14:paraId="4E2D367E" w14:textId="77777777" w:rsidTr="0059406E">
        <w:tc>
          <w:tcPr>
            <w:tcW w:w="2830" w:type="dxa"/>
            <w:shd w:val="clear" w:color="auto" w:fill="auto"/>
          </w:tcPr>
          <w:p w14:paraId="043335B1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F71F0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1.74 (1.61–1.88)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2C539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50F06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1.74 (1.61–1.88)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E21A3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132431A9" w14:textId="77777777" w:rsidTr="0059406E">
        <w:tc>
          <w:tcPr>
            <w:tcW w:w="2830" w:type="dxa"/>
            <w:shd w:val="clear" w:color="auto" w:fill="auto"/>
          </w:tcPr>
          <w:p w14:paraId="3790562B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673A8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2.07 (1.74–2.45)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FCB2D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23A57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2.07 (1.74–2.45)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4EFE7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5AA06B9D" w14:textId="77777777" w:rsidTr="0059406E">
        <w:tc>
          <w:tcPr>
            <w:tcW w:w="2830" w:type="dxa"/>
            <w:shd w:val="clear" w:color="auto" w:fill="auto"/>
          </w:tcPr>
          <w:p w14:paraId="6E91D178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  <w:b/>
              </w:rPr>
              <w:t>Bronchiectasis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DE7D2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34D9C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0.736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55049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5C8AC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0.736</w:t>
            </w:r>
          </w:p>
        </w:tc>
      </w:tr>
      <w:tr w:rsidR="00CD46DA" w:rsidRPr="00CD46DA" w14:paraId="7B5696E9" w14:textId="77777777" w:rsidTr="0059406E">
        <w:tc>
          <w:tcPr>
            <w:tcW w:w="2830" w:type="dxa"/>
            <w:shd w:val="clear" w:color="auto" w:fill="auto"/>
          </w:tcPr>
          <w:p w14:paraId="574D4D0F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22F49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1.79 (1.66–1.92)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E081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D9EA9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1.79 (1.66–1.92)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CA583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1EE8D39F" w14:textId="77777777" w:rsidTr="0059406E">
        <w:tc>
          <w:tcPr>
            <w:tcW w:w="2830" w:type="dxa"/>
            <w:shd w:val="clear" w:color="auto" w:fill="auto"/>
          </w:tcPr>
          <w:p w14:paraId="43E86074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92D10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1.85 (1.29–2.65)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2A05E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F2305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1.85 (1.29–2.65)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F4DD0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25C86200" w14:textId="77777777" w:rsidTr="0059406E">
        <w:tc>
          <w:tcPr>
            <w:tcW w:w="2830" w:type="dxa"/>
            <w:shd w:val="clear" w:color="auto" w:fill="auto"/>
            <w:vAlign w:val="center"/>
          </w:tcPr>
          <w:p w14:paraId="650B30EF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  <w:b/>
              </w:rPr>
              <w:t>Hepatitis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272C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8C7D6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0.652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7122A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0C2A8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0.652</w:t>
            </w:r>
          </w:p>
        </w:tc>
      </w:tr>
      <w:tr w:rsidR="00CD46DA" w:rsidRPr="00CD46DA" w14:paraId="57928E89" w14:textId="77777777" w:rsidTr="0059406E">
        <w:tc>
          <w:tcPr>
            <w:tcW w:w="2830" w:type="dxa"/>
            <w:shd w:val="clear" w:color="auto" w:fill="auto"/>
          </w:tcPr>
          <w:p w14:paraId="136471F8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4F404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1.79 (1.67–1.92)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1E46B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4A1BA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1.79 (1.67–1.92)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D5A00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145F65CE" w14:textId="77777777" w:rsidTr="0059406E">
        <w:tc>
          <w:tcPr>
            <w:tcW w:w="2830" w:type="dxa"/>
            <w:shd w:val="clear" w:color="auto" w:fill="auto"/>
          </w:tcPr>
          <w:p w14:paraId="2C730420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1F7BF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1.83 (0.40–8.32)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A3619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A4383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1.83 (0.40–8.32)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CB7AE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2C013CE2" w14:textId="77777777" w:rsidTr="0059406E">
        <w:tc>
          <w:tcPr>
            <w:tcW w:w="2830" w:type="dxa"/>
            <w:shd w:val="clear" w:color="auto" w:fill="auto"/>
          </w:tcPr>
          <w:p w14:paraId="2AD15047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  <w:b/>
                <w:i/>
              </w:rPr>
              <w:t>H. pylori</w:t>
            </w:r>
            <w:r w:rsidRPr="00CD46DA">
              <w:rPr>
                <w:rFonts w:ascii="Times New Roman" w:hAnsi="Times New Roman" w:cs="Times New Roman"/>
                <w:b/>
              </w:rPr>
              <w:t xml:space="preserve"> infection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6F5D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A05C5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0.174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C3F3E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2FDD8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0.174</w:t>
            </w:r>
          </w:p>
        </w:tc>
      </w:tr>
      <w:tr w:rsidR="00CD46DA" w:rsidRPr="00CD46DA" w14:paraId="12E191AD" w14:textId="77777777" w:rsidTr="0059406E">
        <w:tc>
          <w:tcPr>
            <w:tcW w:w="2830" w:type="dxa"/>
            <w:shd w:val="clear" w:color="auto" w:fill="auto"/>
          </w:tcPr>
          <w:p w14:paraId="468975C7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83EAB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1.81 (1.68–1.95)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8E4C2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CE0FC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1.81 (1.68–1.95)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FFCCA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4CF41C24" w14:textId="77777777" w:rsidTr="0059406E">
        <w:tc>
          <w:tcPr>
            <w:tcW w:w="2830" w:type="dxa"/>
            <w:shd w:val="clear" w:color="auto" w:fill="auto"/>
          </w:tcPr>
          <w:p w14:paraId="729E477A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904E9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1.46 (1.01–2.10)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E4691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62667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1.46 (1.01–2.10)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C35AD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7577B299" w14:textId="77777777" w:rsidTr="0059406E">
        <w:tc>
          <w:tcPr>
            <w:tcW w:w="2830" w:type="dxa"/>
            <w:shd w:val="clear" w:color="auto" w:fill="auto"/>
          </w:tcPr>
          <w:p w14:paraId="4BE8794E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  <w:b/>
              </w:rPr>
              <w:t>NTM infection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27237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46965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0.778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1120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9AC66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0.778</w:t>
            </w:r>
          </w:p>
        </w:tc>
      </w:tr>
      <w:tr w:rsidR="00CD46DA" w:rsidRPr="00CD46DA" w14:paraId="728F5BC8" w14:textId="77777777" w:rsidTr="0059406E">
        <w:tc>
          <w:tcPr>
            <w:tcW w:w="2830" w:type="dxa"/>
            <w:shd w:val="clear" w:color="auto" w:fill="auto"/>
          </w:tcPr>
          <w:p w14:paraId="0C0B9DEF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6812A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1.78 (1.78–1.79)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5E998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550C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1.78 (1.78–1.79)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E6541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4D3BFB21" w14:textId="77777777" w:rsidTr="0059406E">
        <w:tc>
          <w:tcPr>
            <w:tcW w:w="2830" w:type="dxa"/>
            <w:shd w:val="clear" w:color="auto" w:fill="auto"/>
          </w:tcPr>
          <w:p w14:paraId="00C0FA87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7ABB1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1.77 (1.03–3.04)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263F1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0F432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1.77 (1.03–3.04)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4DC15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5747673F" w14:textId="77777777" w:rsidTr="0059406E">
        <w:tc>
          <w:tcPr>
            <w:tcW w:w="2830" w:type="dxa"/>
            <w:shd w:val="clear" w:color="auto" w:fill="auto"/>
          </w:tcPr>
          <w:p w14:paraId="111DF13D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  <w:b/>
              </w:rPr>
              <w:lastRenderedPageBreak/>
              <w:t>Ankylosing spondylitis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C793E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40F53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0.992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A7CA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DB28B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0.992</w:t>
            </w:r>
          </w:p>
        </w:tc>
      </w:tr>
      <w:tr w:rsidR="00CD46DA" w:rsidRPr="00CD46DA" w14:paraId="542C6D31" w14:textId="77777777" w:rsidTr="0059406E">
        <w:tc>
          <w:tcPr>
            <w:tcW w:w="2830" w:type="dxa"/>
            <w:shd w:val="clear" w:color="auto" w:fill="auto"/>
          </w:tcPr>
          <w:p w14:paraId="6950B353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C7661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1.79 (1.67–1.93)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6516A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E11C0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1.79 (1.67–1.93)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B95BE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05EDDAD3" w14:textId="77777777" w:rsidTr="0059406E">
        <w:tc>
          <w:tcPr>
            <w:tcW w:w="2830" w:type="dxa"/>
            <w:shd w:val="clear" w:color="auto" w:fill="auto"/>
          </w:tcPr>
          <w:p w14:paraId="4765E278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DDE20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1.54 (0.20–12.03)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F44DE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F149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1.54 (0.20–12.03)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24215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20394FAF" w14:textId="77777777" w:rsidTr="0059406E">
        <w:tc>
          <w:tcPr>
            <w:tcW w:w="2830" w:type="dxa"/>
            <w:shd w:val="clear" w:color="auto" w:fill="auto"/>
          </w:tcPr>
          <w:p w14:paraId="10F0972A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  <w:b/>
              </w:rPr>
              <w:t>Osteoporosis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3D6CF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4B803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0.951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42BD2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2043B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0.951</w:t>
            </w:r>
          </w:p>
        </w:tc>
      </w:tr>
      <w:tr w:rsidR="00CD46DA" w:rsidRPr="00CD46DA" w14:paraId="4D55A67C" w14:textId="77777777" w:rsidTr="0059406E">
        <w:tc>
          <w:tcPr>
            <w:tcW w:w="2830" w:type="dxa"/>
            <w:shd w:val="clear" w:color="auto" w:fill="auto"/>
          </w:tcPr>
          <w:p w14:paraId="51B2B6FA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7CD2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1.79 (1.67–1.92)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B629F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361E6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1.79 (1.67–1.92)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FA339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35AF6340" w14:textId="77777777" w:rsidTr="0059406E">
        <w:tc>
          <w:tcPr>
            <w:tcW w:w="2830" w:type="dxa"/>
            <w:shd w:val="clear" w:color="auto" w:fill="auto"/>
          </w:tcPr>
          <w:p w14:paraId="69E0C8A6" w14:textId="77777777" w:rsidR="00746CC6" w:rsidRPr="00CD46DA" w:rsidRDefault="00746CC6" w:rsidP="00746CC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E6DD4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1.98 (1.24–3.14)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862F0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87404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1.98 (1.24–3.14)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7ADB2" w14:textId="77777777" w:rsidR="00746CC6" w:rsidRPr="00CD46DA" w:rsidRDefault="00746CC6" w:rsidP="00746CC6">
            <w:pPr>
              <w:widowControl/>
              <w:jc w:val="center"/>
              <w:rPr>
                <w:rFonts w:ascii="Times New Roman" w:eastAsia="PMingLiU" w:hAnsi="Times New Roman" w:cs="Times New Roman"/>
                <w:noProof/>
              </w:rPr>
            </w:pPr>
          </w:p>
        </w:tc>
      </w:tr>
      <w:tr w:rsidR="00CD46DA" w:rsidRPr="00CD46DA" w14:paraId="460874B1" w14:textId="77777777" w:rsidTr="00746CC6">
        <w:tc>
          <w:tcPr>
            <w:tcW w:w="83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F6312" w14:textId="77777777" w:rsidR="007923C3" w:rsidRPr="00CD46DA" w:rsidRDefault="007923C3" w:rsidP="00B0441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  <w:r w:rsidRPr="00CD46DA">
              <w:rPr>
                <w:rFonts w:ascii="Times New Roman" w:hAnsi="Times New Roman" w:cs="Times New Roman"/>
              </w:rPr>
              <w:t>*</w:t>
            </w:r>
            <w:r w:rsidRPr="00CD46DA">
              <w:rPr>
                <w:rFonts w:ascii="Times New Roman" w:hAnsi="Times New Roman" w:cs="Times New Roman" w:hint="eastAsia"/>
              </w:rPr>
              <w:t>p</w:t>
            </w:r>
            <w:r w:rsidRPr="00CD46DA">
              <w:rPr>
                <w:rFonts w:ascii="Times New Roman" w:hAnsi="Times New Roman" w:cs="Times New Roman"/>
              </w:rPr>
              <w:t xml:space="preserve"> for interaction</w:t>
            </w:r>
            <w:r w:rsidR="00634D68" w:rsidRPr="00CD46DA">
              <w:rPr>
                <w:rFonts w:ascii="Times New Roman" w:hAnsi="Times New Roman" w:cs="Times New Roman"/>
              </w:rPr>
              <w:t>.</w:t>
            </w:r>
            <w:r w:rsidRPr="00CD46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4D68" w:rsidRPr="00CD46DA">
              <w:rPr>
                <w:rFonts w:ascii="Times New Roman" w:hAnsi="Times New Roman" w:cs="Times New Roman"/>
                <w:vertAlign w:val="superscript"/>
              </w:rPr>
              <w:t>a</w:t>
            </w:r>
            <w:r w:rsidR="00634D68" w:rsidRPr="00CD46DA">
              <w:rPr>
                <w:rFonts w:ascii="Times New Roman" w:hAnsi="Times New Roman" w:cs="Times New Roman"/>
              </w:rPr>
              <w:t>Frequency</w:t>
            </w:r>
            <w:proofErr w:type="spellEnd"/>
            <w:r w:rsidR="00634D68" w:rsidRPr="00CD46DA">
              <w:rPr>
                <w:rFonts w:ascii="Times New Roman" w:hAnsi="Times New Roman" w:cs="Times New Roman"/>
              </w:rPr>
              <w:t xml:space="preserve"> of outpatient department visits within one year of diagnosis of </w:t>
            </w:r>
            <w:proofErr w:type="spellStart"/>
            <w:r w:rsidR="00634D68" w:rsidRPr="00CD46DA">
              <w:rPr>
                <w:rFonts w:ascii="Times New Roman" w:hAnsi="Times New Roman" w:cs="Times New Roman"/>
              </w:rPr>
              <w:t>pSS</w:t>
            </w:r>
            <w:proofErr w:type="spellEnd"/>
            <w:r w:rsidR="00634D68" w:rsidRPr="00CD46DA">
              <w:rPr>
                <w:rFonts w:ascii="Times New Roman" w:hAnsi="Times New Roman" w:cs="Times New Roman"/>
              </w:rPr>
              <w:t xml:space="preserve">. </w:t>
            </w:r>
            <w:r w:rsidR="00634D68" w:rsidRPr="00CD46DA">
              <w:rPr>
                <w:rFonts w:ascii="Times New Roman" w:hAnsi="Times New Roman" w:cs="Times New Roman"/>
                <w:bCs/>
              </w:rPr>
              <w:t>Abbreviations:</w:t>
            </w:r>
            <w:r w:rsidR="00634D68" w:rsidRPr="00CD46DA">
              <w:rPr>
                <w:rFonts w:ascii="Times New Roman" w:hAnsi="Times New Roman" w:cs="Times New Roman"/>
              </w:rPr>
              <w:t xml:space="preserve"> OPD, outpatient department; NTM, nontuberculous mycobacteria.</w:t>
            </w:r>
          </w:p>
        </w:tc>
      </w:tr>
      <w:tr w:rsidR="007923C3" w:rsidRPr="00CD46DA" w14:paraId="3EE88E72" w14:textId="77777777" w:rsidTr="0059406E">
        <w:tc>
          <w:tcPr>
            <w:tcW w:w="2830" w:type="dxa"/>
          </w:tcPr>
          <w:p w14:paraId="4D718B42" w14:textId="77777777" w:rsidR="007923C3" w:rsidRPr="00CD46DA" w:rsidRDefault="007923C3" w:rsidP="00B0441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01" w:type="dxa"/>
          </w:tcPr>
          <w:p w14:paraId="17F83E77" w14:textId="77777777" w:rsidR="007923C3" w:rsidRPr="00CD46DA" w:rsidRDefault="007923C3" w:rsidP="00B0441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998" w:type="dxa"/>
          </w:tcPr>
          <w:p w14:paraId="29812CC1" w14:textId="77777777" w:rsidR="007923C3" w:rsidRPr="00CD46DA" w:rsidRDefault="007923C3" w:rsidP="00B0441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781" w:type="dxa"/>
          </w:tcPr>
          <w:p w14:paraId="5B9EB391" w14:textId="77777777" w:rsidR="007923C3" w:rsidRPr="00CD46DA" w:rsidRDefault="007923C3" w:rsidP="00B0441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</w:p>
        </w:tc>
        <w:tc>
          <w:tcPr>
            <w:tcW w:w="1075" w:type="dxa"/>
          </w:tcPr>
          <w:p w14:paraId="725B9824" w14:textId="77777777" w:rsidR="007923C3" w:rsidRPr="00CD46DA" w:rsidRDefault="007923C3" w:rsidP="00B04416">
            <w:pPr>
              <w:widowControl/>
              <w:rPr>
                <w:rFonts w:ascii="Times New Roman" w:eastAsia="PMingLiU" w:hAnsi="Times New Roman" w:cs="Times New Roman"/>
                <w:noProof/>
              </w:rPr>
            </w:pPr>
          </w:p>
        </w:tc>
      </w:tr>
    </w:tbl>
    <w:p w14:paraId="7AAD7E82" w14:textId="77777777" w:rsidR="000F3E5C" w:rsidRPr="00CD46DA" w:rsidRDefault="000F3E5C"/>
    <w:sectPr w:rsidR="000F3E5C" w:rsidRPr="00CD46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D31D" w14:textId="77777777" w:rsidR="00C17C79" w:rsidRDefault="00C17C79" w:rsidP="00746CC6">
      <w:r>
        <w:separator/>
      </w:r>
    </w:p>
  </w:endnote>
  <w:endnote w:type="continuationSeparator" w:id="0">
    <w:p w14:paraId="4ACD7C8F" w14:textId="77777777" w:rsidR="00C17C79" w:rsidRDefault="00C17C79" w:rsidP="0074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3061" w14:textId="77777777" w:rsidR="00C17C79" w:rsidRDefault="00C17C79" w:rsidP="00746CC6">
      <w:r>
        <w:separator/>
      </w:r>
    </w:p>
  </w:footnote>
  <w:footnote w:type="continuationSeparator" w:id="0">
    <w:p w14:paraId="626CDA86" w14:textId="77777777" w:rsidR="00C17C79" w:rsidRDefault="00C17C79" w:rsidP="00746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MTY3MrS0tDA0MDVU0lEKTi0uzszPAykwrgUAO9CGECwAAAA="/>
  </w:docVars>
  <w:rsids>
    <w:rsidRoot w:val="007923C3"/>
    <w:rsid w:val="000F3E5C"/>
    <w:rsid w:val="00325EFE"/>
    <w:rsid w:val="0059406E"/>
    <w:rsid w:val="00634D68"/>
    <w:rsid w:val="00746CC6"/>
    <w:rsid w:val="007923C3"/>
    <w:rsid w:val="00813398"/>
    <w:rsid w:val="00C17C79"/>
    <w:rsid w:val="00CD46DA"/>
    <w:rsid w:val="00F3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8A7FD"/>
  <w15:chartTrackingRefBased/>
  <w15:docId w15:val="{02831ACF-5E2E-465E-9D91-9D055829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3C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923C3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46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46CC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6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46CC6"/>
    <w:rPr>
      <w:sz w:val="20"/>
      <w:szCs w:val="20"/>
    </w:rPr>
  </w:style>
  <w:style w:type="character" w:styleId="Hyperlink">
    <w:name w:val="Hyperlink"/>
    <w:basedOn w:val="DefaultParagraphFont"/>
    <w:qFormat/>
    <w:rsid w:val="00746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Giorgia Aprile</cp:lastModifiedBy>
  <cp:revision>8</cp:revision>
  <dcterms:created xsi:type="dcterms:W3CDTF">2021-05-29T13:11:00Z</dcterms:created>
  <dcterms:modified xsi:type="dcterms:W3CDTF">2021-06-07T14:55:00Z</dcterms:modified>
</cp:coreProperties>
</file>