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B583" w14:textId="77777777" w:rsidR="000F3D2B" w:rsidRPr="00515500" w:rsidRDefault="000F3D2B" w:rsidP="000F3D2B">
      <w:pPr>
        <w:spacing w:line="240" w:lineRule="auto"/>
        <w:jc w:val="center"/>
        <w:rPr>
          <w:rFonts w:ascii="Arial" w:hAnsi="Arial" w:cs="Arial"/>
          <w:b/>
          <w:sz w:val="24"/>
        </w:rPr>
      </w:pPr>
      <w:r w:rsidRPr="00515500">
        <w:rPr>
          <w:rFonts w:ascii="Arial" w:hAnsi="Arial" w:cs="Arial"/>
          <w:b/>
          <w:sz w:val="24"/>
        </w:rPr>
        <w:t xml:space="preserve">A Phase </w:t>
      </w:r>
      <w:r>
        <w:rPr>
          <w:rFonts w:ascii="Arial" w:hAnsi="Arial" w:cs="Arial"/>
          <w:b/>
          <w:sz w:val="24"/>
        </w:rPr>
        <w:t>II</w:t>
      </w:r>
      <w:r w:rsidRPr="00515500">
        <w:rPr>
          <w:rFonts w:ascii="Arial" w:hAnsi="Arial" w:cs="Arial"/>
          <w:b/>
          <w:sz w:val="24"/>
        </w:rPr>
        <w:t xml:space="preserve"> study to evaluate the safety and efficacy of prasinezumab in early Parkinson's disease (PASADENA): rationale, design and baseline data </w:t>
      </w:r>
    </w:p>
    <w:p w14:paraId="196DA937" w14:textId="77777777" w:rsidR="00862956" w:rsidRDefault="00862956" w:rsidP="00862956">
      <w:pPr>
        <w:jc w:val="center"/>
        <w:rPr>
          <w:rFonts w:ascii="Arial" w:hAnsi="Arial" w:cs="Arial"/>
          <w:b/>
          <w:sz w:val="24"/>
        </w:rPr>
      </w:pPr>
    </w:p>
    <w:p w14:paraId="1F0153C3" w14:textId="77777777" w:rsidR="00862956" w:rsidRDefault="00862956" w:rsidP="00862956">
      <w:pPr>
        <w:rPr>
          <w:rFonts w:ascii="Arial" w:hAnsi="Arial" w:cs="Arial"/>
          <w:b/>
        </w:rPr>
      </w:pPr>
      <w:r>
        <w:rPr>
          <w:rFonts w:ascii="Arial" w:hAnsi="Arial" w:cs="Arial"/>
          <w:b/>
        </w:rPr>
        <w:t>Supplementary material</w:t>
      </w:r>
    </w:p>
    <w:p w14:paraId="10F71CD6" w14:textId="7A50BD2D" w:rsidR="00862956" w:rsidRDefault="00FF57CC" w:rsidP="00862956">
      <w:pPr>
        <w:rPr>
          <w:rFonts w:ascii="Arial" w:hAnsi="Arial" w:cs="Arial"/>
          <w:b/>
        </w:rPr>
      </w:pPr>
      <w:r>
        <w:rPr>
          <w:rFonts w:ascii="Arial" w:hAnsi="Arial" w:cs="Arial"/>
          <w:b/>
        </w:rPr>
        <w:t xml:space="preserve">Table 1. </w:t>
      </w:r>
      <w:r w:rsidR="00862956">
        <w:rPr>
          <w:rFonts w:ascii="Arial" w:hAnsi="Arial" w:cs="Arial"/>
          <w:b/>
        </w:rPr>
        <w:t>Inclusion criteria</w:t>
      </w:r>
    </w:p>
    <w:p w14:paraId="7319EBAC" w14:textId="77777777" w:rsidR="0012633E" w:rsidRPr="0012633E" w:rsidRDefault="0012633E" w:rsidP="00862956">
      <w:pPr>
        <w:rPr>
          <w:rFonts w:ascii="Arial" w:hAnsi="Arial" w:cs="Arial"/>
        </w:rPr>
      </w:pPr>
      <w:r w:rsidRPr="0012633E">
        <w:rPr>
          <w:rFonts w:ascii="Arial" w:hAnsi="Arial" w:cs="Arial"/>
        </w:rPr>
        <w:t>Participants met the following criteria for study entry:</w:t>
      </w:r>
    </w:p>
    <w:tbl>
      <w:tblPr>
        <w:tblStyle w:val="TableGrid"/>
        <w:tblW w:w="0" w:type="auto"/>
        <w:tblLook w:val="04A0" w:firstRow="1" w:lastRow="0" w:firstColumn="1" w:lastColumn="0" w:noHBand="0" w:noVBand="1"/>
      </w:tblPr>
      <w:tblGrid>
        <w:gridCol w:w="9016"/>
      </w:tblGrid>
      <w:tr w:rsidR="00862956" w14:paraId="0CB6ADF0" w14:textId="77777777" w:rsidTr="00862956">
        <w:tc>
          <w:tcPr>
            <w:tcW w:w="9016" w:type="dxa"/>
          </w:tcPr>
          <w:p w14:paraId="44730C96" w14:textId="5897A587" w:rsidR="00862956" w:rsidRDefault="00862956" w:rsidP="0012633E">
            <w:pPr>
              <w:pStyle w:val="ListParagraph"/>
              <w:numPr>
                <w:ilvl w:val="0"/>
                <w:numId w:val="2"/>
              </w:numPr>
              <w:spacing w:line="360" w:lineRule="auto"/>
              <w:ind w:left="357" w:hanging="357"/>
              <w:rPr>
                <w:rFonts w:ascii="Arial" w:hAnsi="Arial" w:cs="Arial"/>
                <w:b/>
              </w:rPr>
            </w:pPr>
            <w:r w:rsidRPr="00515500">
              <w:rPr>
                <w:rFonts w:ascii="Arial" w:hAnsi="Arial" w:cs="Arial"/>
              </w:rPr>
              <w:t xml:space="preserve">Idiopathic </w:t>
            </w:r>
            <w:r w:rsidR="00B861AD">
              <w:rPr>
                <w:rFonts w:ascii="Arial" w:hAnsi="Arial" w:cs="Arial"/>
              </w:rPr>
              <w:t>P</w:t>
            </w:r>
            <w:r w:rsidRPr="00515500">
              <w:rPr>
                <w:rFonts w:ascii="Arial" w:hAnsi="Arial" w:cs="Arial"/>
              </w:rPr>
              <w:t xml:space="preserve">D with bradykinesia plus one of the other cardinal signs of PD (resting tremor, rigidity), without any other known or suspected cause of PD, </w:t>
            </w:r>
            <w:r>
              <w:rPr>
                <w:rFonts w:ascii="Arial" w:hAnsi="Arial" w:cs="Arial"/>
              </w:rPr>
              <w:t xml:space="preserve">and </w:t>
            </w:r>
            <w:r w:rsidR="00B861AD">
              <w:rPr>
                <w:rFonts w:ascii="Arial" w:hAnsi="Arial" w:cs="Arial"/>
              </w:rPr>
              <w:t xml:space="preserve">untreated or treated with </w:t>
            </w:r>
            <w:r w:rsidR="00AC7845">
              <w:rPr>
                <w:rFonts w:ascii="Arial" w:hAnsi="Arial" w:cs="Arial"/>
              </w:rPr>
              <w:t xml:space="preserve">a </w:t>
            </w:r>
            <w:r w:rsidR="00B861AD">
              <w:rPr>
                <w:rFonts w:ascii="Arial" w:hAnsi="Arial" w:cs="Arial"/>
              </w:rPr>
              <w:t>monoamine oxidase B (MAO</w:t>
            </w:r>
            <w:r w:rsidRPr="00515500">
              <w:rPr>
                <w:rFonts w:ascii="Arial" w:hAnsi="Arial" w:cs="Arial"/>
              </w:rPr>
              <w:t>-B</w:t>
            </w:r>
            <w:r w:rsidR="00B861AD">
              <w:rPr>
                <w:rFonts w:ascii="Arial" w:hAnsi="Arial" w:cs="Arial"/>
              </w:rPr>
              <w:t>)</w:t>
            </w:r>
            <w:r w:rsidRPr="00515500">
              <w:rPr>
                <w:rFonts w:ascii="Arial" w:hAnsi="Arial" w:cs="Arial"/>
              </w:rPr>
              <w:t xml:space="preserve"> inhibitor.</w:t>
            </w:r>
          </w:p>
        </w:tc>
      </w:tr>
      <w:tr w:rsidR="00862956" w14:paraId="2111841D" w14:textId="77777777" w:rsidTr="00862956">
        <w:tc>
          <w:tcPr>
            <w:tcW w:w="9016" w:type="dxa"/>
          </w:tcPr>
          <w:p w14:paraId="573B82B0" w14:textId="77777777" w:rsidR="00862956" w:rsidRDefault="00862956" w:rsidP="0012633E">
            <w:pPr>
              <w:pStyle w:val="ListParagraph"/>
              <w:numPr>
                <w:ilvl w:val="0"/>
                <w:numId w:val="2"/>
              </w:numPr>
              <w:spacing w:line="360" w:lineRule="auto"/>
              <w:ind w:left="357" w:hanging="357"/>
              <w:rPr>
                <w:rFonts w:ascii="Arial" w:hAnsi="Arial" w:cs="Arial"/>
                <w:b/>
              </w:rPr>
            </w:pPr>
            <w:r w:rsidRPr="00515500">
              <w:rPr>
                <w:rFonts w:ascii="Arial" w:hAnsi="Arial" w:cs="Arial"/>
              </w:rPr>
              <w:t xml:space="preserve">Male or female, 40 to 80 years of age, body weight range of ≥45 kg/99 </w:t>
            </w:r>
            <w:proofErr w:type="spellStart"/>
            <w:r w:rsidRPr="00515500">
              <w:rPr>
                <w:rFonts w:ascii="Arial" w:hAnsi="Arial" w:cs="Arial"/>
              </w:rPr>
              <w:t>lbs</w:t>
            </w:r>
            <w:proofErr w:type="spellEnd"/>
            <w:r w:rsidRPr="00515500">
              <w:rPr>
                <w:rFonts w:ascii="Arial" w:hAnsi="Arial" w:cs="Arial"/>
              </w:rPr>
              <w:t xml:space="preserve"> to ≤110 kg/242 </w:t>
            </w:r>
            <w:proofErr w:type="spellStart"/>
            <w:r w:rsidRPr="00515500">
              <w:rPr>
                <w:rFonts w:ascii="Arial" w:hAnsi="Arial" w:cs="Arial"/>
              </w:rPr>
              <w:t>lbs</w:t>
            </w:r>
            <w:proofErr w:type="spellEnd"/>
            <w:r w:rsidRPr="00515500">
              <w:rPr>
                <w:rFonts w:ascii="Arial" w:hAnsi="Arial" w:cs="Arial"/>
              </w:rPr>
              <w:t xml:space="preserve"> and a body mass index of 18 to 34 kg/m</w:t>
            </w:r>
            <w:r w:rsidRPr="00515500">
              <w:rPr>
                <w:rFonts w:ascii="Arial" w:hAnsi="Arial" w:cs="Arial"/>
                <w:vertAlign w:val="superscript"/>
              </w:rPr>
              <w:t>2</w:t>
            </w:r>
            <w:r w:rsidRPr="00515500">
              <w:rPr>
                <w:rFonts w:ascii="Arial" w:hAnsi="Arial" w:cs="Arial"/>
              </w:rPr>
              <w:t>.</w:t>
            </w:r>
          </w:p>
        </w:tc>
      </w:tr>
      <w:tr w:rsidR="00862956" w14:paraId="5B718B48" w14:textId="77777777" w:rsidTr="00862956">
        <w:tc>
          <w:tcPr>
            <w:tcW w:w="9016" w:type="dxa"/>
          </w:tcPr>
          <w:p w14:paraId="38060EC6" w14:textId="77777777" w:rsidR="00862956" w:rsidRPr="0012633E" w:rsidRDefault="0012633E" w:rsidP="0012633E">
            <w:pPr>
              <w:pStyle w:val="ListParagraph"/>
              <w:numPr>
                <w:ilvl w:val="0"/>
                <w:numId w:val="2"/>
              </w:numPr>
              <w:spacing w:line="360" w:lineRule="auto"/>
              <w:ind w:left="357" w:hanging="357"/>
              <w:rPr>
                <w:rFonts w:ascii="Arial" w:hAnsi="Arial" w:cs="Arial"/>
              </w:rPr>
            </w:pPr>
            <w:r w:rsidRPr="00515500">
              <w:rPr>
                <w:rFonts w:ascii="Arial" w:hAnsi="Arial" w:cs="Arial"/>
              </w:rPr>
              <w:t>A diagnosis of PD for 2 years or less at screening.</w:t>
            </w:r>
          </w:p>
        </w:tc>
      </w:tr>
      <w:tr w:rsidR="00862956" w14:paraId="4E804B9A" w14:textId="77777777" w:rsidTr="00862956">
        <w:tc>
          <w:tcPr>
            <w:tcW w:w="9016" w:type="dxa"/>
          </w:tcPr>
          <w:p w14:paraId="2DF942B1" w14:textId="7D60A57A" w:rsidR="00862956" w:rsidRDefault="00CB0577" w:rsidP="0012633E">
            <w:pPr>
              <w:pStyle w:val="ListParagraph"/>
              <w:numPr>
                <w:ilvl w:val="0"/>
                <w:numId w:val="2"/>
              </w:numPr>
              <w:spacing w:line="360" w:lineRule="auto"/>
              <w:ind w:left="357" w:hanging="357"/>
              <w:rPr>
                <w:rFonts w:ascii="Arial" w:hAnsi="Arial" w:cs="Arial"/>
                <w:b/>
              </w:rPr>
            </w:pPr>
            <w:r w:rsidRPr="00515500">
              <w:rPr>
                <w:rFonts w:ascii="Arial" w:hAnsi="Arial" w:cs="Arial"/>
              </w:rPr>
              <w:t>H</w:t>
            </w:r>
            <w:r>
              <w:rPr>
                <w:rFonts w:ascii="Arial" w:hAnsi="Arial" w:cs="Arial"/>
              </w:rPr>
              <w:t>oehn</w:t>
            </w:r>
            <w:r w:rsidR="00B861AD">
              <w:rPr>
                <w:rFonts w:ascii="Arial" w:hAnsi="Arial" w:cs="Arial"/>
              </w:rPr>
              <w:t xml:space="preserve"> and </w:t>
            </w:r>
            <w:r w:rsidR="0012633E" w:rsidRPr="00515500">
              <w:rPr>
                <w:rFonts w:ascii="Arial" w:hAnsi="Arial" w:cs="Arial"/>
              </w:rPr>
              <w:t>Y</w:t>
            </w:r>
            <w:r w:rsidR="00B861AD">
              <w:rPr>
                <w:rFonts w:ascii="Arial" w:hAnsi="Arial" w:cs="Arial"/>
              </w:rPr>
              <w:t>ahr (H&amp;Y)</w:t>
            </w:r>
            <w:r w:rsidR="0012633E" w:rsidRPr="00515500">
              <w:rPr>
                <w:rFonts w:ascii="Arial" w:hAnsi="Arial" w:cs="Arial"/>
              </w:rPr>
              <w:t xml:space="preserve"> Stage I or II.</w:t>
            </w:r>
          </w:p>
        </w:tc>
      </w:tr>
      <w:tr w:rsidR="00862956" w14:paraId="1EA7A85A" w14:textId="77777777" w:rsidTr="00862956">
        <w:tc>
          <w:tcPr>
            <w:tcW w:w="9016" w:type="dxa"/>
          </w:tcPr>
          <w:p w14:paraId="2AE141D7" w14:textId="7EC158DD" w:rsidR="00862956" w:rsidRDefault="0012633E" w:rsidP="00B861AD">
            <w:pPr>
              <w:pStyle w:val="ListParagraph"/>
              <w:numPr>
                <w:ilvl w:val="0"/>
                <w:numId w:val="2"/>
              </w:numPr>
              <w:spacing w:line="360" w:lineRule="auto"/>
              <w:rPr>
                <w:rFonts w:ascii="Arial" w:hAnsi="Arial" w:cs="Arial"/>
                <w:b/>
              </w:rPr>
            </w:pPr>
            <w:r w:rsidRPr="00515500">
              <w:rPr>
                <w:rFonts w:ascii="Arial" w:hAnsi="Arial" w:cs="Arial"/>
              </w:rPr>
              <w:t xml:space="preserve">A brain </w:t>
            </w:r>
            <w:r w:rsidR="00B861AD">
              <w:rPr>
                <w:rFonts w:ascii="Arial" w:hAnsi="Arial" w:cs="Arial"/>
              </w:rPr>
              <w:t xml:space="preserve">dopamine transporter </w:t>
            </w:r>
            <w:r w:rsidR="00B861AD" w:rsidRPr="00B861AD">
              <w:rPr>
                <w:rFonts w:ascii="Arial" w:hAnsi="Arial" w:cs="Arial"/>
              </w:rPr>
              <w:t>single-photon emission compute</w:t>
            </w:r>
            <w:r w:rsidR="00CB0577">
              <w:rPr>
                <w:rFonts w:ascii="Arial" w:hAnsi="Arial" w:cs="Arial"/>
              </w:rPr>
              <w:t>rize</w:t>
            </w:r>
            <w:r w:rsidR="00B861AD" w:rsidRPr="00B861AD">
              <w:rPr>
                <w:rFonts w:ascii="Arial" w:hAnsi="Arial" w:cs="Arial"/>
              </w:rPr>
              <w:t xml:space="preserve">d tomography </w:t>
            </w:r>
            <w:r w:rsidR="00B861AD">
              <w:rPr>
                <w:rFonts w:ascii="Arial" w:hAnsi="Arial" w:cs="Arial"/>
              </w:rPr>
              <w:t>(</w:t>
            </w:r>
            <w:r w:rsidRPr="00515500">
              <w:rPr>
                <w:rFonts w:ascii="Arial" w:hAnsi="Arial" w:cs="Arial"/>
              </w:rPr>
              <w:t>DaT-SPECT</w:t>
            </w:r>
            <w:r w:rsidR="00B861AD">
              <w:rPr>
                <w:rFonts w:ascii="Arial" w:hAnsi="Arial" w:cs="Arial"/>
              </w:rPr>
              <w:t>)</w:t>
            </w:r>
            <w:r w:rsidRPr="00515500">
              <w:rPr>
                <w:rFonts w:ascii="Arial" w:hAnsi="Arial" w:cs="Arial"/>
              </w:rPr>
              <w:t xml:space="preserve"> </w:t>
            </w:r>
            <w:r w:rsidR="00D50C01">
              <w:rPr>
                <w:rFonts w:ascii="Arial" w:hAnsi="Arial" w:cs="Arial"/>
              </w:rPr>
              <w:t>s</w:t>
            </w:r>
            <w:r w:rsidR="00D50C01" w:rsidRPr="00515500">
              <w:rPr>
                <w:rFonts w:ascii="Arial" w:hAnsi="Arial" w:cs="Arial"/>
              </w:rPr>
              <w:t>creening</w:t>
            </w:r>
            <w:r w:rsidR="00D50C01">
              <w:rPr>
                <w:rFonts w:ascii="Arial" w:hAnsi="Arial" w:cs="Arial"/>
              </w:rPr>
              <w:t xml:space="preserve">, </w:t>
            </w:r>
            <w:r w:rsidRPr="00515500">
              <w:rPr>
                <w:rFonts w:ascii="Arial" w:hAnsi="Arial" w:cs="Arial"/>
              </w:rPr>
              <w:t>consistent with PD (central reading).</w:t>
            </w:r>
          </w:p>
        </w:tc>
      </w:tr>
      <w:tr w:rsidR="00862956" w14:paraId="0BFF2C82" w14:textId="77777777" w:rsidTr="00862956">
        <w:tc>
          <w:tcPr>
            <w:tcW w:w="9016" w:type="dxa"/>
          </w:tcPr>
          <w:p w14:paraId="20F256F8" w14:textId="5C87F08D" w:rsidR="00862956" w:rsidRDefault="0012633E" w:rsidP="0012633E">
            <w:pPr>
              <w:pStyle w:val="ListParagraph"/>
              <w:numPr>
                <w:ilvl w:val="0"/>
                <w:numId w:val="2"/>
              </w:numPr>
              <w:spacing w:line="360" w:lineRule="auto"/>
              <w:ind w:left="357" w:hanging="357"/>
              <w:rPr>
                <w:rFonts w:ascii="Arial" w:hAnsi="Arial" w:cs="Arial"/>
                <w:b/>
              </w:rPr>
            </w:pPr>
            <w:r w:rsidRPr="00515500">
              <w:rPr>
                <w:rFonts w:ascii="Arial" w:hAnsi="Arial" w:cs="Arial"/>
              </w:rPr>
              <w:t xml:space="preserve">Clinical status </w:t>
            </w:r>
            <w:r>
              <w:rPr>
                <w:rFonts w:ascii="Arial" w:hAnsi="Arial" w:cs="Arial"/>
              </w:rPr>
              <w:t>did</w:t>
            </w:r>
            <w:r w:rsidRPr="00515500">
              <w:rPr>
                <w:rFonts w:ascii="Arial" w:hAnsi="Arial" w:cs="Arial"/>
              </w:rPr>
              <w:t xml:space="preserve"> not require dopaminergic PD medication and </w:t>
            </w:r>
            <w:r>
              <w:rPr>
                <w:rFonts w:ascii="Arial" w:hAnsi="Arial" w:cs="Arial"/>
              </w:rPr>
              <w:t>was</w:t>
            </w:r>
            <w:r w:rsidRPr="00515500">
              <w:rPr>
                <w:rFonts w:ascii="Arial" w:hAnsi="Arial" w:cs="Arial"/>
              </w:rPr>
              <w:t xml:space="preserve"> not exp</w:t>
            </w:r>
            <w:r w:rsidR="000E2D10">
              <w:rPr>
                <w:rFonts w:ascii="Arial" w:hAnsi="Arial" w:cs="Arial"/>
              </w:rPr>
              <w:t>ected to require dopaminergic therapy</w:t>
            </w:r>
            <w:r w:rsidRPr="00515500">
              <w:rPr>
                <w:rFonts w:ascii="Arial" w:hAnsi="Arial" w:cs="Arial"/>
              </w:rPr>
              <w:t xml:space="preserve"> within 52 weeks from baseline.</w:t>
            </w:r>
          </w:p>
        </w:tc>
      </w:tr>
      <w:tr w:rsidR="00862956" w14:paraId="5E9377CC" w14:textId="77777777" w:rsidTr="00862956">
        <w:tc>
          <w:tcPr>
            <w:tcW w:w="9016" w:type="dxa"/>
          </w:tcPr>
          <w:p w14:paraId="575B247B" w14:textId="77777777" w:rsidR="00862956" w:rsidRDefault="0012633E" w:rsidP="0012633E">
            <w:pPr>
              <w:pStyle w:val="ListParagraph"/>
              <w:numPr>
                <w:ilvl w:val="0"/>
                <w:numId w:val="2"/>
              </w:numPr>
              <w:spacing w:line="360" w:lineRule="auto"/>
              <w:ind w:left="357" w:hanging="357"/>
              <w:rPr>
                <w:rFonts w:ascii="Arial" w:hAnsi="Arial" w:cs="Arial"/>
                <w:b/>
              </w:rPr>
            </w:pPr>
            <w:r>
              <w:rPr>
                <w:rFonts w:ascii="Arial" w:hAnsi="Arial" w:cs="Arial"/>
              </w:rPr>
              <w:t xml:space="preserve">If being treated for PD, must have received </w:t>
            </w:r>
            <w:r w:rsidRPr="00515500">
              <w:rPr>
                <w:rFonts w:ascii="Arial" w:hAnsi="Arial" w:cs="Arial"/>
              </w:rPr>
              <w:t>a stable dose of MAO-B inhibitor (</w:t>
            </w:r>
            <w:proofErr w:type="spellStart"/>
            <w:r w:rsidRPr="00515500">
              <w:rPr>
                <w:rFonts w:ascii="Arial" w:hAnsi="Arial" w:cs="Arial"/>
              </w:rPr>
              <w:t>rasagiline</w:t>
            </w:r>
            <w:proofErr w:type="spellEnd"/>
            <w:r w:rsidRPr="00515500">
              <w:rPr>
                <w:rFonts w:ascii="Arial" w:hAnsi="Arial" w:cs="Arial"/>
              </w:rPr>
              <w:t xml:space="preserve"> or selegiline) for at least 90 days prior to baseline and not expected to change within 52 weeks.</w:t>
            </w:r>
          </w:p>
        </w:tc>
      </w:tr>
      <w:tr w:rsidR="0012633E" w14:paraId="54EFB049" w14:textId="77777777" w:rsidTr="00862956">
        <w:tc>
          <w:tcPr>
            <w:tcW w:w="9016" w:type="dxa"/>
          </w:tcPr>
          <w:p w14:paraId="5A67A347" w14:textId="77777777" w:rsidR="0012633E" w:rsidRPr="0012633E" w:rsidRDefault="0012633E" w:rsidP="0012633E">
            <w:pPr>
              <w:pStyle w:val="ListParagraph"/>
              <w:numPr>
                <w:ilvl w:val="0"/>
                <w:numId w:val="2"/>
              </w:numPr>
              <w:spacing w:line="360" w:lineRule="auto"/>
              <w:ind w:left="357" w:hanging="357"/>
              <w:rPr>
                <w:rFonts w:ascii="Arial" w:hAnsi="Arial" w:cs="Arial"/>
              </w:rPr>
            </w:pPr>
            <w:r w:rsidRPr="00515500">
              <w:rPr>
                <w:rFonts w:ascii="Arial" w:hAnsi="Arial" w:cs="Arial"/>
              </w:rPr>
              <w:t xml:space="preserve">Able and willing to provide written informed consent and to comply with the study protocol according to International Conference on </w:t>
            </w:r>
            <w:proofErr w:type="spellStart"/>
            <w:r w:rsidRPr="00515500">
              <w:rPr>
                <w:rFonts w:ascii="Arial" w:hAnsi="Arial" w:cs="Arial"/>
              </w:rPr>
              <w:t>Harmonisation</w:t>
            </w:r>
            <w:proofErr w:type="spellEnd"/>
            <w:r w:rsidRPr="00515500">
              <w:rPr>
                <w:rFonts w:ascii="Arial" w:hAnsi="Arial" w:cs="Arial"/>
              </w:rPr>
              <w:t xml:space="preserve"> and local regulations.</w:t>
            </w:r>
          </w:p>
        </w:tc>
      </w:tr>
      <w:tr w:rsidR="0012633E" w14:paraId="08E3BE3A" w14:textId="77777777" w:rsidTr="00862956">
        <w:tc>
          <w:tcPr>
            <w:tcW w:w="9016" w:type="dxa"/>
          </w:tcPr>
          <w:p w14:paraId="0A4AC407" w14:textId="4E001EF3" w:rsidR="0012633E" w:rsidRDefault="0012633E" w:rsidP="0012633E">
            <w:pPr>
              <w:pStyle w:val="ListParagraph"/>
              <w:numPr>
                <w:ilvl w:val="0"/>
                <w:numId w:val="2"/>
              </w:numPr>
              <w:spacing w:line="360" w:lineRule="auto"/>
              <w:rPr>
                <w:rFonts w:ascii="Arial" w:hAnsi="Arial" w:cs="Arial"/>
              </w:rPr>
            </w:pPr>
            <w:r w:rsidRPr="00515500">
              <w:rPr>
                <w:rFonts w:ascii="Arial" w:hAnsi="Arial" w:cs="Arial"/>
              </w:rPr>
              <w:t xml:space="preserve">For women of childbearing potential: use of highly effective contraceptive methods (that result in a failure rate of &lt;1% per year) during the treatment period and for at least 30 days (or longer if required by local regulations) after the last dose of study drug. </w:t>
            </w:r>
          </w:p>
          <w:p w14:paraId="714EFC68" w14:textId="77777777" w:rsidR="0012633E" w:rsidRDefault="0012633E" w:rsidP="0012633E">
            <w:pPr>
              <w:pStyle w:val="ListParagraph"/>
              <w:numPr>
                <w:ilvl w:val="0"/>
                <w:numId w:val="3"/>
              </w:numPr>
              <w:spacing w:line="360" w:lineRule="auto"/>
              <w:rPr>
                <w:rFonts w:ascii="Arial" w:hAnsi="Arial" w:cs="Arial"/>
              </w:rPr>
            </w:pPr>
            <w:r w:rsidRPr="0012633E">
              <w:rPr>
                <w:rFonts w:ascii="Arial" w:hAnsi="Arial" w:cs="Arial"/>
              </w:rPr>
              <w:t>A woman is considered to be of childbearing potential if she is post-</w:t>
            </w:r>
            <w:proofErr w:type="spellStart"/>
            <w:r w:rsidRPr="0012633E">
              <w:rPr>
                <w:rFonts w:ascii="Arial" w:hAnsi="Arial" w:cs="Arial"/>
              </w:rPr>
              <w:t>menarcheal</w:t>
            </w:r>
            <w:proofErr w:type="spellEnd"/>
            <w:r w:rsidRPr="0012633E">
              <w:rPr>
                <w:rFonts w:ascii="Arial" w:hAnsi="Arial" w:cs="Arial"/>
              </w:rPr>
              <w:t>, has</w:t>
            </w:r>
            <w:r>
              <w:rPr>
                <w:rFonts w:ascii="Arial" w:hAnsi="Arial" w:cs="Arial"/>
              </w:rPr>
              <w:t xml:space="preserve"> </w:t>
            </w:r>
            <w:r w:rsidRPr="0012633E">
              <w:rPr>
                <w:rFonts w:ascii="Arial" w:hAnsi="Arial" w:cs="Arial"/>
              </w:rPr>
              <w:t>not re</w:t>
            </w:r>
            <w:r>
              <w:rPr>
                <w:rFonts w:ascii="Arial" w:hAnsi="Arial" w:cs="Arial"/>
              </w:rPr>
              <w:t>ached a post-menopausal state (≥</w:t>
            </w:r>
            <w:r w:rsidRPr="0012633E">
              <w:rPr>
                <w:rFonts w:ascii="Arial" w:hAnsi="Arial" w:cs="Arial"/>
              </w:rPr>
              <w:t>12 continuous months of amenorrhea with</w:t>
            </w:r>
            <w:r>
              <w:rPr>
                <w:rFonts w:ascii="Arial" w:hAnsi="Arial" w:cs="Arial"/>
              </w:rPr>
              <w:t xml:space="preserve"> </w:t>
            </w:r>
            <w:r w:rsidRPr="0012633E">
              <w:rPr>
                <w:rFonts w:ascii="Arial" w:hAnsi="Arial" w:cs="Arial"/>
              </w:rPr>
              <w:t>no identified cause other than menopause), and has not undergone surgical</w:t>
            </w:r>
            <w:r>
              <w:rPr>
                <w:rFonts w:ascii="Arial" w:hAnsi="Arial" w:cs="Arial"/>
              </w:rPr>
              <w:t xml:space="preserve"> </w:t>
            </w:r>
            <w:r w:rsidRPr="0012633E">
              <w:rPr>
                <w:rFonts w:ascii="Arial" w:hAnsi="Arial" w:cs="Arial"/>
              </w:rPr>
              <w:t>sterilization (removal of ovaries and/or uterus).</w:t>
            </w:r>
          </w:p>
          <w:p w14:paraId="7E362700" w14:textId="124A15CB" w:rsidR="0012633E" w:rsidRDefault="0012633E" w:rsidP="0012633E">
            <w:pPr>
              <w:pStyle w:val="ListParagraph"/>
              <w:numPr>
                <w:ilvl w:val="0"/>
                <w:numId w:val="3"/>
              </w:numPr>
              <w:spacing w:line="360" w:lineRule="auto"/>
              <w:rPr>
                <w:rFonts w:ascii="Arial" w:hAnsi="Arial" w:cs="Arial"/>
              </w:rPr>
            </w:pPr>
            <w:r w:rsidRPr="0012633E">
              <w:rPr>
                <w:rFonts w:ascii="Arial" w:hAnsi="Arial" w:cs="Arial"/>
              </w:rPr>
              <w:t>Examples of highly effective contraceptive methods (with a failure rate of &lt;1% per year) include bilateral tubal ligation</w:t>
            </w:r>
            <w:r w:rsidR="00AC7845">
              <w:rPr>
                <w:rFonts w:ascii="Arial" w:hAnsi="Arial" w:cs="Arial"/>
              </w:rPr>
              <w:t>;</w:t>
            </w:r>
            <w:r w:rsidRPr="0012633E">
              <w:rPr>
                <w:rFonts w:ascii="Arial" w:hAnsi="Arial" w:cs="Arial"/>
              </w:rPr>
              <w:t xml:space="preserve"> vasectomized partner</w:t>
            </w:r>
            <w:r w:rsidR="00AC7845">
              <w:rPr>
                <w:rFonts w:ascii="Arial" w:hAnsi="Arial" w:cs="Arial"/>
              </w:rPr>
              <w:t>;</w:t>
            </w:r>
            <w:r w:rsidRPr="0012633E">
              <w:rPr>
                <w:rFonts w:ascii="Arial" w:hAnsi="Arial" w:cs="Arial"/>
              </w:rPr>
              <w:t xml:space="preserve"> established, proper use of hormonal contraceptives that inhibit ovulation</w:t>
            </w:r>
            <w:r w:rsidR="00AC7845">
              <w:rPr>
                <w:rFonts w:ascii="Arial" w:hAnsi="Arial" w:cs="Arial"/>
              </w:rPr>
              <w:t>;</w:t>
            </w:r>
            <w:r w:rsidRPr="0012633E">
              <w:rPr>
                <w:rFonts w:ascii="Arial" w:hAnsi="Arial" w:cs="Arial"/>
              </w:rPr>
              <w:t xml:space="preserve"> hormone-releasing intrauterine devices, and copper intrauterine devices.</w:t>
            </w:r>
          </w:p>
          <w:p w14:paraId="7E8329B3" w14:textId="3F32B907" w:rsidR="0012633E" w:rsidRPr="0012633E" w:rsidRDefault="0012633E" w:rsidP="0012633E">
            <w:pPr>
              <w:pStyle w:val="ListParagraph"/>
              <w:numPr>
                <w:ilvl w:val="0"/>
                <w:numId w:val="3"/>
              </w:numPr>
              <w:spacing w:line="360" w:lineRule="auto"/>
              <w:rPr>
                <w:rFonts w:ascii="Arial" w:hAnsi="Arial" w:cs="Arial"/>
              </w:rPr>
            </w:pPr>
            <w:r w:rsidRPr="0012633E">
              <w:rPr>
                <w:rFonts w:ascii="Arial" w:hAnsi="Arial" w:cs="Arial"/>
              </w:rPr>
              <w:lastRenderedPageBreak/>
              <w:t>The reliability of sexual abstinence should be evaluated in relation to the duration of</w:t>
            </w:r>
            <w:r>
              <w:rPr>
                <w:rFonts w:ascii="Arial" w:hAnsi="Arial" w:cs="Arial"/>
              </w:rPr>
              <w:t xml:space="preserve"> </w:t>
            </w:r>
            <w:r w:rsidRPr="0012633E">
              <w:rPr>
                <w:rFonts w:ascii="Arial" w:hAnsi="Arial" w:cs="Arial"/>
              </w:rPr>
              <w:t>the clinical trial and the preferred and usual lifestyle of the patient. Periodic</w:t>
            </w:r>
            <w:r>
              <w:rPr>
                <w:rFonts w:ascii="Arial" w:hAnsi="Arial" w:cs="Arial"/>
              </w:rPr>
              <w:t xml:space="preserve"> </w:t>
            </w:r>
            <w:r w:rsidRPr="0012633E">
              <w:rPr>
                <w:rFonts w:ascii="Arial" w:hAnsi="Arial" w:cs="Arial"/>
              </w:rPr>
              <w:t xml:space="preserve">abstinence (e.g. calendar, ovulation, </w:t>
            </w:r>
            <w:proofErr w:type="spellStart"/>
            <w:r w:rsidRPr="0012633E">
              <w:rPr>
                <w:rFonts w:ascii="Arial" w:hAnsi="Arial" w:cs="Arial"/>
              </w:rPr>
              <w:t>symptothermal</w:t>
            </w:r>
            <w:proofErr w:type="spellEnd"/>
            <w:r w:rsidRPr="0012633E">
              <w:rPr>
                <w:rFonts w:ascii="Arial" w:hAnsi="Arial" w:cs="Arial"/>
              </w:rPr>
              <w:t>, or post</w:t>
            </w:r>
            <w:r w:rsidR="00AC7845">
              <w:rPr>
                <w:rFonts w:ascii="Arial" w:hAnsi="Arial" w:cs="Arial"/>
              </w:rPr>
              <w:t>-</w:t>
            </w:r>
            <w:r w:rsidRPr="0012633E">
              <w:rPr>
                <w:rFonts w:ascii="Arial" w:hAnsi="Arial" w:cs="Arial"/>
              </w:rPr>
              <w:t>ovulation methods) and</w:t>
            </w:r>
            <w:r>
              <w:rPr>
                <w:rFonts w:ascii="Arial" w:hAnsi="Arial" w:cs="Arial"/>
              </w:rPr>
              <w:t xml:space="preserve"> </w:t>
            </w:r>
            <w:r w:rsidRPr="0012633E">
              <w:rPr>
                <w:rFonts w:ascii="Arial" w:hAnsi="Arial" w:cs="Arial"/>
              </w:rPr>
              <w:t>withdrawal are not acceptable methods of contraception.</w:t>
            </w:r>
          </w:p>
        </w:tc>
      </w:tr>
      <w:tr w:rsidR="0012633E" w14:paraId="2D28A30D" w14:textId="77777777" w:rsidTr="00862956">
        <w:tc>
          <w:tcPr>
            <w:tcW w:w="9016" w:type="dxa"/>
          </w:tcPr>
          <w:p w14:paraId="240576D6" w14:textId="77777777" w:rsidR="0012633E" w:rsidRDefault="0012633E" w:rsidP="0012633E">
            <w:pPr>
              <w:pStyle w:val="ListParagraph"/>
              <w:numPr>
                <w:ilvl w:val="0"/>
                <w:numId w:val="2"/>
              </w:numPr>
              <w:spacing w:line="360" w:lineRule="auto"/>
              <w:rPr>
                <w:rFonts w:ascii="Arial" w:hAnsi="Arial" w:cs="Arial"/>
              </w:rPr>
            </w:pPr>
            <w:r w:rsidRPr="0012633E">
              <w:rPr>
                <w:rFonts w:ascii="Arial" w:hAnsi="Arial" w:cs="Arial"/>
              </w:rPr>
              <w:lastRenderedPageBreak/>
              <w:t>For men – use of contraceptive measures as defined below:</w:t>
            </w:r>
          </w:p>
          <w:p w14:paraId="00ACB953" w14:textId="77777777" w:rsidR="0012633E" w:rsidRDefault="0012633E" w:rsidP="0012633E">
            <w:pPr>
              <w:pStyle w:val="ListParagraph"/>
              <w:numPr>
                <w:ilvl w:val="0"/>
                <w:numId w:val="4"/>
              </w:numPr>
              <w:spacing w:line="360" w:lineRule="auto"/>
              <w:ind w:left="360"/>
              <w:rPr>
                <w:rFonts w:ascii="Arial" w:hAnsi="Arial" w:cs="Arial"/>
              </w:rPr>
            </w:pPr>
            <w:r w:rsidRPr="0012633E">
              <w:rPr>
                <w:rFonts w:ascii="Arial" w:hAnsi="Arial" w:cs="Arial"/>
              </w:rPr>
              <w:t xml:space="preserve">With female partners of childbearing potential or pregnant female partners, men must use a condom during the treatment period and for at least 30 days (or longer if required by local regulations) after the last dose of study drug to avoid exposing the embryo. Men must refrain from donating sperm during this same period. The female partners should use a contraception method with a failure rate of &lt;1% per year during the treatment period and for at least 30 days (or longer if required by local regulations) after the last dose of study drug. </w:t>
            </w:r>
          </w:p>
          <w:p w14:paraId="7D4E66DC" w14:textId="77777777" w:rsidR="0012633E" w:rsidRPr="0012633E" w:rsidRDefault="0012633E" w:rsidP="0012633E">
            <w:pPr>
              <w:pStyle w:val="ListParagraph"/>
              <w:numPr>
                <w:ilvl w:val="0"/>
                <w:numId w:val="4"/>
              </w:numPr>
              <w:spacing w:line="360" w:lineRule="auto"/>
              <w:ind w:left="360"/>
              <w:rPr>
                <w:rFonts w:ascii="Arial" w:hAnsi="Arial" w:cs="Arial"/>
              </w:rPr>
            </w:pPr>
            <w:r w:rsidRPr="0012633E">
              <w:rPr>
                <w:rFonts w:ascii="Arial" w:hAnsi="Arial" w:cs="Arial"/>
              </w:rPr>
              <w:t>The reliability of sexual abstinence should be evaluated in relation to the duration of</w:t>
            </w:r>
          </w:p>
          <w:p w14:paraId="43CD1197" w14:textId="17F128CC" w:rsidR="0012633E" w:rsidRPr="0012633E" w:rsidRDefault="0012633E" w:rsidP="0012633E">
            <w:pPr>
              <w:pStyle w:val="ListParagraph"/>
              <w:spacing w:line="360" w:lineRule="auto"/>
              <w:ind w:left="360"/>
              <w:rPr>
                <w:rFonts w:ascii="Arial" w:hAnsi="Arial" w:cs="Arial"/>
              </w:rPr>
            </w:pPr>
            <w:r w:rsidRPr="0012633E">
              <w:rPr>
                <w:rFonts w:ascii="Arial" w:hAnsi="Arial" w:cs="Arial"/>
              </w:rPr>
              <w:t xml:space="preserve">the clinical trial and the preferred and usual lifestyle of the patient. Periodic abstinence (e.g. calendar, ovulation, </w:t>
            </w:r>
            <w:proofErr w:type="spellStart"/>
            <w:r w:rsidRPr="0012633E">
              <w:rPr>
                <w:rFonts w:ascii="Arial" w:hAnsi="Arial" w:cs="Arial"/>
              </w:rPr>
              <w:t>symptothermal</w:t>
            </w:r>
            <w:proofErr w:type="spellEnd"/>
            <w:r w:rsidRPr="0012633E">
              <w:rPr>
                <w:rFonts w:ascii="Arial" w:hAnsi="Arial" w:cs="Arial"/>
              </w:rPr>
              <w:t>, or post</w:t>
            </w:r>
            <w:r w:rsidR="00AC7845">
              <w:rPr>
                <w:rFonts w:ascii="Arial" w:hAnsi="Arial" w:cs="Arial"/>
              </w:rPr>
              <w:t>-</w:t>
            </w:r>
            <w:r w:rsidRPr="0012633E">
              <w:rPr>
                <w:rFonts w:ascii="Arial" w:hAnsi="Arial" w:cs="Arial"/>
              </w:rPr>
              <w:t>ovulation methods) and</w:t>
            </w:r>
            <w:r>
              <w:rPr>
                <w:rFonts w:ascii="Arial" w:hAnsi="Arial" w:cs="Arial"/>
              </w:rPr>
              <w:t xml:space="preserve"> </w:t>
            </w:r>
            <w:r w:rsidRPr="0012633E">
              <w:rPr>
                <w:rFonts w:ascii="Arial" w:hAnsi="Arial" w:cs="Arial"/>
              </w:rPr>
              <w:t>withdrawal are not acceptable methods of contraception.</w:t>
            </w:r>
          </w:p>
        </w:tc>
      </w:tr>
    </w:tbl>
    <w:p w14:paraId="0B03F15C" w14:textId="77777777" w:rsidR="00862956" w:rsidRDefault="00862956" w:rsidP="0012633E">
      <w:pPr>
        <w:spacing w:after="0"/>
        <w:rPr>
          <w:rFonts w:ascii="Arial" w:hAnsi="Arial" w:cs="Arial"/>
          <w:b/>
        </w:rPr>
      </w:pPr>
    </w:p>
    <w:p w14:paraId="314EFC69" w14:textId="77777777" w:rsidR="00862956" w:rsidRPr="00862956" w:rsidRDefault="00862956" w:rsidP="00862956">
      <w:pPr>
        <w:rPr>
          <w:rFonts w:ascii="Arial" w:hAnsi="Arial" w:cs="Arial"/>
          <w:b/>
        </w:rPr>
      </w:pPr>
    </w:p>
    <w:p w14:paraId="3E362581" w14:textId="28B86451" w:rsidR="00970362" w:rsidRDefault="00FF57CC">
      <w:pPr>
        <w:rPr>
          <w:rFonts w:ascii="Arial" w:hAnsi="Arial" w:cs="Arial"/>
          <w:b/>
        </w:rPr>
      </w:pPr>
      <w:r>
        <w:rPr>
          <w:rFonts w:ascii="Arial" w:hAnsi="Arial" w:cs="Arial"/>
          <w:b/>
        </w:rPr>
        <w:t xml:space="preserve">Table 2. </w:t>
      </w:r>
      <w:r w:rsidR="0012633E" w:rsidRPr="0012633E">
        <w:rPr>
          <w:rFonts w:ascii="Arial" w:hAnsi="Arial" w:cs="Arial"/>
          <w:b/>
        </w:rPr>
        <w:t>Exclusion criteria</w:t>
      </w:r>
    </w:p>
    <w:p w14:paraId="3E49AC24" w14:textId="77777777" w:rsidR="0012633E" w:rsidRPr="0012633E" w:rsidRDefault="0012633E">
      <w:pPr>
        <w:rPr>
          <w:rFonts w:ascii="Arial" w:hAnsi="Arial" w:cs="Arial"/>
        </w:rPr>
      </w:pPr>
      <w:r w:rsidRPr="0012633E">
        <w:rPr>
          <w:rFonts w:ascii="Arial" w:hAnsi="Arial" w:cs="Arial"/>
        </w:rPr>
        <w:t>Participants who met any of the following criteria were excluded from study entry:</w:t>
      </w:r>
    </w:p>
    <w:tbl>
      <w:tblPr>
        <w:tblStyle w:val="TableGrid"/>
        <w:tblW w:w="0" w:type="auto"/>
        <w:tblLook w:val="04A0" w:firstRow="1" w:lastRow="0" w:firstColumn="1" w:lastColumn="0" w:noHBand="0" w:noVBand="1"/>
      </w:tblPr>
      <w:tblGrid>
        <w:gridCol w:w="9016"/>
      </w:tblGrid>
      <w:tr w:rsidR="00161B51" w14:paraId="457F7F0D" w14:textId="77777777" w:rsidTr="0012633E">
        <w:tc>
          <w:tcPr>
            <w:tcW w:w="9016" w:type="dxa"/>
          </w:tcPr>
          <w:p w14:paraId="2B5DB899" w14:textId="77777777" w:rsidR="00161B51" w:rsidRPr="00161B51" w:rsidRDefault="00161B51" w:rsidP="00161B51">
            <w:pPr>
              <w:pStyle w:val="ListParagraph"/>
              <w:spacing w:before="240" w:line="360" w:lineRule="auto"/>
              <w:ind w:left="0"/>
              <w:rPr>
                <w:rFonts w:ascii="Arial" w:hAnsi="Arial" w:cs="Arial"/>
                <w:b/>
              </w:rPr>
            </w:pPr>
            <w:r w:rsidRPr="00161B51">
              <w:rPr>
                <w:rFonts w:ascii="Arial" w:hAnsi="Arial" w:cs="Arial"/>
                <w:b/>
              </w:rPr>
              <w:t>Current or past medical history</w:t>
            </w:r>
          </w:p>
        </w:tc>
      </w:tr>
      <w:tr w:rsidR="0012633E" w14:paraId="4B74611D" w14:textId="77777777" w:rsidTr="0012633E">
        <w:tc>
          <w:tcPr>
            <w:tcW w:w="9016" w:type="dxa"/>
          </w:tcPr>
          <w:p w14:paraId="4739FBC6" w14:textId="1B1B4E31" w:rsidR="0012633E" w:rsidRPr="00515500" w:rsidRDefault="0012633E" w:rsidP="0012633E">
            <w:pPr>
              <w:pStyle w:val="ListParagraph"/>
              <w:numPr>
                <w:ilvl w:val="0"/>
                <w:numId w:val="5"/>
              </w:numPr>
              <w:spacing w:before="240" w:line="360" w:lineRule="auto"/>
              <w:rPr>
                <w:rFonts w:ascii="Arial" w:hAnsi="Arial" w:cs="Arial"/>
              </w:rPr>
            </w:pPr>
            <w:r w:rsidRPr="00515500">
              <w:rPr>
                <w:rFonts w:ascii="Arial" w:hAnsi="Arial" w:cs="Arial"/>
              </w:rPr>
              <w:t>Medical history indicating a Parkinson syndrome other than idiopathic PD, including but not limited to, progressive supranuclear gaze palsy, multiple system atrophy, drug-induced parkinsonism, essential tremor, primary dystonia.</w:t>
            </w:r>
          </w:p>
          <w:p w14:paraId="167CC3E8" w14:textId="77777777" w:rsidR="0012633E" w:rsidRDefault="0012633E">
            <w:pPr>
              <w:rPr>
                <w:b/>
              </w:rPr>
            </w:pPr>
          </w:p>
        </w:tc>
      </w:tr>
      <w:tr w:rsidR="0012633E" w14:paraId="56E91711" w14:textId="77777777" w:rsidTr="0012633E">
        <w:tc>
          <w:tcPr>
            <w:tcW w:w="9016" w:type="dxa"/>
          </w:tcPr>
          <w:p w14:paraId="4ABE7A77" w14:textId="77777777" w:rsidR="0012633E" w:rsidRPr="00515500" w:rsidRDefault="0012633E" w:rsidP="0012633E">
            <w:pPr>
              <w:pStyle w:val="ListParagraph"/>
              <w:numPr>
                <w:ilvl w:val="0"/>
                <w:numId w:val="5"/>
              </w:numPr>
              <w:spacing w:before="240" w:line="360" w:lineRule="auto"/>
              <w:rPr>
                <w:rFonts w:ascii="Arial" w:hAnsi="Arial" w:cs="Arial"/>
              </w:rPr>
            </w:pPr>
            <w:r w:rsidRPr="00515500">
              <w:rPr>
                <w:rFonts w:ascii="Arial" w:hAnsi="Arial" w:cs="Arial"/>
              </w:rPr>
              <w:t>Known carriers of certain familial PD genes (</w:t>
            </w:r>
            <w:r w:rsidRPr="00515500">
              <w:rPr>
                <w:rFonts w:ascii="Arial" w:hAnsi="Arial" w:cs="Arial"/>
                <w:i/>
              </w:rPr>
              <w:t>Parkin, PINK1, DJ1</w:t>
            </w:r>
            <w:r w:rsidRPr="00515500">
              <w:rPr>
                <w:rFonts w:ascii="Arial" w:hAnsi="Arial" w:cs="Arial"/>
              </w:rPr>
              <w:t xml:space="preserve">). Note: </w:t>
            </w:r>
            <w:r w:rsidRPr="00515500">
              <w:rPr>
                <w:rFonts w:ascii="Arial" w:hAnsi="Arial" w:cs="Arial"/>
                <w:i/>
              </w:rPr>
              <w:t>GBA, synuclein, LRRK2</w:t>
            </w:r>
            <w:r w:rsidRPr="00515500">
              <w:rPr>
                <w:rFonts w:ascii="Arial" w:hAnsi="Arial" w:cs="Arial"/>
              </w:rPr>
              <w:t xml:space="preserve"> mutation carriers </w:t>
            </w:r>
            <w:r>
              <w:rPr>
                <w:rFonts w:ascii="Arial" w:hAnsi="Arial" w:cs="Arial"/>
              </w:rPr>
              <w:t>were</w:t>
            </w:r>
            <w:r w:rsidRPr="00515500">
              <w:rPr>
                <w:rFonts w:ascii="Arial" w:hAnsi="Arial" w:cs="Arial"/>
              </w:rPr>
              <w:t xml:space="preserve"> allowed.</w:t>
            </w:r>
          </w:p>
          <w:p w14:paraId="086CF469" w14:textId="77777777" w:rsidR="0012633E" w:rsidRDefault="0012633E">
            <w:pPr>
              <w:rPr>
                <w:b/>
              </w:rPr>
            </w:pPr>
          </w:p>
        </w:tc>
      </w:tr>
      <w:tr w:rsidR="0012633E" w14:paraId="57D23F08" w14:textId="77777777" w:rsidTr="0012633E">
        <w:tc>
          <w:tcPr>
            <w:tcW w:w="9016" w:type="dxa"/>
          </w:tcPr>
          <w:p w14:paraId="4726C67C" w14:textId="77777777" w:rsidR="0012633E" w:rsidRPr="00515500" w:rsidRDefault="0012633E" w:rsidP="0012633E">
            <w:pPr>
              <w:pStyle w:val="ListParagraph"/>
              <w:numPr>
                <w:ilvl w:val="0"/>
                <w:numId w:val="5"/>
              </w:numPr>
              <w:spacing w:before="240" w:line="360" w:lineRule="auto"/>
              <w:rPr>
                <w:rFonts w:ascii="Arial" w:hAnsi="Arial" w:cs="Arial"/>
              </w:rPr>
            </w:pPr>
            <w:r w:rsidRPr="00515500">
              <w:rPr>
                <w:rFonts w:ascii="Arial" w:hAnsi="Arial" w:cs="Arial"/>
              </w:rPr>
              <w:t>History of PD-related freezing episodes or falls.</w:t>
            </w:r>
          </w:p>
          <w:p w14:paraId="35995EAF" w14:textId="77777777" w:rsidR="0012633E" w:rsidRDefault="0012633E">
            <w:pPr>
              <w:rPr>
                <w:b/>
              </w:rPr>
            </w:pPr>
          </w:p>
        </w:tc>
      </w:tr>
      <w:tr w:rsidR="0012633E" w14:paraId="0BDCA9E2" w14:textId="77777777" w:rsidTr="0012633E">
        <w:tc>
          <w:tcPr>
            <w:tcW w:w="9016" w:type="dxa"/>
          </w:tcPr>
          <w:p w14:paraId="37C8FF7B" w14:textId="77777777" w:rsidR="0012633E" w:rsidRPr="00515500" w:rsidRDefault="0012633E" w:rsidP="0012633E">
            <w:pPr>
              <w:pStyle w:val="ListParagraph"/>
              <w:numPr>
                <w:ilvl w:val="0"/>
                <w:numId w:val="5"/>
              </w:numPr>
              <w:spacing w:before="240" w:line="360" w:lineRule="auto"/>
              <w:rPr>
                <w:rFonts w:ascii="Arial" w:hAnsi="Arial" w:cs="Arial"/>
              </w:rPr>
            </w:pPr>
            <w:r w:rsidRPr="00515500">
              <w:rPr>
                <w:rFonts w:ascii="Arial" w:hAnsi="Arial" w:cs="Arial"/>
              </w:rPr>
              <w:t xml:space="preserve">A diagnosis of a significant central nervous system disease other than PD (including but not limited to Huntington’s disease, normal pressure hydrocephalus, cerebrovascular disease including stroke, </w:t>
            </w:r>
            <w:proofErr w:type="spellStart"/>
            <w:r w:rsidRPr="00515500">
              <w:rPr>
                <w:rFonts w:ascii="Arial" w:hAnsi="Arial" w:cs="Arial"/>
              </w:rPr>
              <w:t>fronto</w:t>
            </w:r>
            <w:proofErr w:type="spellEnd"/>
            <w:r w:rsidRPr="00515500">
              <w:rPr>
                <w:rFonts w:ascii="Arial" w:hAnsi="Arial" w:cs="Arial"/>
              </w:rPr>
              <w:t xml:space="preserve">-temporal dementia, Alzheimer’s </w:t>
            </w:r>
            <w:r w:rsidRPr="00515500">
              <w:rPr>
                <w:rFonts w:ascii="Arial" w:hAnsi="Arial" w:cs="Arial"/>
              </w:rPr>
              <w:lastRenderedPageBreak/>
              <w:t>disease); history of repeated head injury; history of epilepsy or seizure disorder other than febrile seizures as a child.</w:t>
            </w:r>
          </w:p>
          <w:p w14:paraId="34FDE8E7" w14:textId="77777777" w:rsidR="0012633E" w:rsidRDefault="0012633E">
            <w:pPr>
              <w:rPr>
                <w:b/>
              </w:rPr>
            </w:pPr>
          </w:p>
        </w:tc>
      </w:tr>
      <w:tr w:rsidR="0012633E" w14:paraId="1A7E4256" w14:textId="77777777" w:rsidTr="00EB1036">
        <w:trPr>
          <w:trHeight w:val="630"/>
        </w:trPr>
        <w:tc>
          <w:tcPr>
            <w:tcW w:w="9016" w:type="dxa"/>
          </w:tcPr>
          <w:p w14:paraId="69270F2E" w14:textId="7D7B98DA" w:rsidR="0012633E" w:rsidRPr="00E67B1E" w:rsidRDefault="0012633E" w:rsidP="00E67B1E">
            <w:pPr>
              <w:pStyle w:val="ListParagraph"/>
              <w:numPr>
                <w:ilvl w:val="0"/>
                <w:numId w:val="5"/>
              </w:numPr>
              <w:spacing w:before="240" w:line="360" w:lineRule="auto"/>
              <w:rPr>
                <w:rFonts w:ascii="Arial" w:hAnsi="Arial" w:cs="Arial"/>
              </w:rPr>
            </w:pPr>
            <w:r w:rsidRPr="00515500">
              <w:rPr>
                <w:rFonts w:ascii="Arial" w:hAnsi="Arial" w:cs="Arial"/>
              </w:rPr>
              <w:lastRenderedPageBreak/>
              <w:t>Mini Mental State Examination (MMSE) ≤25.</w:t>
            </w:r>
          </w:p>
        </w:tc>
      </w:tr>
      <w:tr w:rsidR="00EB1036" w14:paraId="1C0F1FCE" w14:textId="77777777" w:rsidTr="0012633E">
        <w:trPr>
          <w:trHeight w:val="630"/>
        </w:trPr>
        <w:tc>
          <w:tcPr>
            <w:tcW w:w="9016" w:type="dxa"/>
          </w:tcPr>
          <w:p w14:paraId="6BC913F2" w14:textId="53369A92" w:rsidR="00EB1036" w:rsidRPr="00EB1036" w:rsidRDefault="00EB1036" w:rsidP="00EB1036">
            <w:pPr>
              <w:pStyle w:val="ListParagraph"/>
              <w:numPr>
                <w:ilvl w:val="0"/>
                <w:numId w:val="5"/>
              </w:numPr>
              <w:spacing w:before="240" w:line="360" w:lineRule="auto"/>
              <w:rPr>
                <w:rFonts w:ascii="Arial" w:hAnsi="Arial" w:cs="Arial"/>
              </w:rPr>
            </w:pPr>
            <w:r>
              <w:rPr>
                <w:rFonts w:ascii="Arial" w:hAnsi="Arial" w:cs="Arial"/>
              </w:rPr>
              <w:t>Residing</w:t>
            </w:r>
            <w:r w:rsidRPr="00515500">
              <w:rPr>
                <w:rFonts w:ascii="Arial" w:hAnsi="Arial" w:cs="Arial"/>
              </w:rPr>
              <w:t xml:space="preserve"> in a nursing home or assisted care facility.</w:t>
            </w:r>
          </w:p>
        </w:tc>
      </w:tr>
      <w:tr w:rsidR="0012633E" w14:paraId="475788D9" w14:textId="77777777" w:rsidTr="0012633E">
        <w:tc>
          <w:tcPr>
            <w:tcW w:w="9016" w:type="dxa"/>
          </w:tcPr>
          <w:p w14:paraId="78C3A2EC" w14:textId="6EE4B6E3" w:rsidR="0012633E" w:rsidRPr="0012633E" w:rsidRDefault="0012633E" w:rsidP="0012633E">
            <w:pPr>
              <w:pStyle w:val="ListParagraph"/>
              <w:numPr>
                <w:ilvl w:val="0"/>
                <w:numId w:val="5"/>
              </w:numPr>
              <w:spacing w:before="240" w:line="360" w:lineRule="auto"/>
              <w:rPr>
                <w:rFonts w:ascii="Arial" w:hAnsi="Arial" w:cs="Arial"/>
              </w:rPr>
            </w:pPr>
            <w:r w:rsidRPr="0012633E">
              <w:rPr>
                <w:rFonts w:ascii="Arial" w:hAnsi="Arial" w:cs="Arial"/>
              </w:rPr>
              <w:t>H</w:t>
            </w:r>
            <w:r w:rsidR="00B861AD">
              <w:rPr>
                <w:rFonts w:ascii="Arial" w:hAnsi="Arial" w:cs="Arial"/>
              </w:rPr>
              <w:t>istory of or brain magnetic resonance imaging (MRI)</w:t>
            </w:r>
            <w:r w:rsidR="00D50C01">
              <w:rPr>
                <w:rFonts w:ascii="Arial" w:hAnsi="Arial" w:cs="Arial"/>
              </w:rPr>
              <w:t xml:space="preserve"> screening</w:t>
            </w:r>
            <w:r w:rsidRPr="0012633E">
              <w:rPr>
                <w:rFonts w:ascii="Arial" w:hAnsi="Arial" w:cs="Arial"/>
              </w:rPr>
              <w:t xml:space="preserve"> scan indicative of clinically significant abnormality including, but not limited to, prior hemorrhage or infarct &gt;1 cm</w:t>
            </w:r>
            <w:r w:rsidRPr="0012633E">
              <w:rPr>
                <w:rFonts w:ascii="Arial" w:hAnsi="Arial" w:cs="Arial"/>
                <w:vertAlign w:val="superscript"/>
              </w:rPr>
              <w:t>3</w:t>
            </w:r>
            <w:r w:rsidRPr="0012633E">
              <w:rPr>
                <w:rFonts w:ascii="Arial" w:hAnsi="Arial" w:cs="Arial"/>
              </w:rPr>
              <w:t>, &gt;3 lacunar infarcts.</w:t>
            </w:r>
          </w:p>
          <w:p w14:paraId="044E3518" w14:textId="77777777" w:rsidR="0012633E" w:rsidRPr="0012633E" w:rsidRDefault="0012633E">
            <w:pPr>
              <w:rPr>
                <w:rFonts w:ascii="Arial" w:hAnsi="Arial" w:cs="Arial"/>
              </w:rPr>
            </w:pPr>
          </w:p>
        </w:tc>
      </w:tr>
      <w:tr w:rsidR="0012633E" w14:paraId="74901FC6" w14:textId="77777777" w:rsidTr="0012633E">
        <w:tc>
          <w:tcPr>
            <w:tcW w:w="9016" w:type="dxa"/>
          </w:tcPr>
          <w:p w14:paraId="0429D057" w14:textId="5D82167D" w:rsidR="00DE77F4" w:rsidRPr="00161B51" w:rsidRDefault="0012633E" w:rsidP="00DE77F4">
            <w:pPr>
              <w:pStyle w:val="ListParagraph"/>
              <w:numPr>
                <w:ilvl w:val="0"/>
                <w:numId w:val="5"/>
              </w:numPr>
              <w:spacing w:before="240" w:line="360" w:lineRule="auto"/>
              <w:rPr>
                <w:rFonts w:ascii="Arial" w:hAnsi="Arial" w:cs="Arial"/>
              </w:rPr>
            </w:pPr>
            <w:r w:rsidRPr="00161B51">
              <w:rPr>
                <w:rFonts w:ascii="Arial" w:hAnsi="Arial" w:cs="Arial"/>
              </w:rPr>
              <w:t xml:space="preserve">Concomitant disease or condition within </w:t>
            </w:r>
            <w:r w:rsidR="00677994">
              <w:rPr>
                <w:rFonts w:ascii="Arial" w:hAnsi="Arial" w:cs="Arial"/>
              </w:rPr>
              <w:t>6</w:t>
            </w:r>
            <w:r w:rsidR="00677994" w:rsidRPr="00161B51">
              <w:rPr>
                <w:rFonts w:ascii="Arial" w:hAnsi="Arial" w:cs="Arial"/>
              </w:rPr>
              <w:t xml:space="preserve"> </w:t>
            </w:r>
            <w:r w:rsidRPr="00161B51">
              <w:rPr>
                <w:rFonts w:ascii="Arial" w:hAnsi="Arial" w:cs="Arial"/>
              </w:rPr>
              <w:t>months of screening</w:t>
            </w:r>
            <w:r w:rsidR="00677994">
              <w:rPr>
                <w:rFonts w:ascii="Arial" w:hAnsi="Arial" w:cs="Arial"/>
              </w:rPr>
              <w:t>;</w:t>
            </w:r>
            <w:r w:rsidR="00677994" w:rsidRPr="00161B51">
              <w:rPr>
                <w:rFonts w:ascii="Arial" w:hAnsi="Arial" w:cs="Arial"/>
              </w:rPr>
              <w:t xml:space="preserve"> </w:t>
            </w:r>
            <w:r w:rsidRPr="00161B51">
              <w:rPr>
                <w:rFonts w:ascii="Arial" w:hAnsi="Arial" w:cs="Arial"/>
              </w:rPr>
              <w:t>or as specified below, that could interfere with</w:t>
            </w:r>
            <w:r w:rsidR="00677994">
              <w:rPr>
                <w:rFonts w:ascii="Arial" w:hAnsi="Arial" w:cs="Arial"/>
              </w:rPr>
              <w:t>;</w:t>
            </w:r>
            <w:r w:rsidR="00677994" w:rsidRPr="00161B51">
              <w:rPr>
                <w:rFonts w:ascii="Arial" w:hAnsi="Arial" w:cs="Arial"/>
              </w:rPr>
              <w:t xml:space="preserve"> </w:t>
            </w:r>
            <w:r w:rsidRPr="00161B51">
              <w:rPr>
                <w:rFonts w:ascii="Arial" w:hAnsi="Arial" w:cs="Arial"/>
              </w:rPr>
              <w:t>or treatment of which might interfere with, the conduct of the study</w:t>
            </w:r>
            <w:r w:rsidR="00677994">
              <w:rPr>
                <w:rFonts w:ascii="Arial" w:hAnsi="Arial" w:cs="Arial"/>
              </w:rPr>
              <w:t>;</w:t>
            </w:r>
            <w:r w:rsidRPr="00161B51">
              <w:rPr>
                <w:rFonts w:ascii="Arial" w:hAnsi="Arial" w:cs="Arial"/>
              </w:rPr>
              <w:t xml:space="preserve"> or that would, in the opinion of the Investigator, pose an unacceptable risk to the participant in this study</w:t>
            </w:r>
            <w:r w:rsidR="00677994">
              <w:rPr>
                <w:rFonts w:ascii="Arial" w:hAnsi="Arial" w:cs="Arial"/>
              </w:rPr>
              <w:t>;</w:t>
            </w:r>
            <w:r w:rsidRPr="00161B51">
              <w:rPr>
                <w:rFonts w:ascii="Arial" w:hAnsi="Arial" w:cs="Arial"/>
              </w:rPr>
              <w:t xml:space="preserve"> or interfere with the participant’s ability to comply with study procedures or abide by study restrictions</w:t>
            </w:r>
            <w:r w:rsidR="00677994">
              <w:rPr>
                <w:rFonts w:ascii="Arial" w:hAnsi="Arial" w:cs="Arial"/>
              </w:rPr>
              <w:t>;</w:t>
            </w:r>
            <w:r w:rsidR="00677994" w:rsidRPr="00161B51">
              <w:rPr>
                <w:rFonts w:ascii="Arial" w:hAnsi="Arial" w:cs="Arial"/>
              </w:rPr>
              <w:t xml:space="preserve"> </w:t>
            </w:r>
            <w:r w:rsidRPr="00161B51">
              <w:rPr>
                <w:rFonts w:ascii="Arial" w:hAnsi="Arial" w:cs="Arial"/>
              </w:rPr>
              <w:t>or with the ability to interpret safety data, including, but not limited to:</w:t>
            </w:r>
          </w:p>
          <w:p w14:paraId="532A5579" w14:textId="02BF21F9" w:rsidR="00DE77F4" w:rsidRPr="00161B51" w:rsidRDefault="00DE77F4" w:rsidP="00DE77F4">
            <w:pPr>
              <w:pStyle w:val="ListParagraph"/>
              <w:numPr>
                <w:ilvl w:val="0"/>
                <w:numId w:val="13"/>
              </w:numPr>
              <w:spacing w:before="240" w:line="360" w:lineRule="auto"/>
              <w:rPr>
                <w:rFonts w:ascii="Arial" w:hAnsi="Arial" w:cs="Arial"/>
              </w:rPr>
            </w:pPr>
            <w:r w:rsidRPr="00161B51">
              <w:rPr>
                <w:rFonts w:ascii="Arial" w:hAnsi="Arial" w:cs="Arial"/>
              </w:rPr>
              <w:t>Autoimmune disease (however, well</w:t>
            </w:r>
            <w:r w:rsidR="00677994">
              <w:rPr>
                <w:rFonts w:ascii="Arial" w:hAnsi="Arial" w:cs="Arial"/>
              </w:rPr>
              <w:t>-</w:t>
            </w:r>
            <w:r w:rsidRPr="00161B51">
              <w:rPr>
                <w:rFonts w:ascii="Arial" w:hAnsi="Arial" w:cs="Arial"/>
              </w:rPr>
              <w:t xml:space="preserve">controlled conditions such as, but not limited to, quiescent rheumatoid arthritis, controlled </w:t>
            </w:r>
            <w:r w:rsidR="00677994">
              <w:rPr>
                <w:rFonts w:ascii="Arial" w:hAnsi="Arial" w:cs="Arial"/>
              </w:rPr>
              <w:t>T</w:t>
            </w:r>
            <w:r w:rsidR="00677994" w:rsidRPr="00161B51">
              <w:rPr>
                <w:rFonts w:ascii="Arial" w:hAnsi="Arial" w:cs="Arial"/>
              </w:rPr>
              <w:t xml:space="preserve">ype </w:t>
            </w:r>
            <w:r w:rsidR="00677994">
              <w:rPr>
                <w:rFonts w:ascii="Arial" w:hAnsi="Arial" w:cs="Arial"/>
              </w:rPr>
              <w:t>1</w:t>
            </w:r>
            <w:r w:rsidR="00677994" w:rsidRPr="00161B51">
              <w:rPr>
                <w:rFonts w:ascii="Arial" w:hAnsi="Arial" w:cs="Arial"/>
              </w:rPr>
              <w:t xml:space="preserve"> </w:t>
            </w:r>
            <w:r w:rsidRPr="00161B51">
              <w:rPr>
                <w:rFonts w:ascii="Arial" w:hAnsi="Arial" w:cs="Arial"/>
              </w:rPr>
              <w:t xml:space="preserve">diabetes, or mild-to-moderate psoriasis not requiring systemic medications may be acceptable after discussion with Sponsor/Medical monitors). </w:t>
            </w:r>
          </w:p>
          <w:p w14:paraId="1A1DE1D2" w14:textId="544DC036" w:rsidR="00DE77F4" w:rsidRPr="00161B51" w:rsidRDefault="00DE77F4" w:rsidP="00DE77F4">
            <w:pPr>
              <w:pStyle w:val="ListParagraph"/>
              <w:numPr>
                <w:ilvl w:val="0"/>
                <w:numId w:val="13"/>
              </w:numPr>
              <w:spacing w:before="240" w:line="360" w:lineRule="auto"/>
              <w:rPr>
                <w:rFonts w:ascii="Arial" w:hAnsi="Arial" w:cs="Arial"/>
              </w:rPr>
            </w:pPr>
            <w:r w:rsidRPr="00161B51">
              <w:rPr>
                <w:rFonts w:ascii="Arial" w:hAnsi="Arial" w:cs="Arial"/>
              </w:rPr>
              <w:t>A history of cancer within 5 years of baseline with the exception of fully excised non</w:t>
            </w:r>
            <w:r w:rsidR="00677994">
              <w:rPr>
                <w:rFonts w:ascii="Arial" w:hAnsi="Arial" w:cs="Arial"/>
              </w:rPr>
              <w:t>-</w:t>
            </w:r>
            <w:r w:rsidRPr="00161B51">
              <w:rPr>
                <w:rFonts w:ascii="Arial" w:hAnsi="Arial" w:cs="Arial"/>
              </w:rPr>
              <w:t>melanoma skin cancers or non-metastatic prostate cancer that has been stable for at least 6 months.</w:t>
            </w:r>
          </w:p>
          <w:p w14:paraId="076CE71F" w14:textId="77777777" w:rsidR="00DE77F4" w:rsidRPr="00161B51" w:rsidRDefault="00DE77F4" w:rsidP="00DE77F4">
            <w:pPr>
              <w:pStyle w:val="ListParagraph"/>
              <w:numPr>
                <w:ilvl w:val="0"/>
                <w:numId w:val="13"/>
              </w:numPr>
              <w:spacing w:before="240" w:line="360" w:lineRule="auto"/>
              <w:rPr>
                <w:rFonts w:ascii="Arial" w:hAnsi="Arial" w:cs="Arial"/>
              </w:rPr>
            </w:pPr>
            <w:r w:rsidRPr="00161B51">
              <w:rPr>
                <w:rFonts w:ascii="Arial" w:hAnsi="Arial" w:cs="Arial"/>
              </w:rPr>
              <w:t>Any active infectious disease at baseline.</w:t>
            </w:r>
          </w:p>
          <w:p w14:paraId="77EB3BB8" w14:textId="77777777" w:rsidR="00DE77F4" w:rsidRPr="00161B51" w:rsidRDefault="00DE77F4" w:rsidP="00DE77F4">
            <w:pPr>
              <w:pStyle w:val="ListParagraph"/>
              <w:numPr>
                <w:ilvl w:val="0"/>
                <w:numId w:val="13"/>
              </w:numPr>
              <w:spacing w:before="240" w:line="360" w:lineRule="auto"/>
              <w:rPr>
                <w:rFonts w:ascii="Arial" w:hAnsi="Arial" w:cs="Arial"/>
              </w:rPr>
            </w:pPr>
            <w:r w:rsidRPr="00161B51">
              <w:rPr>
                <w:rFonts w:ascii="Arial" w:hAnsi="Arial" w:cs="Arial"/>
              </w:rPr>
              <w:t>Current, or history of, alcohol or drug abuse or other dependence (except nicotine</w:t>
            </w:r>
          </w:p>
          <w:p w14:paraId="165EE92C" w14:textId="7987038D" w:rsidR="00DE77F4" w:rsidRPr="00161B51" w:rsidRDefault="00DE77F4" w:rsidP="00DE77F4">
            <w:pPr>
              <w:pStyle w:val="ListParagraph"/>
              <w:spacing w:before="240" w:line="360" w:lineRule="auto"/>
              <w:rPr>
                <w:rFonts w:ascii="Arial" w:hAnsi="Arial" w:cs="Arial"/>
              </w:rPr>
            </w:pPr>
            <w:r w:rsidRPr="00161B51">
              <w:rPr>
                <w:rFonts w:ascii="Arial" w:hAnsi="Arial" w:cs="Arial"/>
              </w:rPr>
              <w:t xml:space="preserve">dependence) within </w:t>
            </w:r>
            <w:r w:rsidR="00677994">
              <w:rPr>
                <w:rFonts w:ascii="Arial" w:hAnsi="Arial" w:cs="Arial"/>
              </w:rPr>
              <w:t>2</w:t>
            </w:r>
            <w:r w:rsidR="00677994" w:rsidRPr="00161B51">
              <w:rPr>
                <w:rFonts w:ascii="Arial" w:hAnsi="Arial" w:cs="Arial"/>
              </w:rPr>
              <w:t xml:space="preserve"> </w:t>
            </w:r>
            <w:r w:rsidRPr="00161B51">
              <w:rPr>
                <w:rFonts w:ascii="Arial" w:hAnsi="Arial" w:cs="Arial"/>
              </w:rPr>
              <w:t xml:space="preserve">years before screening. </w:t>
            </w:r>
          </w:p>
          <w:p w14:paraId="5224030B" w14:textId="4BA03DF9" w:rsidR="00DE77F4" w:rsidRPr="00161B51" w:rsidRDefault="00DE77F4" w:rsidP="00DE77F4">
            <w:pPr>
              <w:pStyle w:val="ListParagraph"/>
              <w:numPr>
                <w:ilvl w:val="0"/>
                <w:numId w:val="13"/>
              </w:numPr>
              <w:spacing w:before="240" w:line="360" w:lineRule="auto"/>
              <w:rPr>
                <w:rFonts w:ascii="Arial" w:hAnsi="Arial" w:cs="Arial"/>
              </w:rPr>
            </w:pPr>
            <w:r w:rsidRPr="00161B51">
              <w:rPr>
                <w:rFonts w:ascii="Arial" w:hAnsi="Arial" w:cs="Arial"/>
              </w:rPr>
              <w:t xml:space="preserve">Any febrile illness within </w:t>
            </w:r>
            <w:r w:rsidR="00677994">
              <w:rPr>
                <w:rFonts w:ascii="Arial" w:hAnsi="Arial" w:cs="Arial"/>
              </w:rPr>
              <w:t>1</w:t>
            </w:r>
            <w:r w:rsidR="00677994" w:rsidRPr="00161B51">
              <w:rPr>
                <w:rFonts w:ascii="Arial" w:hAnsi="Arial" w:cs="Arial"/>
              </w:rPr>
              <w:t xml:space="preserve"> </w:t>
            </w:r>
            <w:r w:rsidRPr="00161B51">
              <w:rPr>
                <w:rFonts w:ascii="Arial" w:hAnsi="Arial" w:cs="Arial"/>
              </w:rPr>
              <w:t>week prior to first dose administration.</w:t>
            </w:r>
          </w:p>
          <w:p w14:paraId="4A959077" w14:textId="77777777" w:rsidR="00DE77F4" w:rsidRPr="00161B51" w:rsidRDefault="00DE77F4" w:rsidP="00DE77F4">
            <w:pPr>
              <w:pStyle w:val="ListParagraph"/>
              <w:numPr>
                <w:ilvl w:val="0"/>
                <w:numId w:val="13"/>
              </w:numPr>
              <w:spacing w:before="240" w:line="360" w:lineRule="auto"/>
              <w:rPr>
                <w:rFonts w:ascii="Arial" w:hAnsi="Arial" w:cs="Arial"/>
              </w:rPr>
            </w:pPr>
            <w:r w:rsidRPr="00161B51">
              <w:rPr>
                <w:rFonts w:ascii="Arial" w:hAnsi="Arial" w:cs="Arial"/>
              </w:rPr>
              <w:t>Any current psychiatric diagnosis according to Diagnostic and Statistical Manual of</w:t>
            </w:r>
          </w:p>
          <w:p w14:paraId="66D40C68" w14:textId="77777777" w:rsidR="00DE77F4" w:rsidRPr="00161B51" w:rsidRDefault="00DE77F4" w:rsidP="00DE77F4">
            <w:pPr>
              <w:pStyle w:val="ListParagraph"/>
              <w:spacing w:before="240" w:line="360" w:lineRule="auto"/>
              <w:rPr>
                <w:rFonts w:ascii="Arial" w:hAnsi="Arial" w:cs="Arial"/>
              </w:rPr>
            </w:pPr>
            <w:r w:rsidRPr="00161B51">
              <w:rPr>
                <w:rFonts w:ascii="Arial" w:hAnsi="Arial" w:cs="Arial"/>
              </w:rPr>
              <w:t>Mental Disorders fifth edition (DSM-5), International Statistical Classification of</w:t>
            </w:r>
          </w:p>
          <w:p w14:paraId="6FECD030" w14:textId="77777777" w:rsidR="00DE77F4" w:rsidRPr="00161B51" w:rsidRDefault="00DE77F4" w:rsidP="00DE77F4">
            <w:pPr>
              <w:pStyle w:val="ListParagraph"/>
              <w:spacing w:before="240" w:line="360" w:lineRule="auto"/>
              <w:rPr>
                <w:rFonts w:ascii="Arial" w:hAnsi="Arial" w:cs="Arial"/>
              </w:rPr>
            </w:pPr>
            <w:r w:rsidRPr="00161B51">
              <w:rPr>
                <w:rFonts w:ascii="Arial" w:hAnsi="Arial" w:cs="Arial"/>
              </w:rPr>
              <w:t>Diseases and Related Health Problems 10th Revision (ICD-10) or equivalent, that</w:t>
            </w:r>
          </w:p>
          <w:p w14:paraId="6AFBBC8B" w14:textId="77777777" w:rsidR="00DE77F4" w:rsidRPr="00161B51" w:rsidRDefault="00DE77F4" w:rsidP="00DE77F4">
            <w:pPr>
              <w:pStyle w:val="ListParagraph"/>
              <w:spacing w:before="240" w:line="360" w:lineRule="auto"/>
              <w:rPr>
                <w:rFonts w:ascii="Arial" w:hAnsi="Arial" w:cs="Arial"/>
              </w:rPr>
            </w:pPr>
            <w:r w:rsidRPr="00161B51">
              <w:rPr>
                <w:rFonts w:ascii="Arial" w:hAnsi="Arial" w:cs="Arial"/>
              </w:rPr>
              <w:t>may interfere with the participant’s ability to perform the study and all assessments</w:t>
            </w:r>
          </w:p>
          <w:p w14:paraId="567D0B1E" w14:textId="5D764CB3" w:rsidR="00DE77F4" w:rsidRPr="00161B51" w:rsidRDefault="00DE77F4" w:rsidP="00DE77F4">
            <w:pPr>
              <w:pStyle w:val="ListParagraph"/>
              <w:spacing w:before="240" w:line="360" w:lineRule="auto"/>
              <w:rPr>
                <w:rFonts w:ascii="Arial" w:hAnsi="Arial" w:cs="Arial"/>
              </w:rPr>
            </w:pPr>
            <w:r w:rsidRPr="00161B51">
              <w:rPr>
                <w:rFonts w:ascii="Arial" w:hAnsi="Arial" w:cs="Arial"/>
              </w:rPr>
              <w:t>(e.g. major depression, mental retardation, schizophrenia, bipolar disorder, etc.).</w:t>
            </w:r>
          </w:p>
          <w:p w14:paraId="16206A06" w14:textId="77777777" w:rsidR="00DE77F4" w:rsidRPr="00161B51" w:rsidRDefault="00DE77F4" w:rsidP="00DE77F4">
            <w:pPr>
              <w:pStyle w:val="ListParagraph"/>
              <w:spacing w:before="240" w:line="360" w:lineRule="auto"/>
              <w:rPr>
                <w:rFonts w:ascii="Arial" w:hAnsi="Arial" w:cs="Arial"/>
              </w:rPr>
            </w:pPr>
            <w:r w:rsidRPr="00161B51">
              <w:rPr>
                <w:rFonts w:ascii="Arial" w:hAnsi="Arial" w:cs="Arial"/>
              </w:rPr>
              <w:t>Note: Mild depression, depressive mood or mild anxiety arising in the context of PD, are not exclusionary.</w:t>
            </w:r>
          </w:p>
        </w:tc>
      </w:tr>
      <w:tr w:rsidR="0012633E" w14:paraId="7E241FE0" w14:textId="77777777" w:rsidTr="0012633E">
        <w:tc>
          <w:tcPr>
            <w:tcW w:w="9016" w:type="dxa"/>
          </w:tcPr>
          <w:p w14:paraId="581FE697" w14:textId="77777777" w:rsidR="0012633E" w:rsidRPr="00161B51" w:rsidRDefault="00161B51" w:rsidP="00161B51">
            <w:pPr>
              <w:pStyle w:val="ListParagraph"/>
              <w:numPr>
                <w:ilvl w:val="0"/>
                <w:numId w:val="5"/>
              </w:numPr>
              <w:spacing w:line="360" w:lineRule="auto"/>
              <w:rPr>
                <w:rFonts w:ascii="Arial" w:hAnsi="Arial" w:cs="Arial"/>
              </w:rPr>
            </w:pPr>
            <w:r w:rsidRPr="00161B51">
              <w:rPr>
                <w:rFonts w:ascii="Arial" w:hAnsi="Arial" w:cs="Arial"/>
                <w:lang w:val="en-GB"/>
              </w:rPr>
              <w:t>The following cardiovascular conditions:</w:t>
            </w:r>
          </w:p>
          <w:p w14:paraId="5ADE0BD7" w14:textId="77777777" w:rsidR="00161B51" w:rsidRDefault="00161B51" w:rsidP="00161B51">
            <w:pPr>
              <w:pStyle w:val="ListParagraph"/>
              <w:numPr>
                <w:ilvl w:val="0"/>
                <w:numId w:val="14"/>
              </w:numPr>
              <w:spacing w:line="360" w:lineRule="auto"/>
              <w:rPr>
                <w:rFonts w:ascii="Arial" w:hAnsi="Arial" w:cs="Arial"/>
              </w:rPr>
            </w:pPr>
            <w:r w:rsidRPr="00161B51">
              <w:rPr>
                <w:rFonts w:ascii="Arial" w:hAnsi="Arial" w:cs="Arial"/>
              </w:rPr>
              <w:lastRenderedPageBreak/>
              <w:t>Myocardial infarction within 12 months of baseline.</w:t>
            </w:r>
          </w:p>
          <w:p w14:paraId="137920E8" w14:textId="1E6967AA" w:rsidR="00161B51" w:rsidRPr="00161B51" w:rsidRDefault="00161B51" w:rsidP="00161B51">
            <w:pPr>
              <w:pStyle w:val="ListParagraph"/>
              <w:numPr>
                <w:ilvl w:val="0"/>
                <w:numId w:val="14"/>
              </w:numPr>
              <w:spacing w:line="360" w:lineRule="auto"/>
              <w:rPr>
                <w:rFonts w:ascii="Arial" w:hAnsi="Arial" w:cs="Arial"/>
              </w:rPr>
            </w:pPr>
            <w:r w:rsidRPr="00161B51">
              <w:rPr>
                <w:rFonts w:ascii="Arial" w:hAnsi="Arial" w:cs="Arial"/>
              </w:rPr>
              <w:t>Known history or documentation of uncontrolled hypotension or bradycardia on</w:t>
            </w:r>
            <w:r>
              <w:rPr>
                <w:rFonts w:ascii="Arial" w:hAnsi="Arial" w:cs="Arial"/>
              </w:rPr>
              <w:t xml:space="preserve"> </w:t>
            </w:r>
            <w:r w:rsidRPr="00161B51">
              <w:rPr>
                <w:rFonts w:ascii="Arial" w:hAnsi="Arial" w:cs="Arial"/>
              </w:rPr>
              <w:t xml:space="preserve">more than one occasion within </w:t>
            </w:r>
            <w:r w:rsidR="001263CA">
              <w:rPr>
                <w:rFonts w:ascii="Arial" w:hAnsi="Arial" w:cs="Arial"/>
              </w:rPr>
              <w:t>3</w:t>
            </w:r>
            <w:r w:rsidR="001263CA" w:rsidRPr="00161B51">
              <w:rPr>
                <w:rFonts w:ascii="Arial" w:hAnsi="Arial" w:cs="Arial"/>
              </w:rPr>
              <w:t xml:space="preserve"> </w:t>
            </w:r>
            <w:r w:rsidRPr="00161B51">
              <w:rPr>
                <w:rFonts w:ascii="Arial" w:hAnsi="Arial" w:cs="Arial"/>
              </w:rPr>
              <w:t>months prior to baseline.</w:t>
            </w:r>
          </w:p>
          <w:p w14:paraId="28F02A0B" w14:textId="77777777" w:rsidR="00161B51" w:rsidRPr="00161B51" w:rsidRDefault="00161B51" w:rsidP="00161B51">
            <w:pPr>
              <w:pStyle w:val="ListParagraph"/>
              <w:numPr>
                <w:ilvl w:val="0"/>
                <w:numId w:val="14"/>
              </w:numPr>
              <w:spacing w:line="360" w:lineRule="auto"/>
              <w:rPr>
                <w:rFonts w:ascii="Arial" w:hAnsi="Arial" w:cs="Arial"/>
              </w:rPr>
            </w:pPr>
            <w:r w:rsidRPr="00161B51">
              <w:rPr>
                <w:rFonts w:ascii="Arial" w:hAnsi="Arial" w:cs="Arial"/>
              </w:rPr>
              <w:t>Known history or documentation of uncontrolled hypertension on more than one</w:t>
            </w:r>
            <w:r>
              <w:rPr>
                <w:rFonts w:ascii="Arial" w:hAnsi="Arial" w:cs="Arial"/>
              </w:rPr>
              <w:t xml:space="preserve"> </w:t>
            </w:r>
            <w:r w:rsidRPr="00161B51">
              <w:rPr>
                <w:rFonts w:ascii="Arial" w:hAnsi="Arial" w:cs="Arial"/>
              </w:rPr>
              <w:t>occasion within three months prior to baseline.</w:t>
            </w:r>
          </w:p>
          <w:p w14:paraId="20899F98" w14:textId="77777777" w:rsidR="00161B51" w:rsidRPr="00161B51" w:rsidRDefault="00161B51" w:rsidP="00161B51">
            <w:pPr>
              <w:pStyle w:val="ListParagraph"/>
              <w:numPr>
                <w:ilvl w:val="0"/>
                <w:numId w:val="14"/>
              </w:numPr>
              <w:spacing w:line="360" w:lineRule="auto"/>
              <w:rPr>
                <w:rFonts w:ascii="Arial" w:hAnsi="Arial" w:cs="Arial"/>
              </w:rPr>
            </w:pPr>
            <w:r>
              <w:rPr>
                <w:rFonts w:ascii="Arial" w:hAnsi="Arial" w:cs="Arial"/>
              </w:rPr>
              <w:t>Resting pulse rate</w:t>
            </w:r>
            <w:r w:rsidRPr="00161B51">
              <w:rPr>
                <w:rFonts w:ascii="Arial" w:hAnsi="Arial" w:cs="Arial"/>
              </w:rPr>
              <w:t xml:space="preserve"> greater than 100 or less than 45 bpm.</w:t>
            </w:r>
          </w:p>
          <w:p w14:paraId="5ABC5B84" w14:textId="77777777" w:rsidR="00161B51" w:rsidRPr="00161B51" w:rsidRDefault="00161B51" w:rsidP="00161B51">
            <w:pPr>
              <w:pStyle w:val="ListParagraph"/>
              <w:numPr>
                <w:ilvl w:val="0"/>
                <w:numId w:val="14"/>
              </w:numPr>
              <w:spacing w:line="360" w:lineRule="auto"/>
              <w:rPr>
                <w:rFonts w:ascii="Arial" w:hAnsi="Arial" w:cs="Arial"/>
              </w:rPr>
            </w:pPr>
            <w:r w:rsidRPr="00161B51">
              <w:rPr>
                <w:rFonts w:ascii="Arial" w:hAnsi="Arial" w:cs="Arial"/>
              </w:rPr>
              <w:t>Clinically significant cardiovascular disease including any of the following: unstable</w:t>
            </w:r>
          </w:p>
          <w:p w14:paraId="070FB3DE" w14:textId="77777777" w:rsidR="00161B51" w:rsidRPr="00161B51" w:rsidRDefault="00161B51" w:rsidP="00161B51">
            <w:pPr>
              <w:pStyle w:val="ListParagraph"/>
              <w:spacing w:line="360" w:lineRule="auto"/>
              <w:rPr>
                <w:rFonts w:ascii="Arial" w:hAnsi="Arial" w:cs="Arial"/>
              </w:rPr>
            </w:pPr>
            <w:r w:rsidRPr="00161B51">
              <w:rPr>
                <w:rFonts w:ascii="Arial" w:hAnsi="Arial" w:cs="Arial"/>
              </w:rPr>
              <w:t>angina, decompensated congestive heart failure, clinically significant arrhythmias or</w:t>
            </w:r>
            <w:r>
              <w:rPr>
                <w:rFonts w:ascii="Arial" w:hAnsi="Arial" w:cs="Arial"/>
              </w:rPr>
              <w:t xml:space="preserve"> </w:t>
            </w:r>
            <w:r w:rsidRPr="00161B51">
              <w:rPr>
                <w:rFonts w:ascii="Arial" w:hAnsi="Arial" w:cs="Arial"/>
              </w:rPr>
              <w:t>symptomatic orthostatic hypotension.</w:t>
            </w:r>
          </w:p>
          <w:p w14:paraId="0074081F" w14:textId="77777777" w:rsidR="00161B51" w:rsidRDefault="00161B51" w:rsidP="00161B51">
            <w:pPr>
              <w:pStyle w:val="ListParagraph"/>
              <w:numPr>
                <w:ilvl w:val="0"/>
                <w:numId w:val="14"/>
              </w:numPr>
              <w:spacing w:line="360" w:lineRule="auto"/>
              <w:rPr>
                <w:rFonts w:ascii="Arial" w:hAnsi="Arial" w:cs="Arial"/>
              </w:rPr>
            </w:pPr>
            <w:r w:rsidRPr="00161B51">
              <w:rPr>
                <w:rFonts w:ascii="Arial" w:hAnsi="Arial" w:cs="Arial"/>
              </w:rPr>
              <w:t xml:space="preserve">A corrected QT interval measurement &gt;450 </w:t>
            </w:r>
            <w:proofErr w:type="spellStart"/>
            <w:r w:rsidRPr="00161B51">
              <w:rPr>
                <w:rFonts w:ascii="Arial" w:hAnsi="Arial" w:cs="Arial"/>
              </w:rPr>
              <w:t>ms</w:t>
            </w:r>
            <w:proofErr w:type="spellEnd"/>
            <w:r w:rsidRPr="00161B51">
              <w:rPr>
                <w:rFonts w:ascii="Arial" w:hAnsi="Arial" w:cs="Arial"/>
              </w:rPr>
              <w:t xml:space="preserve"> for males or &gt;470ms for females at screening, or a family history of long QT syndrome.</w:t>
            </w:r>
          </w:p>
          <w:p w14:paraId="7E6830C6" w14:textId="1A231FF8" w:rsidR="00161B51" w:rsidRPr="00161B51" w:rsidRDefault="00161B51" w:rsidP="00161B51">
            <w:pPr>
              <w:pStyle w:val="ListParagraph"/>
              <w:numPr>
                <w:ilvl w:val="0"/>
                <w:numId w:val="14"/>
              </w:numPr>
              <w:spacing w:line="360" w:lineRule="auto"/>
              <w:rPr>
                <w:rFonts w:ascii="Arial" w:hAnsi="Arial" w:cs="Arial"/>
              </w:rPr>
            </w:pPr>
            <w:r w:rsidRPr="00161B51">
              <w:rPr>
                <w:rFonts w:ascii="Arial" w:hAnsi="Arial" w:cs="Arial"/>
              </w:rPr>
              <w:t>Intermittent second or third degree atrioventricular (AV) heart block or AV dissociation is excluded (asymptomatic patients with first degree AV block may be</w:t>
            </w:r>
            <w:r>
              <w:rPr>
                <w:rFonts w:ascii="Arial" w:hAnsi="Arial" w:cs="Arial"/>
              </w:rPr>
              <w:t xml:space="preserve"> </w:t>
            </w:r>
            <w:r w:rsidRPr="00161B51">
              <w:rPr>
                <w:rFonts w:ascii="Arial" w:hAnsi="Arial" w:cs="Arial"/>
              </w:rPr>
              <w:t>included).</w:t>
            </w:r>
          </w:p>
        </w:tc>
      </w:tr>
      <w:tr w:rsidR="00161B51" w14:paraId="596210E3" w14:textId="77777777" w:rsidTr="0012633E">
        <w:tc>
          <w:tcPr>
            <w:tcW w:w="9016" w:type="dxa"/>
          </w:tcPr>
          <w:p w14:paraId="4AE7DB2C" w14:textId="4CBAA92B" w:rsidR="00161B51" w:rsidRPr="00161B51" w:rsidRDefault="00161B51" w:rsidP="00161B51">
            <w:pPr>
              <w:pStyle w:val="ListParagraph"/>
              <w:numPr>
                <w:ilvl w:val="0"/>
                <w:numId w:val="5"/>
              </w:numPr>
              <w:spacing w:line="360" w:lineRule="auto"/>
              <w:rPr>
                <w:rFonts w:ascii="Arial" w:hAnsi="Arial" w:cs="Arial"/>
                <w:lang w:val="en-GB"/>
              </w:rPr>
            </w:pPr>
            <w:r w:rsidRPr="00161B51">
              <w:rPr>
                <w:rFonts w:ascii="Arial" w:hAnsi="Arial" w:cs="Arial"/>
                <w:lang w:val="en-GB"/>
              </w:rPr>
              <w:lastRenderedPageBreak/>
              <w:t xml:space="preserve">Clinically significant abnormalities in laboratory test results at the </w:t>
            </w:r>
            <w:r w:rsidR="001263CA">
              <w:rPr>
                <w:rFonts w:ascii="Arial" w:hAnsi="Arial" w:cs="Arial"/>
                <w:lang w:val="en-GB"/>
              </w:rPr>
              <w:t>s</w:t>
            </w:r>
            <w:r w:rsidR="001263CA" w:rsidRPr="00161B51">
              <w:rPr>
                <w:rFonts w:ascii="Arial" w:hAnsi="Arial" w:cs="Arial"/>
                <w:lang w:val="en-GB"/>
              </w:rPr>
              <w:t xml:space="preserve">creening </w:t>
            </w:r>
            <w:r w:rsidRPr="00161B51">
              <w:rPr>
                <w:rFonts w:ascii="Arial" w:hAnsi="Arial" w:cs="Arial"/>
                <w:lang w:val="en-GB"/>
              </w:rPr>
              <w:t>visit, including hepatic and renal panels, complete blood count, chemistry panel and urinalysis, including:</w:t>
            </w:r>
          </w:p>
          <w:p w14:paraId="3BCFF822" w14:textId="221A0A2A" w:rsidR="00161B51" w:rsidRPr="00161B51" w:rsidRDefault="00161B51" w:rsidP="00161B51">
            <w:pPr>
              <w:pStyle w:val="ListParagraph"/>
              <w:numPr>
                <w:ilvl w:val="0"/>
                <w:numId w:val="16"/>
              </w:numPr>
              <w:spacing w:line="360" w:lineRule="auto"/>
              <w:rPr>
                <w:rFonts w:ascii="Arial" w:hAnsi="Arial" w:cs="Arial"/>
                <w:lang w:val="en-GB"/>
              </w:rPr>
            </w:pPr>
            <w:r w:rsidRPr="00161B51">
              <w:rPr>
                <w:rFonts w:ascii="Arial" w:hAnsi="Arial" w:cs="Arial"/>
                <w:lang w:val="en-GB"/>
              </w:rPr>
              <w:t>Total bilirubin, alanine aminotransferase (ALT) or aspartate aminotransferase (AST)</w:t>
            </w:r>
            <w:r>
              <w:rPr>
                <w:rFonts w:ascii="Arial" w:hAnsi="Arial" w:cs="Arial"/>
                <w:lang w:val="en-GB"/>
              </w:rPr>
              <w:t xml:space="preserve"> </w:t>
            </w:r>
            <w:r w:rsidRPr="00161B51">
              <w:rPr>
                <w:rFonts w:ascii="Arial" w:hAnsi="Arial" w:cs="Arial"/>
                <w:lang w:val="en-GB"/>
              </w:rPr>
              <w:t>2 times the upper limit of normal (ULN).</w:t>
            </w:r>
          </w:p>
          <w:p w14:paraId="346EFF54" w14:textId="17FF8105" w:rsidR="00161B51" w:rsidRDefault="00161B51" w:rsidP="00161B51">
            <w:pPr>
              <w:pStyle w:val="ListParagraph"/>
              <w:numPr>
                <w:ilvl w:val="0"/>
                <w:numId w:val="16"/>
              </w:numPr>
              <w:spacing w:line="360" w:lineRule="auto"/>
              <w:rPr>
                <w:rFonts w:ascii="Arial" w:hAnsi="Arial" w:cs="Arial"/>
                <w:lang w:val="en-GB"/>
              </w:rPr>
            </w:pPr>
            <w:r w:rsidRPr="00161B51">
              <w:rPr>
                <w:rFonts w:ascii="Arial" w:hAnsi="Arial" w:cs="Arial"/>
                <w:lang w:val="en-GB"/>
              </w:rPr>
              <w:t>Serum creatinine &gt;1.5 times the ULN.</w:t>
            </w:r>
          </w:p>
          <w:p w14:paraId="2145FE3A" w14:textId="288CABE9" w:rsidR="00161B51" w:rsidRPr="00161B51" w:rsidRDefault="00161B51" w:rsidP="00161B51">
            <w:pPr>
              <w:pStyle w:val="ListParagraph"/>
              <w:numPr>
                <w:ilvl w:val="0"/>
                <w:numId w:val="16"/>
              </w:numPr>
              <w:spacing w:line="360" w:lineRule="auto"/>
              <w:rPr>
                <w:rFonts w:ascii="Arial" w:hAnsi="Arial" w:cs="Arial"/>
                <w:lang w:val="en-GB"/>
              </w:rPr>
            </w:pPr>
            <w:proofErr w:type="spellStart"/>
            <w:r w:rsidRPr="00161B51">
              <w:rPr>
                <w:rFonts w:ascii="Arial" w:hAnsi="Arial" w:cs="Arial"/>
                <w:lang w:val="en-GB"/>
              </w:rPr>
              <w:t>Hematocrit</w:t>
            </w:r>
            <w:proofErr w:type="spellEnd"/>
            <w:r w:rsidRPr="00161B51">
              <w:rPr>
                <w:rFonts w:ascii="Arial" w:hAnsi="Arial" w:cs="Arial"/>
                <w:lang w:val="en-GB"/>
              </w:rPr>
              <w:t xml:space="preserve"> (</w:t>
            </w:r>
            <w:proofErr w:type="spellStart"/>
            <w:r w:rsidRPr="00161B51">
              <w:rPr>
                <w:rFonts w:ascii="Arial" w:hAnsi="Arial" w:cs="Arial"/>
                <w:lang w:val="en-GB"/>
              </w:rPr>
              <w:t>Hct</w:t>
            </w:r>
            <w:proofErr w:type="spellEnd"/>
            <w:r w:rsidRPr="00161B51">
              <w:rPr>
                <w:rFonts w:ascii="Arial" w:hAnsi="Arial" w:cs="Arial"/>
                <w:lang w:val="en-GB"/>
              </w:rPr>
              <w:t>) less than 35% for males and less than 32% for females, or absolute neutrophil cell count of &lt;1500/µL (with the exception of a documented history of chronic benign neutropenia), or platelet cell count of &lt;120,000/µL; international normalized ratio (INR) &gt;1.4 (in patients not on anticoagulants) or other coagulopathy.</w:t>
            </w:r>
          </w:p>
          <w:p w14:paraId="1536C034" w14:textId="7941DEAA" w:rsidR="00161B51" w:rsidRPr="00161B51" w:rsidRDefault="00161B51" w:rsidP="00161B51">
            <w:pPr>
              <w:pStyle w:val="ListParagraph"/>
              <w:numPr>
                <w:ilvl w:val="0"/>
                <w:numId w:val="16"/>
              </w:numPr>
              <w:spacing w:line="360" w:lineRule="auto"/>
              <w:rPr>
                <w:rFonts w:ascii="Arial" w:hAnsi="Arial" w:cs="Arial"/>
                <w:lang w:val="en-GB"/>
              </w:rPr>
            </w:pPr>
            <w:r w:rsidRPr="00161B51">
              <w:rPr>
                <w:rFonts w:ascii="Arial" w:hAnsi="Arial" w:cs="Arial"/>
                <w:lang w:val="en-GB"/>
              </w:rPr>
              <w:t>A clinically significant abnormal thyroid-stimulating hormone (TSH) test.</w:t>
            </w:r>
            <w:r>
              <w:t xml:space="preserve"> </w:t>
            </w:r>
          </w:p>
          <w:p w14:paraId="70784927" w14:textId="77777777" w:rsidR="00161B51" w:rsidRPr="00161B51" w:rsidRDefault="00161B51" w:rsidP="00161B51">
            <w:pPr>
              <w:pStyle w:val="ListParagraph"/>
              <w:numPr>
                <w:ilvl w:val="0"/>
                <w:numId w:val="16"/>
              </w:numPr>
              <w:spacing w:line="360" w:lineRule="auto"/>
              <w:rPr>
                <w:rFonts w:ascii="Arial" w:hAnsi="Arial" w:cs="Arial"/>
                <w:lang w:val="en-GB"/>
              </w:rPr>
            </w:pPr>
            <w:r w:rsidRPr="00161B51">
              <w:rPr>
                <w:rFonts w:ascii="Arial" w:hAnsi="Arial" w:cs="Arial"/>
                <w:lang w:val="en-GB"/>
              </w:rPr>
              <w:t>A positive urine drug screen for a drug of abuse.</w:t>
            </w:r>
          </w:p>
          <w:p w14:paraId="519B5B32" w14:textId="53A572DF" w:rsidR="00161B51" w:rsidRDefault="00161B51" w:rsidP="00161B51">
            <w:pPr>
              <w:pStyle w:val="ListParagraph"/>
              <w:numPr>
                <w:ilvl w:val="1"/>
                <w:numId w:val="16"/>
              </w:numPr>
              <w:spacing w:line="360" w:lineRule="auto"/>
              <w:rPr>
                <w:rFonts w:ascii="Arial" w:hAnsi="Arial" w:cs="Arial"/>
                <w:lang w:val="en-GB"/>
              </w:rPr>
            </w:pPr>
            <w:r w:rsidRPr="00161B51">
              <w:rPr>
                <w:rFonts w:ascii="Arial" w:hAnsi="Arial" w:cs="Arial"/>
                <w:lang w:val="en-GB"/>
              </w:rPr>
              <w:t>For participants treated with selegiline, the amphetamine drug abuse test should be based on the results from a urine assay by liquid chromatography-mass spectrometry which is able to differentiate “false</w:t>
            </w:r>
            <w:r w:rsidR="001263CA">
              <w:rPr>
                <w:rFonts w:ascii="Arial" w:hAnsi="Arial" w:cs="Arial"/>
                <w:lang w:val="en-GB"/>
              </w:rPr>
              <w:t>-</w:t>
            </w:r>
            <w:r w:rsidRPr="00161B51">
              <w:rPr>
                <w:rFonts w:ascii="Arial" w:hAnsi="Arial" w:cs="Arial"/>
                <w:lang w:val="en-GB"/>
              </w:rPr>
              <w:t>positive methamphetamine” from “true</w:t>
            </w:r>
            <w:r w:rsidR="001263CA">
              <w:rPr>
                <w:rFonts w:ascii="Arial" w:hAnsi="Arial" w:cs="Arial"/>
                <w:lang w:val="en-GB"/>
              </w:rPr>
              <w:t>-</w:t>
            </w:r>
            <w:r w:rsidRPr="00161B51">
              <w:rPr>
                <w:rFonts w:ascii="Arial" w:hAnsi="Arial" w:cs="Arial"/>
                <w:lang w:val="en-GB"/>
              </w:rPr>
              <w:t>positive methamphetamine”.</w:t>
            </w:r>
          </w:p>
          <w:p w14:paraId="50067B15" w14:textId="77777777" w:rsidR="00161B51" w:rsidRDefault="00161B51" w:rsidP="00161B51">
            <w:pPr>
              <w:pStyle w:val="ListParagraph"/>
              <w:numPr>
                <w:ilvl w:val="1"/>
                <w:numId w:val="16"/>
              </w:numPr>
              <w:spacing w:line="360" w:lineRule="auto"/>
              <w:rPr>
                <w:rFonts w:ascii="Arial" w:hAnsi="Arial" w:cs="Arial"/>
                <w:lang w:val="en-GB"/>
              </w:rPr>
            </w:pPr>
            <w:r w:rsidRPr="00161B51">
              <w:rPr>
                <w:rFonts w:ascii="Arial" w:hAnsi="Arial" w:cs="Arial"/>
                <w:lang w:val="en-GB"/>
              </w:rPr>
              <w:t>For participants treated with benzodiazepines: a positive urine drug screen for benzodiazepines is allowed, provided that the prescription has been stable for 90 days prior to baseline (refer to exclusion criterion 15).</w:t>
            </w:r>
          </w:p>
          <w:p w14:paraId="23ACC061" w14:textId="0D34B42D" w:rsidR="00161B51" w:rsidRPr="00161B51" w:rsidRDefault="00161B51" w:rsidP="00161B51">
            <w:pPr>
              <w:pStyle w:val="ListParagraph"/>
              <w:numPr>
                <w:ilvl w:val="0"/>
                <w:numId w:val="16"/>
              </w:numPr>
              <w:spacing w:line="360" w:lineRule="auto"/>
              <w:rPr>
                <w:rFonts w:ascii="Arial" w:hAnsi="Arial" w:cs="Arial"/>
                <w:lang w:val="en-GB"/>
              </w:rPr>
            </w:pPr>
            <w:r w:rsidRPr="00161B51">
              <w:rPr>
                <w:rFonts w:ascii="Arial" w:hAnsi="Arial" w:cs="Arial"/>
                <w:lang w:val="en-GB"/>
              </w:rPr>
              <w:t>Positive result for acute or chronic infectious hepatitis B (HBV; [i.e. HBsAg positive</w:t>
            </w:r>
          </w:p>
          <w:p w14:paraId="355D045C" w14:textId="77777777" w:rsidR="00161B51" w:rsidRPr="00161B51" w:rsidRDefault="00161B51" w:rsidP="00161B51">
            <w:pPr>
              <w:pStyle w:val="ListParagraph"/>
              <w:spacing w:line="360" w:lineRule="auto"/>
              <w:rPr>
                <w:rFonts w:ascii="Arial" w:hAnsi="Arial" w:cs="Arial"/>
                <w:lang w:val="en-GB"/>
              </w:rPr>
            </w:pPr>
            <w:r w:rsidRPr="00161B51">
              <w:rPr>
                <w:rFonts w:ascii="Arial" w:hAnsi="Arial" w:cs="Arial"/>
                <w:lang w:val="en-GB"/>
              </w:rPr>
              <w:lastRenderedPageBreak/>
              <w:t>test]), for hepatitis C (HCV), or HIV 1 or 2. Successfully treated HCV patients</w:t>
            </w:r>
            <w:r>
              <w:rPr>
                <w:rFonts w:ascii="Arial" w:hAnsi="Arial" w:cs="Arial"/>
                <w:lang w:val="en-GB"/>
              </w:rPr>
              <w:t xml:space="preserve"> </w:t>
            </w:r>
            <w:r w:rsidRPr="00161B51">
              <w:rPr>
                <w:rFonts w:ascii="Arial" w:hAnsi="Arial" w:cs="Arial"/>
                <w:lang w:val="en-GB"/>
              </w:rPr>
              <w:t xml:space="preserve">(undetectable HCV RNA) are eligible for </w:t>
            </w:r>
            <w:proofErr w:type="spellStart"/>
            <w:r w:rsidRPr="00161B51">
              <w:rPr>
                <w:rFonts w:ascii="Arial" w:hAnsi="Arial" w:cs="Arial"/>
                <w:lang w:val="en-GB"/>
              </w:rPr>
              <w:t>enrollment</w:t>
            </w:r>
            <w:proofErr w:type="spellEnd"/>
            <w:r w:rsidRPr="00161B51">
              <w:rPr>
                <w:rFonts w:ascii="Arial" w:hAnsi="Arial" w:cs="Arial"/>
                <w:lang w:val="en-GB"/>
              </w:rPr>
              <w:t>. Participants who are immune</w:t>
            </w:r>
          </w:p>
          <w:p w14:paraId="4C7CFCF6" w14:textId="77777777" w:rsidR="00161B51" w:rsidRDefault="00161B51" w:rsidP="00161B51">
            <w:pPr>
              <w:pStyle w:val="ListParagraph"/>
              <w:spacing w:line="360" w:lineRule="auto"/>
              <w:rPr>
                <w:rFonts w:ascii="Arial" w:hAnsi="Arial" w:cs="Arial"/>
                <w:lang w:val="en-GB"/>
              </w:rPr>
            </w:pPr>
            <w:r w:rsidRPr="00161B51">
              <w:rPr>
                <w:rFonts w:ascii="Arial" w:hAnsi="Arial" w:cs="Arial"/>
                <w:lang w:val="en-GB"/>
              </w:rPr>
              <w:t xml:space="preserve">due to HBV natural infection or HBV vaccination are eligible. </w:t>
            </w:r>
          </w:p>
          <w:p w14:paraId="72014467" w14:textId="77777777" w:rsidR="00161B51" w:rsidRDefault="00161B51" w:rsidP="00161B51">
            <w:pPr>
              <w:pStyle w:val="ListParagraph"/>
              <w:numPr>
                <w:ilvl w:val="0"/>
                <w:numId w:val="16"/>
              </w:numPr>
              <w:spacing w:line="360" w:lineRule="auto"/>
              <w:rPr>
                <w:rFonts w:ascii="Arial" w:hAnsi="Arial" w:cs="Arial"/>
                <w:lang w:val="en-GB"/>
              </w:rPr>
            </w:pPr>
            <w:r w:rsidRPr="00161B51">
              <w:rPr>
                <w:rFonts w:ascii="Arial" w:hAnsi="Arial" w:cs="Arial"/>
                <w:lang w:val="en-GB"/>
              </w:rPr>
              <w:t>For women of childbearing potential, a positive urine or blood pregnancy test.</w:t>
            </w:r>
          </w:p>
          <w:p w14:paraId="35AA17DC" w14:textId="0106670A" w:rsidR="00161B51" w:rsidRPr="00161B51" w:rsidRDefault="00161B51" w:rsidP="00EB1036">
            <w:pPr>
              <w:pStyle w:val="ListParagraph"/>
              <w:spacing w:line="360" w:lineRule="auto"/>
              <w:ind w:left="360"/>
              <w:rPr>
                <w:rFonts w:ascii="Arial" w:hAnsi="Arial" w:cs="Arial"/>
                <w:lang w:val="en-GB"/>
              </w:rPr>
            </w:pPr>
          </w:p>
        </w:tc>
      </w:tr>
      <w:tr w:rsidR="00EB1036" w14:paraId="6A493593" w14:textId="77777777" w:rsidTr="0012633E">
        <w:tc>
          <w:tcPr>
            <w:tcW w:w="9016" w:type="dxa"/>
          </w:tcPr>
          <w:p w14:paraId="2DC499B3" w14:textId="1B596E6D" w:rsidR="00EB1036" w:rsidRPr="00161B51" w:rsidRDefault="00EB1036" w:rsidP="00161B51">
            <w:pPr>
              <w:pStyle w:val="ListParagraph"/>
              <w:numPr>
                <w:ilvl w:val="0"/>
                <w:numId w:val="5"/>
              </w:numPr>
              <w:spacing w:line="360" w:lineRule="auto"/>
              <w:rPr>
                <w:rFonts w:ascii="Arial" w:hAnsi="Arial" w:cs="Arial"/>
                <w:lang w:val="en-GB"/>
              </w:rPr>
            </w:pPr>
            <w:r w:rsidRPr="00161B51">
              <w:rPr>
                <w:rFonts w:ascii="Arial" w:hAnsi="Arial" w:cs="Arial"/>
                <w:lang w:val="en-GB"/>
              </w:rPr>
              <w:lastRenderedPageBreak/>
              <w:t>Lactating women.</w:t>
            </w:r>
          </w:p>
        </w:tc>
      </w:tr>
      <w:tr w:rsidR="00161B51" w14:paraId="7520C9A6" w14:textId="77777777" w:rsidTr="0012633E">
        <w:tc>
          <w:tcPr>
            <w:tcW w:w="9016" w:type="dxa"/>
          </w:tcPr>
          <w:p w14:paraId="222EB6A0" w14:textId="77777777" w:rsidR="00161B51" w:rsidRPr="00161B51" w:rsidRDefault="00161B51" w:rsidP="00161B51">
            <w:pPr>
              <w:pStyle w:val="ListParagraph"/>
              <w:spacing w:line="360" w:lineRule="auto"/>
              <w:ind w:left="0"/>
              <w:rPr>
                <w:rFonts w:ascii="Arial" w:hAnsi="Arial" w:cs="Arial"/>
                <w:b/>
                <w:lang w:val="en-GB"/>
              </w:rPr>
            </w:pPr>
            <w:r>
              <w:rPr>
                <w:rFonts w:ascii="Arial" w:hAnsi="Arial" w:cs="Arial"/>
                <w:b/>
                <w:lang w:val="en-GB"/>
              </w:rPr>
              <w:t>Medications and treatments</w:t>
            </w:r>
          </w:p>
        </w:tc>
      </w:tr>
      <w:tr w:rsidR="00161B51" w14:paraId="710F6055" w14:textId="77777777" w:rsidTr="0012633E">
        <w:tc>
          <w:tcPr>
            <w:tcW w:w="9016" w:type="dxa"/>
          </w:tcPr>
          <w:p w14:paraId="05E4E7FC" w14:textId="65762646" w:rsidR="00161B51" w:rsidRPr="00161B51" w:rsidRDefault="00161B51" w:rsidP="00161B51">
            <w:pPr>
              <w:pStyle w:val="ListParagraph"/>
              <w:numPr>
                <w:ilvl w:val="0"/>
                <w:numId w:val="18"/>
              </w:numPr>
              <w:spacing w:before="240" w:line="360" w:lineRule="auto"/>
              <w:rPr>
                <w:rFonts w:ascii="Arial" w:hAnsi="Arial" w:cs="Arial"/>
              </w:rPr>
            </w:pPr>
            <w:r w:rsidRPr="00515500">
              <w:rPr>
                <w:rFonts w:ascii="Arial" w:hAnsi="Arial" w:cs="Arial"/>
              </w:rPr>
              <w:t>Prior treatment with dopaminergic medication (e.g. levodopa or a dopaminergic agonist) with no clinical treatment response or a clinical treatmen</w:t>
            </w:r>
            <w:r>
              <w:rPr>
                <w:rFonts w:ascii="Arial" w:hAnsi="Arial" w:cs="Arial"/>
              </w:rPr>
              <w:t xml:space="preserve">t response inconsistent with PD </w:t>
            </w:r>
            <w:r w:rsidRPr="00161B51">
              <w:rPr>
                <w:rFonts w:ascii="Arial" w:hAnsi="Arial" w:cs="Arial"/>
              </w:rPr>
              <w:t>(e.g. absence of observable response to a sufficiently high</w:t>
            </w:r>
            <w:r w:rsidR="00A25DA1">
              <w:rPr>
                <w:rFonts w:ascii="Arial" w:hAnsi="Arial" w:cs="Arial"/>
              </w:rPr>
              <w:t xml:space="preserve"> </w:t>
            </w:r>
            <w:r w:rsidRPr="00161B51">
              <w:rPr>
                <w:rFonts w:ascii="Arial" w:hAnsi="Arial" w:cs="Arial"/>
              </w:rPr>
              <w:t>dose</w:t>
            </w:r>
          </w:p>
          <w:p w14:paraId="39A459A2" w14:textId="00A73442" w:rsidR="00161B51" w:rsidRPr="00161B51" w:rsidRDefault="00161B51" w:rsidP="00A25DA1">
            <w:pPr>
              <w:pStyle w:val="ListParagraph"/>
              <w:spacing w:before="240" w:line="360" w:lineRule="auto"/>
              <w:ind w:left="360"/>
              <w:rPr>
                <w:rFonts w:ascii="Arial" w:hAnsi="Arial" w:cs="Arial"/>
                <w:lang w:val="en-GB"/>
              </w:rPr>
            </w:pPr>
            <w:r w:rsidRPr="00161B51">
              <w:rPr>
                <w:rFonts w:ascii="Arial" w:hAnsi="Arial" w:cs="Arial"/>
              </w:rPr>
              <w:t>of levodopa [i.e. ≥ 600 mg/day]).</w:t>
            </w:r>
          </w:p>
        </w:tc>
      </w:tr>
      <w:tr w:rsidR="00161B51" w14:paraId="0486BF16" w14:textId="77777777" w:rsidTr="0012633E">
        <w:tc>
          <w:tcPr>
            <w:tcW w:w="9016" w:type="dxa"/>
          </w:tcPr>
          <w:p w14:paraId="75EF9DD4" w14:textId="750E914B" w:rsidR="00161B51" w:rsidRPr="00161B51" w:rsidRDefault="00161B51" w:rsidP="00161B51">
            <w:pPr>
              <w:pStyle w:val="ListParagraph"/>
              <w:numPr>
                <w:ilvl w:val="0"/>
                <w:numId w:val="18"/>
              </w:numPr>
              <w:spacing w:before="240" w:line="360" w:lineRule="auto"/>
              <w:rPr>
                <w:rFonts w:ascii="Arial" w:hAnsi="Arial" w:cs="Arial"/>
              </w:rPr>
            </w:pPr>
            <w:r w:rsidRPr="00515500">
              <w:rPr>
                <w:rFonts w:ascii="Arial" w:hAnsi="Arial" w:cs="Arial"/>
              </w:rPr>
              <w:t>Use of any of the following: catechol-O-methyl transferase inhibitors (entacapone, tolcapone), amantadine or anticholinergics</w:t>
            </w:r>
            <w:r>
              <w:rPr>
                <w:rFonts w:ascii="Arial" w:hAnsi="Arial" w:cs="Arial"/>
              </w:rPr>
              <w:t xml:space="preserve"> </w:t>
            </w:r>
            <w:r w:rsidRPr="00515500">
              <w:rPr>
                <w:rFonts w:ascii="Arial" w:hAnsi="Arial" w:cs="Arial"/>
              </w:rPr>
              <w:t>or dopaminergic medication (levodopa and both ergot and non-ergot [pramipexole, ropinirole, rotigotine] dopamine agonists) for more than a total of 60 days or within 60 days of baseline.</w:t>
            </w:r>
          </w:p>
        </w:tc>
      </w:tr>
      <w:tr w:rsidR="00161B51" w14:paraId="5A2720CC" w14:textId="77777777" w:rsidTr="0012633E">
        <w:tc>
          <w:tcPr>
            <w:tcW w:w="9016" w:type="dxa"/>
          </w:tcPr>
          <w:p w14:paraId="405D6637" w14:textId="2B0B383D" w:rsidR="00161B51" w:rsidRPr="00161B51" w:rsidRDefault="00161B51" w:rsidP="00161B51">
            <w:pPr>
              <w:pStyle w:val="ListParagraph"/>
              <w:numPr>
                <w:ilvl w:val="0"/>
                <w:numId w:val="18"/>
              </w:numPr>
              <w:spacing w:before="240" w:line="360" w:lineRule="auto"/>
              <w:rPr>
                <w:rFonts w:ascii="Arial" w:hAnsi="Arial" w:cs="Arial"/>
              </w:rPr>
            </w:pPr>
            <w:r w:rsidRPr="00515500">
              <w:rPr>
                <w:rFonts w:ascii="Arial" w:hAnsi="Arial" w:cs="Arial"/>
              </w:rPr>
              <w:t xml:space="preserve">Anti-epileptic medication for non-seizure-related </w:t>
            </w:r>
            <w:r w:rsidR="000E2D10">
              <w:rPr>
                <w:rFonts w:ascii="Arial" w:hAnsi="Arial" w:cs="Arial"/>
              </w:rPr>
              <w:t>therapy</w:t>
            </w:r>
            <w:r w:rsidRPr="00515500">
              <w:rPr>
                <w:rFonts w:ascii="Arial" w:hAnsi="Arial" w:cs="Arial"/>
              </w:rPr>
              <w:t xml:space="preserve"> which ha</w:t>
            </w:r>
            <w:r>
              <w:rPr>
                <w:rFonts w:ascii="Arial" w:hAnsi="Arial" w:cs="Arial"/>
              </w:rPr>
              <w:t>d</w:t>
            </w:r>
            <w:r w:rsidRPr="00515500">
              <w:rPr>
                <w:rFonts w:ascii="Arial" w:hAnsi="Arial" w:cs="Arial"/>
              </w:rPr>
              <w:t xml:space="preserve"> not remained stable for at least 60 days prior to baseline.</w:t>
            </w:r>
          </w:p>
        </w:tc>
      </w:tr>
      <w:tr w:rsidR="00161B51" w14:paraId="559A0B1E" w14:textId="77777777" w:rsidTr="0012633E">
        <w:tc>
          <w:tcPr>
            <w:tcW w:w="9016" w:type="dxa"/>
          </w:tcPr>
          <w:p w14:paraId="2A2223A1" w14:textId="298C7FE0" w:rsidR="00161B51" w:rsidRPr="00161B51" w:rsidRDefault="00161B51" w:rsidP="00161B51">
            <w:pPr>
              <w:pStyle w:val="ListParagraph"/>
              <w:numPr>
                <w:ilvl w:val="0"/>
                <w:numId w:val="18"/>
              </w:numPr>
              <w:spacing w:before="240" w:line="360" w:lineRule="auto"/>
              <w:rPr>
                <w:rFonts w:ascii="Arial" w:hAnsi="Arial" w:cs="Arial"/>
              </w:rPr>
            </w:pPr>
            <w:r w:rsidRPr="00161B51">
              <w:rPr>
                <w:rFonts w:ascii="Arial" w:hAnsi="Arial" w:cs="Arial"/>
              </w:rPr>
              <w:t>Antidepressant or anxiolytic use that had not remained stable for at least 90 days</w:t>
            </w:r>
          </w:p>
          <w:p w14:paraId="7ABD9214" w14:textId="0E127B30" w:rsidR="00161B51" w:rsidRPr="00515500" w:rsidRDefault="00161B51" w:rsidP="00161B51">
            <w:pPr>
              <w:pStyle w:val="ListParagraph"/>
              <w:spacing w:before="240" w:line="360" w:lineRule="auto"/>
              <w:ind w:left="360"/>
              <w:rPr>
                <w:rFonts w:ascii="Arial" w:hAnsi="Arial" w:cs="Arial"/>
              </w:rPr>
            </w:pPr>
            <w:r w:rsidRPr="00161B51">
              <w:rPr>
                <w:rFonts w:ascii="Arial" w:hAnsi="Arial" w:cs="Arial"/>
              </w:rPr>
              <w:t>prior to baseline. The use of fluoxetine and fluvoxamine was not permitted. For patients treated with a MAO-B inhibitor and an antidepressant (except fluoxetine and fluvoxamine), a 6-month period of stable and tolerated dosing before baseline was required.</w:t>
            </w:r>
          </w:p>
        </w:tc>
      </w:tr>
      <w:tr w:rsidR="00161B51" w14:paraId="275B8D8F" w14:textId="77777777" w:rsidTr="0012633E">
        <w:tc>
          <w:tcPr>
            <w:tcW w:w="9016" w:type="dxa"/>
          </w:tcPr>
          <w:p w14:paraId="11A94F80" w14:textId="77777777" w:rsidR="00161B51" w:rsidRPr="00161B51" w:rsidRDefault="00161B51" w:rsidP="00161B51">
            <w:pPr>
              <w:pStyle w:val="ListParagraph"/>
              <w:numPr>
                <w:ilvl w:val="0"/>
                <w:numId w:val="18"/>
              </w:numPr>
              <w:spacing w:before="240" w:line="360" w:lineRule="auto"/>
              <w:rPr>
                <w:rFonts w:ascii="Arial" w:hAnsi="Arial" w:cs="Arial"/>
              </w:rPr>
            </w:pPr>
            <w:r w:rsidRPr="00515500">
              <w:rPr>
                <w:rFonts w:ascii="Arial" w:hAnsi="Arial" w:cs="Arial"/>
              </w:rPr>
              <w:t>Use of any of the following medications within 90 days prior to baseline; antipsychotics (including clozapine and olanzapine), metoclopramide, alpha methyldopa, flunarizine, amoxapine, amphetamine derivatives, reserpine, bupropion, buspirone, cocaine, mazindol, methamphetamine, methylphenidate, norephedrine, phentermine, phenylpropanolamine, and modafinil.</w:t>
            </w:r>
          </w:p>
        </w:tc>
      </w:tr>
      <w:tr w:rsidR="00161B51" w14:paraId="3D0423FD" w14:textId="77777777" w:rsidTr="0012633E">
        <w:tc>
          <w:tcPr>
            <w:tcW w:w="9016" w:type="dxa"/>
          </w:tcPr>
          <w:p w14:paraId="7E52794B" w14:textId="760C9200" w:rsidR="00161B51" w:rsidRPr="00161B51" w:rsidRDefault="00161B51" w:rsidP="00161B51">
            <w:pPr>
              <w:pStyle w:val="ListParagraph"/>
              <w:numPr>
                <w:ilvl w:val="0"/>
                <w:numId w:val="18"/>
              </w:numPr>
              <w:spacing w:before="240" w:line="360" w:lineRule="auto"/>
              <w:rPr>
                <w:rFonts w:ascii="Arial" w:hAnsi="Arial" w:cs="Arial"/>
              </w:rPr>
            </w:pPr>
            <w:r w:rsidRPr="00515500">
              <w:rPr>
                <w:rFonts w:ascii="Arial" w:hAnsi="Arial" w:cs="Arial"/>
              </w:rPr>
              <w:t>Participated in an investigational drug, device, surgical, or stem</w:t>
            </w:r>
            <w:r w:rsidR="001263CA">
              <w:rPr>
                <w:rFonts w:ascii="Arial" w:hAnsi="Arial" w:cs="Arial"/>
              </w:rPr>
              <w:t>-</w:t>
            </w:r>
            <w:r w:rsidRPr="00515500">
              <w:rPr>
                <w:rFonts w:ascii="Arial" w:hAnsi="Arial" w:cs="Arial"/>
              </w:rPr>
              <w:t>cell study in PD.</w:t>
            </w:r>
          </w:p>
        </w:tc>
      </w:tr>
      <w:tr w:rsidR="00161B51" w14:paraId="171BFB03" w14:textId="77777777" w:rsidTr="0012633E">
        <w:tc>
          <w:tcPr>
            <w:tcW w:w="9016" w:type="dxa"/>
          </w:tcPr>
          <w:p w14:paraId="62E5708F" w14:textId="77777777" w:rsidR="00161B51" w:rsidRPr="00161B51" w:rsidRDefault="00161B51" w:rsidP="00161B51">
            <w:pPr>
              <w:pStyle w:val="ListParagraph"/>
              <w:numPr>
                <w:ilvl w:val="0"/>
                <w:numId w:val="18"/>
              </w:numPr>
              <w:spacing w:before="240" w:line="360" w:lineRule="auto"/>
              <w:rPr>
                <w:rFonts w:ascii="Arial" w:hAnsi="Arial" w:cs="Arial"/>
              </w:rPr>
            </w:pPr>
            <w:r w:rsidRPr="00515500">
              <w:rPr>
                <w:rFonts w:ascii="Arial" w:hAnsi="Arial" w:cs="Arial"/>
              </w:rPr>
              <w:t>Any prior treatment with an investigational PD-related vaccine (including active immunization or passive immunotherapy with monoclonal antibodies).</w:t>
            </w:r>
          </w:p>
        </w:tc>
      </w:tr>
      <w:tr w:rsidR="00161B51" w14:paraId="784405C5" w14:textId="77777777" w:rsidTr="0012633E">
        <w:tc>
          <w:tcPr>
            <w:tcW w:w="9016" w:type="dxa"/>
          </w:tcPr>
          <w:p w14:paraId="27796C7F" w14:textId="77777777" w:rsidR="00161B51" w:rsidRPr="00161B51" w:rsidRDefault="00161B51" w:rsidP="00161B51">
            <w:pPr>
              <w:pStyle w:val="ListParagraph"/>
              <w:numPr>
                <w:ilvl w:val="0"/>
                <w:numId w:val="18"/>
              </w:numPr>
              <w:spacing w:before="240" w:line="360" w:lineRule="auto"/>
              <w:rPr>
                <w:rFonts w:ascii="Arial" w:hAnsi="Arial" w:cs="Arial"/>
              </w:rPr>
            </w:pPr>
            <w:r w:rsidRPr="00515500">
              <w:rPr>
                <w:rFonts w:ascii="Arial" w:hAnsi="Arial" w:cs="Arial"/>
              </w:rPr>
              <w:t>Prior participation in any RO7046015 or PRX002 study.</w:t>
            </w:r>
          </w:p>
        </w:tc>
      </w:tr>
      <w:tr w:rsidR="00161B51" w14:paraId="2A200D8E" w14:textId="77777777" w:rsidTr="0012633E">
        <w:tc>
          <w:tcPr>
            <w:tcW w:w="9016" w:type="dxa"/>
          </w:tcPr>
          <w:p w14:paraId="649E5B43" w14:textId="77777777" w:rsidR="00161B51" w:rsidRPr="00161B51" w:rsidRDefault="00161B51" w:rsidP="00161B51">
            <w:pPr>
              <w:pStyle w:val="ListParagraph"/>
              <w:numPr>
                <w:ilvl w:val="0"/>
                <w:numId w:val="18"/>
              </w:numPr>
              <w:spacing w:before="240" w:line="360" w:lineRule="auto"/>
              <w:rPr>
                <w:rFonts w:ascii="Arial" w:hAnsi="Arial" w:cs="Arial"/>
              </w:rPr>
            </w:pPr>
            <w:r w:rsidRPr="00515500">
              <w:rPr>
                <w:rFonts w:ascii="Arial" w:hAnsi="Arial" w:cs="Arial"/>
              </w:rPr>
              <w:lastRenderedPageBreak/>
              <w:t xml:space="preserve">Receipt of any non-PD investigational product or device, or participation in a non-PD drug research study within a period of 30 days (or 5 half-lives of the drug, whichever </w:t>
            </w:r>
            <w:r>
              <w:rPr>
                <w:rFonts w:ascii="Arial" w:hAnsi="Arial" w:cs="Arial"/>
              </w:rPr>
              <w:t>was</w:t>
            </w:r>
            <w:r w:rsidRPr="00515500">
              <w:rPr>
                <w:rFonts w:ascii="Arial" w:hAnsi="Arial" w:cs="Arial"/>
              </w:rPr>
              <w:t xml:space="preserve"> longer) before baseline.</w:t>
            </w:r>
          </w:p>
        </w:tc>
      </w:tr>
      <w:tr w:rsidR="00161B51" w14:paraId="5765DDA8" w14:textId="77777777" w:rsidTr="0012633E">
        <w:tc>
          <w:tcPr>
            <w:tcW w:w="9016" w:type="dxa"/>
          </w:tcPr>
          <w:p w14:paraId="2AB4CFDD" w14:textId="77777777" w:rsidR="00A25DA1" w:rsidRPr="00A25DA1" w:rsidRDefault="00A25DA1" w:rsidP="00A25DA1">
            <w:pPr>
              <w:pStyle w:val="ListParagraph"/>
              <w:numPr>
                <w:ilvl w:val="0"/>
                <w:numId w:val="18"/>
              </w:numPr>
              <w:spacing w:before="240" w:line="360" w:lineRule="auto"/>
              <w:rPr>
                <w:rFonts w:ascii="Arial" w:hAnsi="Arial" w:cs="Arial"/>
              </w:rPr>
            </w:pPr>
            <w:r w:rsidRPr="00A25DA1">
              <w:rPr>
                <w:rFonts w:ascii="Arial" w:hAnsi="Arial" w:cs="Arial"/>
              </w:rPr>
              <w:t>Receipt of any monoclonal antibody or investigational immunomodulator within</w:t>
            </w:r>
          </w:p>
          <w:p w14:paraId="75970B80" w14:textId="5B49FCFA" w:rsidR="00A25DA1" w:rsidRPr="00A25DA1" w:rsidRDefault="00A25DA1" w:rsidP="00A25DA1">
            <w:pPr>
              <w:pStyle w:val="ListParagraph"/>
              <w:spacing w:before="240" w:line="360" w:lineRule="auto"/>
              <w:ind w:left="360"/>
              <w:rPr>
                <w:rFonts w:ascii="Arial" w:hAnsi="Arial" w:cs="Arial"/>
              </w:rPr>
            </w:pPr>
            <w:r w:rsidRPr="00A25DA1">
              <w:rPr>
                <w:rFonts w:ascii="Arial" w:hAnsi="Arial" w:cs="Arial"/>
              </w:rPr>
              <w:t>180 days (or 5 half-lives, whichever is longer) before baseline (e.g. monoclonal</w:t>
            </w:r>
          </w:p>
          <w:p w14:paraId="3EA132DF" w14:textId="77777777" w:rsidR="00A25DA1" w:rsidRPr="00F73BC1" w:rsidRDefault="00A25DA1" w:rsidP="00A25DA1">
            <w:pPr>
              <w:pStyle w:val="ListParagraph"/>
              <w:spacing w:before="240" w:line="360" w:lineRule="auto"/>
              <w:ind w:left="360"/>
              <w:rPr>
                <w:rFonts w:ascii="Arial" w:hAnsi="Arial" w:cs="Arial"/>
                <w:lang w:val="fr-FR"/>
              </w:rPr>
            </w:pPr>
            <w:proofErr w:type="spellStart"/>
            <w:r w:rsidRPr="00F73BC1">
              <w:rPr>
                <w:rFonts w:ascii="Arial" w:hAnsi="Arial" w:cs="Arial"/>
                <w:lang w:val="fr-FR"/>
              </w:rPr>
              <w:t>antibodies</w:t>
            </w:r>
            <w:proofErr w:type="spellEnd"/>
            <w:r w:rsidRPr="00F73BC1">
              <w:rPr>
                <w:rFonts w:ascii="Arial" w:hAnsi="Arial" w:cs="Arial"/>
                <w:lang w:val="fr-FR"/>
              </w:rPr>
              <w:t xml:space="preserve">, </w:t>
            </w:r>
            <w:proofErr w:type="spellStart"/>
            <w:r w:rsidRPr="00F73BC1">
              <w:rPr>
                <w:rFonts w:ascii="Arial" w:hAnsi="Arial" w:cs="Arial"/>
                <w:lang w:val="fr-FR"/>
              </w:rPr>
              <w:t>intravenous</w:t>
            </w:r>
            <w:proofErr w:type="spellEnd"/>
            <w:r w:rsidRPr="00F73BC1">
              <w:rPr>
                <w:rFonts w:ascii="Arial" w:hAnsi="Arial" w:cs="Arial"/>
                <w:lang w:val="fr-FR"/>
              </w:rPr>
              <w:t xml:space="preserve"> </w:t>
            </w:r>
            <w:proofErr w:type="spellStart"/>
            <w:r w:rsidRPr="00F73BC1">
              <w:rPr>
                <w:rFonts w:ascii="Arial" w:hAnsi="Arial" w:cs="Arial"/>
                <w:lang w:val="fr-FR"/>
              </w:rPr>
              <w:t>immunoglobulin</w:t>
            </w:r>
            <w:proofErr w:type="spellEnd"/>
            <w:r w:rsidRPr="00F73BC1">
              <w:rPr>
                <w:rFonts w:ascii="Arial" w:hAnsi="Arial" w:cs="Arial"/>
                <w:lang w:val="fr-FR"/>
              </w:rPr>
              <w:t xml:space="preserve"> [IVIG], </w:t>
            </w:r>
            <w:proofErr w:type="spellStart"/>
            <w:r w:rsidRPr="00F73BC1">
              <w:rPr>
                <w:rFonts w:ascii="Arial" w:hAnsi="Arial" w:cs="Arial"/>
                <w:lang w:val="fr-FR"/>
              </w:rPr>
              <w:t>interleukin</w:t>
            </w:r>
            <w:proofErr w:type="spellEnd"/>
            <w:r w:rsidRPr="00F73BC1">
              <w:rPr>
                <w:rFonts w:ascii="Arial" w:hAnsi="Arial" w:cs="Arial"/>
                <w:lang w:val="fr-FR"/>
              </w:rPr>
              <w:t xml:space="preserve"> 2 [IL-2], </w:t>
            </w:r>
            <w:proofErr w:type="spellStart"/>
            <w:r w:rsidRPr="00F73BC1">
              <w:rPr>
                <w:rFonts w:ascii="Arial" w:hAnsi="Arial" w:cs="Arial"/>
                <w:lang w:val="fr-FR"/>
              </w:rPr>
              <w:t>interleukin</w:t>
            </w:r>
            <w:proofErr w:type="spellEnd"/>
            <w:r w:rsidRPr="00F73BC1">
              <w:rPr>
                <w:rFonts w:ascii="Arial" w:hAnsi="Arial" w:cs="Arial"/>
                <w:lang w:val="fr-FR"/>
              </w:rPr>
              <w:t xml:space="preserve"> 12</w:t>
            </w:r>
          </w:p>
          <w:p w14:paraId="49297B24" w14:textId="77777777" w:rsidR="00161B51" w:rsidRPr="00161B51" w:rsidRDefault="00A25DA1" w:rsidP="00A25DA1">
            <w:pPr>
              <w:pStyle w:val="ListParagraph"/>
              <w:spacing w:before="240" w:line="360" w:lineRule="auto"/>
              <w:ind w:left="360"/>
              <w:rPr>
                <w:rFonts w:ascii="Arial" w:hAnsi="Arial" w:cs="Arial"/>
              </w:rPr>
            </w:pPr>
            <w:r w:rsidRPr="00A25DA1">
              <w:rPr>
                <w:rFonts w:ascii="Arial" w:hAnsi="Arial" w:cs="Arial"/>
              </w:rPr>
              <w:t>[IL-12], interferon or immunosuppressive drugs).</w:t>
            </w:r>
          </w:p>
        </w:tc>
      </w:tr>
      <w:tr w:rsidR="00161B51" w14:paraId="5528171C" w14:textId="77777777" w:rsidTr="0012633E">
        <w:tc>
          <w:tcPr>
            <w:tcW w:w="9016" w:type="dxa"/>
          </w:tcPr>
          <w:p w14:paraId="79F55E1A" w14:textId="77777777" w:rsidR="00161B51" w:rsidRPr="00161B51" w:rsidRDefault="00161B51" w:rsidP="00161B51">
            <w:pPr>
              <w:pStyle w:val="ListParagraph"/>
              <w:numPr>
                <w:ilvl w:val="0"/>
                <w:numId w:val="18"/>
              </w:numPr>
              <w:spacing w:before="240" w:line="360" w:lineRule="auto"/>
              <w:rPr>
                <w:rFonts w:ascii="Arial" w:hAnsi="Arial" w:cs="Arial"/>
              </w:rPr>
            </w:pPr>
            <w:r w:rsidRPr="00515500">
              <w:rPr>
                <w:rFonts w:ascii="Arial" w:hAnsi="Arial" w:cs="Arial"/>
              </w:rPr>
              <w:t>Immunomodulating drugs within 30 days prior to baseline.</w:t>
            </w:r>
          </w:p>
        </w:tc>
      </w:tr>
      <w:tr w:rsidR="00161B51" w14:paraId="19CE897C" w14:textId="77777777" w:rsidTr="0012633E">
        <w:tc>
          <w:tcPr>
            <w:tcW w:w="9016" w:type="dxa"/>
          </w:tcPr>
          <w:p w14:paraId="7E0B7D30" w14:textId="77777777" w:rsidR="00161B51" w:rsidRPr="00161B51" w:rsidRDefault="00161B51" w:rsidP="00161B51">
            <w:pPr>
              <w:pStyle w:val="ListParagraph"/>
              <w:numPr>
                <w:ilvl w:val="0"/>
                <w:numId w:val="18"/>
              </w:numPr>
              <w:spacing w:before="240" w:line="360" w:lineRule="auto"/>
              <w:rPr>
                <w:rFonts w:ascii="Arial" w:hAnsi="Arial" w:cs="Arial"/>
              </w:rPr>
            </w:pPr>
            <w:r w:rsidRPr="00515500">
              <w:rPr>
                <w:rFonts w:ascii="Arial" w:hAnsi="Arial" w:cs="Arial"/>
              </w:rPr>
              <w:t>Allergy to any of the components of prasinezumab such as citrate, trehalose and polysorbate (Tween) 20 or a known hypersensitivity or an infusion-related reaction to the administration of any other monoclonal antibody.</w:t>
            </w:r>
          </w:p>
        </w:tc>
      </w:tr>
      <w:tr w:rsidR="00A25DA1" w14:paraId="109C126C" w14:textId="77777777" w:rsidTr="0012633E">
        <w:tc>
          <w:tcPr>
            <w:tcW w:w="9016" w:type="dxa"/>
          </w:tcPr>
          <w:p w14:paraId="237D1504" w14:textId="77777777" w:rsidR="00A25DA1" w:rsidRPr="00A25DA1" w:rsidRDefault="00A25DA1" w:rsidP="00A25DA1">
            <w:pPr>
              <w:pStyle w:val="ListParagraph"/>
              <w:spacing w:before="240" w:line="360" w:lineRule="auto"/>
              <w:ind w:left="0"/>
              <w:rPr>
                <w:rFonts w:ascii="Arial" w:hAnsi="Arial" w:cs="Arial"/>
                <w:b/>
              </w:rPr>
            </w:pPr>
            <w:r w:rsidRPr="00A25DA1">
              <w:rPr>
                <w:rFonts w:ascii="Arial" w:hAnsi="Arial" w:cs="Arial"/>
                <w:b/>
              </w:rPr>
              <w:t>Procedural</w:t>
            </w:r>
          </w:p>
        </w:tc>
      </w:tr>
      <w:tr w:rsidR="00A25DA1" w:rsidRPr="00A25DA1" w14:paraId="7170837E" w14:textId="77777777" w:rsidTr="0012633E">
        <w:tc>
          <w:tcPr>
            <w:tcW w:w="9016" w:type="dxa"/>
          </w:tcPr>
          <w:p w14:paraId="4E7B7627" w14:textId="656F8AD3" w:rsidR="00A25DA1" w:rsidRPr="00A25DA1" w:rsidRDefault="00A25DA1" w:rsidP="00A25DA1">
            <w:pPr>
              <w:pStyle w:val="ListParagraph"/>
              <w:numPr>
                <w:ilvl w:val="0"/>
                <w:numId w:val="19"/>
              </w:numPr>
              <w:spacing w:before="240" w:line="360" w:lineRule="auto"/>
              <w:rPr>
                <w:rFonts w:ascii="Arial" w:hAnsi="Arial" w:cs="Arial"/>
              </w:rPr>
            </w:pPr>
            <w:r w:rsidRPr="00A25DA1">
              <w:rPr>
                <w:rFonts w:ascii="Arial" w:hAnsi="Arial" w:cs="Arial"/>
              </w:rPr>
              <w:t>Any contraindications to obtaining a brain MRI (e.g. claustrophobia unresponsive to reassurance or low dose of an anxiolytic agent, tooth implants) and any contraindications to obtain a DaT-SPECT (i.e. known hypersensitivity to the active substance or to any of the excipients). Patients with a hypersensitivity to iodine may receive an alternative thyroid</w:t>
            </w:r>
            <w:r w:rsidR="00E02C38">
              <w:rPr>
                <w:rFonts w:ascii="Arial" w:hAnsi="Arial" w:cs="Arial"/>
              </w:rPr>
              <w:t>-</w:t>
            </w:r>
            <w:r w:rsidRPr="00A25DA1">
              <w:rPr>
                <w:rFonts w:ascii="Arial" w:hAnsi="Arial" w:cs="Arial"/>
              </w:rPr>
              <w:t>blocking agent (e.g. potassium perchlorate or sodium</w:t>
            </w:r>
            <w:r>
              <w:rPr>
                <w:rFonts w:ascii="Arial" w:hAnsi="Arial" w:cs="Arial"/>
              </w:rPr>
              <w:t xml:space="preserve"> </w:t>
            </w:r>
            <w:r w:rsidRPr="00A25DA1">
              <w:rPr>
                <w:rFonts w:ascii="Arial" w:hAnsi="Arial" w:cs="Arial"/>
              </w:rPr>
              <w:t>perchlorate).</w:t>
            </w:r>
          </w:p>
        </w:tc>
      </w:tr>
      <w:tr w:rsidR="00A25DA1" w:rsidRPr="00A25DA1" w14:paraId="0D1604C8" w14:textId="77777777" w:rsidTr="0012633E">
        <w:tc>
          <w:tcPr>
            <w:tcW w:w="9016" w:type="dxa"/>
          </w:tcPr>
          <w:p w14:paraId="04716400" w14:textId="0C2CF02B" w:rsidR="00A25DA1" w:rsidRPr="00A25DA1" w:rsidRDefault="00A25DA1" w:rsidP="00A25DA1">
            <w:pPr>
              <w:pStyle w:val="ListParagraph"/>
              <w:numPr>
                <w:ilvl w:val="0"/>
                <w:numId w:val="19"/>
              </w:numPr>
              <w:spacing w:before="240" w:line="360" w:lineRule="auto"/>
              <w:rPr>
                <w:rFonts w:ascii="Arial" w:hAnsi="Arial" w:cs="Arial"/>
              </w:rPr>
            </w:pPr>
            <w:r w:rsidRPr="00A25DA1">
              <w:rPr>
                <w:rFonts w:ascii="Arial" w:hAnsi="Arial" w:cs="Arial"/>
              </w:rPr>
              <w:t>For participants consenting to provide optional cerebrospinal</w:t>
            </w:r>
            <w:r w:rsidR="00B861AD">
              <w:rPr>
                <w:rFonts w:ascii="Arial" w:hAnsi="Arial" w:cs="Arial"/>
              </w:rPr>
              <w:t xml:space="preserve"> fluid</w:t>
            </w:r>
            <w:r w:rsidRPr="00A25DA1">
              <w:rPr>
                <w:rFonts w:ascii="Arial" w:hAnsi="Arial" w:cs="Arial"/>
              </w:rPr>
              <w:t xml:space="preserve"> samples by lumbar puncture: lumbar puncture will only be performed if the participant does not have any contraindication to undergoing a lumbar puncture including, but not limited to: International normalized ratio &gt;1.4 or other coagulopathy, platelet cell count of &lt;120,000/µL, infection at the desired lumbar puncture site, taking anti-coagulant medication within 90 days of baseline (Note: low</w:t>
            </w:r>
            <w:r w:rsidR="00E02C38">
              <w:rPr>
                <w:rFonts w:ascii="Arial" w:hAnsi="Arial" w:cs="Arial"/>
              </w:rPr>
              <w:t>-</w:t>
            </w:r>
            <w:r w:rsidRPr="00A25DA1">
              <w:rPr>
                <w:rFonts w:ascii="Arial" w:hAnsi="Arial" w:cs="Arial"/>
              </w:rPr>
              <w:t>dose aspi</w:t>
            </w:r>
            <w:r w:rsidR="00B861AD">
              <w:rPr>
                <w:rFonts w:ascii="Arial" w:hAnsi="Arial" w:cs="Arial"/>
              </w:rPr>
              <w:t xml:space="preserve">rin (acetylsalicylic acid </w:t>
            </w:r>
            <w:r w:rsidRPr="00A25DA1">
              <w:rPr>
                <w:rFonts w:ascii="Arial" w:hAnsi="Arial" w:cs="Arial"/>
              </w:rPr>
              <w:t>is permitted), severe degenerative arthritis of the lumbar spine, suspected non-communicating hydrocephalus or intracranial mass, prior history of spinal mass or trauma is/are identified. Participants failing to meet these criteria can still participate in the study and all other study assessments (with the exception of lumbar puncture) as appropriate. Participants could be excluded from the study if the cerebros</w:t>
            </w:r>
            <w:r w:rsidR="00B861AD">
              <w:rPr>
                <w:rFonts w:ascii="Arial" w:hAnsi="Arial" w:cs="Arial"/>
              </w:rPr>
              <w:t>pinal fluid has &gt;5 white blood cells</w:t>
            </w:r>
            <w:r w:rsidRPr="00A25DA1">
              <w:rPr>
                <w:rFonts w:ascii="Arial" w:hAnsi="Arial" w:cs="Arial"/>
              </w:rPr>
              <w:t>/mm</w:t>
            </w:r>
            <w:r w:rsidRPr="00B861AD">
              <w:rPr>
                <w:rFonts w:ascii="Arial" w:hAnsi="Arial" w:cs="Arial"/>
                <w:vertAlign w:val="superscript"/>
              </w:rPr>
              <w:t>3</w:t>
            </w:r>
            <w:r w:rsidRPr="00A25DA1">
              <w:rPr>
                <w:rFonts w:ascii="Arial" w:hAnsi="Arial" w:cs="Arial"/>
              </w:rPr>
              <w:t xml:space="preserve"> (according to local laboratory assessment). This should be discussed with the Medical Monitor (e.g. if there is evidence that the</w:t>
            </w:r>
            <w:r>
              <w:rPr>
                <w:rFonts w:ascii="Arial" w:hAnsi="Arial" w:cs="Arial"/>
              </w:rPr>
              <w:t xml:space="preserve"> </w:t>
            </w:r>
            <w:r w:rsidRPr="00A25DA1">
              <w:rPr>
                <w:rFonts w:ascii="Arial" w:hAnsi="Arial" w:cs="Arial"/>
              </w:rPr>
              <w:t>spinal tap was traumatic, the participant may still be considered for study eligibility).</w:t>
            </w:r>
          </w:p>
        </w:tc>
      </w:tr>
      <w:tr w:rsidR="00A25DA1" w:rsidRPr="00A25DA1" w14:paraId="59F43604" w14:textId="77777777" w:rsidTr="0012633E">
        <w:tc>
          <w:tcPr>
            <w:tcW w:w="9016" w:type="dxa"/>
          </w:tcPr>
          <w:p w14:paraId="20C229A6" w14:textId="77777777" w:rsidR="00A25DA1" w:rsidRDefault="00A25DA1" w:rsidP="00A25DA1">
            <w:pPr>
              <w:pStyle w:val="ListParagraph"/>
              <w:numPr>
                <w:ilvl w:val="0"/>
                <w:numId w:val="19"/>
              </w:numPr>
              <w:spacing w:before="240" w:line="360" w:lineRule="auto"/>
              <w:rPr>
                <w:rFonts w:ascii="Arial" w:hAnsi="Arial" w:cs="Arial"/>
              </w:rPr>
            </w:pPr>
            <w:r w:rsidRPr="00515500">
              <w:rPr>
                <w:rFonts w:ascii="Arial" w:hAnsi="Arial" w:cs="Arial"/>
              </w:rPr>
              <w:lastRenderedPageBreak/>
              <w:t xml:space="preserve">For skin biopsy at the cervical paravertebral region: </w:t>
            </w:r>
          </w:p>
          <w:p w14:paraId="53C49999" w14:textId="33064AC3" w:rsidR="00A25DA1" w:rsidRPr="00A25DA1" w:rsidRDefault="00A25DA1" w:rsidP="00A25DA1">
            <w:pPr>
              <w:pStyle w:val="ListParagraph"/>
              <w:numPr>
                <w:ilvl w:val="0"/>
                <w:numId w:val="21"/>
              </w:numPr>
              <w:spacing w:before="240" w:line="360" w:lineRule="auto"/>
              <w:rPr>
                <w:rFonts w:ascii="Arial" w:hAnsi="Arial" w:cs="Arial"/>
              </w:rPr>
            </w:pPr>
            <w:r w:rsidRPr="00A25DA1">
              <w:rPr>
                <w:rFonts w:ascii="Arial" w:hAnsi="Arial" w:cs="Arial"/>
              </w:rPr>
              <w:t>Condition that either precludes the safe performance of the skin punch biopsy or may interfere with obtaining evaluable skin tissue biopsies, including any previous or active significant dermatological disease (e.g. previous biopsy with any of the following findings: inflammatory disease, scar tissue, psoriasis, keloid formation,</w:t>
            </w:r>
          </w:p>
          <w:p w14:paraId="384569AF" w14:textId="77777777" w:rsidR="00A25DA1" w:rsidRPr="00A25DA1" w:rsidRDefault="00A25DA1" w:rsidP="00A25DA1">
            <w:pPr>
              <w:pStyle w:val="ListParagraph"/>
              <w:spacing w:before="240" w:line="360" w:lineRule="auto"/>
              <w:rPr>
                <w:rFonts w:ascii="Arial" w:hAnsi="Arial" w:cs="Arial"/>
              </w:rPr>
            </w:pPr>
            <w:r w:rsidRPr="00A25DA1">
              <w:rPr>
                <w:rFonts w:ascii="Arial" w:hAnsi="Arial" w:cs="Arial"/>
              </w:rPr>
              <w:t>skin cancer).</w:t>
            </w:r>
            <w:r>
              <w:rPr>
                <w:rFonts w:ascii="Arial" w:hAnsi="Arial" w:cs="Arial"/>
              </w:rPr>
              <w:t xml:space="preserve"> </w:t>
            </w:r>
            <w:r w:rsidRPr="00515500">
              <w:rPr>
                <w:rFonts w:ascii="Arial" w:hAnsi="Arial" w:cs="Arial"/>
              </w:rPr>
              <w:t xml:space="preserve">Participants failing to meet these criteria can still participate in the study and all other study assessments (with the exception of skin biopsy) as appropriate. </w:t>
            </w:r>
          </w:p>
        </w:tc>
      </w:tr>
      <w:tr w:rsidR="00A25DA1" w:rsidRPr="00A25DA1" w14:paraId="2483DD9A" w14:textId="77777777" w:rsidTr="0012633E">
        <w:tc>
          <w:tcPr>
            <w:tcW w:w="9016" w:type="dxa"/>
          </w:tcPr>
          <w:p w14:paraId="08C91052" w14:textId="136EDA99" w:rsidR="00A25DA1" w:rsidRPr="00515500" w:rsidRDefault="00A25DA1" w:rsidP="00A25DA1">
            <w:pPr>
              <w:pStyle w:val="ListParagraph"/>
              <w:numPr>
                <w:ilvl w:val="0"/>
                <w:numId w:val="19"/>
              </w:numPr>
              <w:spacing w:before="240" w:line="360" w:lineRule="auto"/>
              <w:rPr>
                <w:rFonts w:ascii="Arial" w:hAnsi="Arial" w:cs="Arial"/>
              </w:rPr>
            </w:pPr>
            <w:r>
              <w:rPr>
                <w:rFonts w:ascii="Arial" w:hAnsi="Arial" w:cs="Arial"/>
                <w:lang w:val="en-GB"/>
              </w:rPr>
              <w:t xml:space="preserve">Donation of blood over 500 mL within </w:t>
            </w:r>
            <w:r w:rsidR="00E02C38">
              <w:rPr>
                <w:rFonts w:ascii="Arial" w:hAnsi="Arial" w:cs="Arial"/>
                <w:lang w:val="en-GB"/>
              </w:rPr>
              <w:t xml:space="preserve">3 </w:t>
            </w:r>
            <w:r>
              <w:rPr>
                <w:rFonts w:ascii="Arial" w:hAnsi="Arial" w:cs="Arial"/>
                <w:lang w:val="en-GB"/>
              </w:rPr>
              <w:t>months prior to screening.</w:t>
            </w:r>
          </w:p>
        </w:tc>
      </w:tr>
    </w:tbl>
    <w:p w14:paraId="71D91F2E" w14:textId="3ABE87D7" w:rsidR="0012633E" w:rsidRDefault="0012633E"/>
    <w:p w14:paraId="3A6E1634" w14:textId="77777777" w:rsidR="0088787D" w:rsidRDefault="0088787D"/>
    <w:p w14:paraId="06BFF6F8" w14:textId="77777777" w:rsidR="003A0394" w:rsidRPr="00457E6F" w:rsidRDefault="003A0394" w:rsidP="003A0394">
      <w:pPr>
        <w:spacing w:line="276" w:lineRule="auto"/>
        <w:rPr>
          <w:rFonts w:ascii="Arial" w:hAnsi="Arial" w:cs="Arial"/>
          <w:b/>
          <w:bCs/>
          <w:i/>
          <w:iCs/>
        </w:rPr>
      </w:pPr>
      <w:r w:rsidRPr="00457E6F">
        <w:rPr>
          <w:rFonts w:ascii="Arial" w:hAnsi="Arial" w:cs="Arial"/>
          <w:b/>
          <w:bCs/>
          <w:i/>
          <w:iCs/>
        </w:rPr>
        <w:t>Table 3. Safety outcome measures</w:t>
      </w:r>
    </w:p>
    <w:tbl>
      <w:tblPr>
        <w:tblStyle w:val="TableGrid"/>
        <w:tblW w:w="0" w:type="auto"/>
        <w:tblLook w:val="04A0" w:firstRow="1" w:lastRow="0" w:firstColumn="1" w:lastColumn="0" w:noHBand="0" w:noVBand="1"/>
      </w:tblPr>
      <w:tblGrid>
        <w:gridCol w:w="9016"/>
      </w:tblGrid>
      <w:tr w:rsidR="003A0394" w:rsidRPr="00457E6F" w14:paraId="0A7A1EDA" w14:textId="77777777" w:rsidTr="00045395">
        <w:tc>
          <w:tcPr>
            <w:tcW w:w="9016" w:type="dxa"/>
          </w:tcPr>
          <w:p w14:paraId="0D72373A" w14:textId="77777777" w:rsidR="003A0394" w:rsidRPr="00457E6F" w:rsidRDefault="003A0394" w:rsidP="00045395">
            <w:pPr>
              <w:spacing w:line="276" w:lineRule="auto"/>
              <w:rPr>
                <w:rFonts w:ascii="Arial" w:hAnsi="Arial" w:cs="Arial"/>
                <w:i/>
                <w:iCs/>
              </w:rPr>
            </w:pPr>
            <w:r w:rsidRPr="00457E6F">
              <w:rPr>
                <w:rFonts w:ascii="Arial" w:hAnsi="Arial" w:cs="Arial"/>
                <w:i/>
                <w:iCs/>
              </w:rPr>
              <w:t>Changes in safety laboratory tests (hematology, chemistry and coagulation) from</w:t>
            </w:r>
          </w:p>
          <w:p w14:paraId="71BD6936" w14:textId="77777777" w:rsidR="003A0394" w:rsidRPr="00457E6F" w:rsidRDefault="003A0394" w:rsidP="00045395">
            <w:pPr>
              <w:spacing w:line="276" w:lineRule="auto"/>
              <w:rPr>
                <w:rFonts w:ascii="Arial" w:hAnsi="Arial" w:cs="Arial"/>
                <w:b/>
                <w:bCs/>
                <w:i/>
                <w:iCs/>
              </w:rPr>
            </w:pPr>
            <w:r w:rsidRPr="00457E6F">
              <w:rPr>
                <w:rFonts w:ascii="Arial" w:hAnsi="Arial" w:cs="Arial"/>
                <w:i/>
                <w:iCs/>
              </w:rPr>
              <w:t>baseline over time.</w:t>
            </w:r>
          </w:p>
        </w:tc>
      </w:tr>
      <w:tr w:rsidR="003A0394" w:rsidRPr="00457E6F" w14:paraId="4A33947C" w14:textId="77777777" w:rsidTr="00045395">
        <w:tc>
          <w:tcPr>
            <w:tcW w:w="9016" w:type="dxa"/>
          </w:tcPr>
          <w:p w14:paraId="09FE49C5" w14:textId="77777777" w:rsidR="003A0394" w:rsidRPr="00457E6F" w:rsidRDefault="003A0394" w:rsidP="00045395">
            <w:pPr>
              <w:autoSpaceDE w:val="0"/>
              <w:autoSpaceDN w:val="0"/>
              <w:adjustRightInd w:val="0"/>
              <w:spacing w:line="276" w:lineRule="auto"/>
              <w:rPr>
                <w:rFonts w:ascii="Arial" w:hAnsi="Arial" w:cs="Arial"/>
                <w:i/>
                <w:iCs/>
                <w:lang w:val="en-GB"/>
              </w:rPr>
            </w:pPr>
            <w:r w:rsidRPr="00457E6F">
              <w:rPr>
                <w:rFonts w:ascii="Arial" w:hAnsi="Arial" w:cs="Arial"/>
                <w:i/>
                <w:iCs/>
                <w:lang w:val="en-GB"/>
              </w:rPr>
              <w:t>Incidence of treatment-emergent abnormal laboratory values and abnormal</w:t>
            </w:r>
          </w:p>
          <w:p w14:paraId="7B60C35C" w14:textId="77777777" w:rsidR="003A0394" w:rsidRPr="00457E6F" w:rsidRDefault="003A0394" w:rsidP="00045395">
            <w:pPr>
              <w:spacing w:line="276" w:lineRule="auto"/>
              <w:rPr>
                <w:rFonts w:ascii="Arial" w:hAnsi="Arial" w:cs="Arial"/>
                <w:b/>
                <w:bCs/>
                <w:i/>
                <w:iCs/>
              </w:rPr>
            </w:pPr>
            <w:r w:rsidRPr="00457E6F">
              <w:rPr>
                <w:rFonts w:ascii="Arial" w:hAnsi="Arial" w:cs="Arial"/>
                <w:i/>
                <w:iCs/>
                <w:lang w:val="en-GB"/>
              </w:rPr>
              <w:t>laboratory values reported as adverse events (AEs).</w:t>
            </w:r>
          </w:p>
        </w:tc>
      </w:tr>
      <w:tr w:rsidR="003A0394" w:rsidRPr="00457E6F" w14:paraId="64C7A815" w14:textId="77777777" w:rsidTr="00045395">
        <w:tc>
          <w:tcPr>
            <w:tcW w:w="9016" w:type="dxa"/>
          </w:tcPr>
          <w:p w14:paraId="37D440D3" w14:textId="77777777" w:rsidR="003A0394" w:rsidRPr="00457E6F" w:rsidRDefault="003A0394" w:rsidP="00045395">
            <w:pPr>
              <w:spacing w:line="276" w:lineRule="auto"/>
              <w:rPr>
                <w:rFonts w:ascii="Arial" w:hAnsi="Arial" w:cs="Arial"/>
                <w:b/>
                <w:bCs/>
                <w:i/>
                <w:iCs/>
              </w:rPr>
            </w:pPr>
            <w:r w:rsidRPr="00457E6F">
              <w:rPr>
                <w:rFonts w:ascii="Arial" w:hAnsi="Arial" w:cs="Arial"/>
                <w:i/>
                <w:iCs/>
                <w:lang w:val="en-GB"/>
              </w:rPr>
              <w:t>Incidence and severity of AEs.</w:t>
            </w:r>
          </w:p>
        </w:tc>
      </w:tr>
      <w:tr w:rsidR="003A0394" w:rsidRPr="00457E6F" w14:paraId="2F9ED7C0" w14:textId="77777777" w:rsidTr="00045395">
        <w:tc>
          <w:tcPr>
            <w:tcW w:w="9016" w:type="dxa"/>
          </w:tcPr>
          <w:p w14:paraId="5A8807C4" w14:textId="77777777" w:rsidR="003A0394" w:rsidRPr="00457E6F" w:rsidRDefault="003A0394" w:rsidP="00045395">
            <w:pPr>
              <w:spacing w:line="276" w:lineRule="auto"/>
              <w:rPr>
                <w:rFonts w:ascii="Arial" w:hAnsi="Arial" w:cs="Arial"/>
                <w:b/>
                <w:bCs/>
                <w:i/>
                <w:iCs/>
              </w:rPr>
            </w:pPr>
            <w:r w:rsidRPr="00457E6F">
              <w:rPr>
                <w:rFonts w:ascii="Arial" w:hAnsi="Arial" w:cs="Arial"/>
                <w:i/>
                <w:iCs/>
                <w:lang w:val="en-GB"/>
              </w:rPr>
              <w:t>Incidence of anti-drug antibodies.</w:t>
            </w:r>
          </w:p>
        </w:tc>
      </w:tr>
      <w:tr w:rsidR="003A0394" w:rsidRPr="00457E6F" w14:paraId="35C461C2" w14:textId="77777777" w:rsidTr="00045395">
        <w:tc>
          <w:tcPr>
            <w:tcW w:w="9016" w:type="dxa"/>
          </w:tcPr>
          <w:p w14:paraId="7BC7A9A7" w14:textId="77777777" w:rsidR="003A0394" w:rsidRPr="00457E6F" w:rsidRDefault="003A0394" w:rsidP="00045395">
            <w:pPr>
              <w:spacing w:line="276" w:lineRule="auto"/>
              <w:rPr>
                <w:rFonts w:ascii="Arial" w:hAnsi="Arial" w:cs="Arial"/>
                <w:b/>
                <w:bCs/>
                <w:i/>
                <w:iCs/>
              </w:rPr>
            </w:pPr>
            <w:r w:rsidRPr="00457E6F">
              <w:rPr>
                <w:rFonts w:ascii="Arial" w:hAnsi="Arial" w:cs="Arial"/>
                <w:i/>
                <w:iCs/>
                <w:lang w:val="en-GB"/>
              </w:rPr>
              <w:t>Changes in ECG assessments from baseline over time; incidence of abnormal electrocardiogram assessments.</w:t>
            </w:r>
          </w:p>
        </w:tc>
      </w:tr>
      <w:tr w:rsidR="003A0394" w:rsidRPr="00457E6F" w14:paraId="76D84394" w14:textId="77777777" w:rsidTr="00045395">
        <w:tc>
          <w:tcPr>
            <w:tcW w:w="9016" w:type="dxa"/>
          </w:tcPr>
          <w:p w14:paraId="49E70D24" w14:textId="77777777" w:rsidR="003A0394" w:rsidRPr="00457E6F" w:rsidRDefault="003A0394" w:rsidP="00045395">
            <w:pPr>
              <w:autoSpaceDE w:val="0"/>
              <w:autoSpaceDN w:val="0"/>
              <w:adjustRightInd w:val="0"/>
              <w:spacing w:line="276" w:lineRule="auto"/>
              <w:rPr>
                <w:rFonts w:ascii="Arial" w:hAnsi="Arial" w:cs="Arial"/>
                <w:i/>
                <w:iCs/>
                <w:lang w:val="en-GB"/>
              </w:rPr>
            </w:pPr>
            <w:r w:rsidRPr="00457E6F">
              <w:rPr>
                <w:rFonts w:ascii="Arial" w:hAnsi="Arial" w:cs="Arial"/>
                <w:i/>
                <w:iCs/>
                <w:lang w:val="en-GB"/>
              </w:rPr>
              <w:t>Change in blood pressure (blood pressure [systolic and diastolic], heart rate, and orthostatic measurement from baseline over time, incidence of abnormal blood pressure</w:t>
            </w:r>
          </w:p>
          <w:p w14:paraId="3FF00AB9" w14:textId="77777777" w:rsidR="003A0394" w:rsidRPr="00457E6F" w:rsidRDefault="003A0394" w:rsidP="00045395">
            <w:pPr>
              <w:spacing w:line="276" w:lineRule="auto"/>
              <w:rPr>
                <w:rFonts w:ascii="Arial" w:hAnsi="Arial" w:cs="Arial"/>
                <w:b/>
                <w:bCs/>
                <w:i/>
                <w:iCs/>
              </w:rPr>
            </w:pPr>
            <w:r w:rsidRPr="00457E6F">
              <w:rPr>
                <w:rFonts w:ascii="Arial" w:hAnsi="Arial" w:cs="Arial"/>
                <w:i/>
                <w:iCs/>
                <w:lang w:val="en-GB"/>
              </w:rPr>
              <w:t>[systolic and diastolic], heart rate, and orthostatic changes).</w:t>
            </w:r>
          </w:p>
        </w:tc>
      </w:tr>
      <w:tr w:rsidR="003A0394" w:rsidRPr="00457E6F" w14:paraId="26104E16" w14:textId="77777777" w:rsidTr="00045395">
        <w:tc>
          <w:tcPr>
            <w:tcW w:w="9016" w:type="dxa"/>
          </w:tcPr>
          <w:p w14:paraId="61A585F1" w14:textId="77777777" w:rsidR="003A0394" w:rsidRPr="00457E6F" w:rsidRDefault="003A0394" w:rsidP="00045395">
            <w:pPr>
              <w:autoSpaceDE w:val="0"/>
              <w:autoSpaceDN w:val="0"/>
              <w:adjustRightInd w:val="0"/>
              <w:spacing w:line="276" w:lineRule="auto"/>
              <w:rPr>
                <w:rFonts w:ascii="Arial" w:hAnsi="Arial" w:cs="Arial"/>
                <w:i/>
                <w:iCs/>
                <w:lang w:val="en-GB"/>
              </w:rPr>
            </w:pPr>
            <w:r w:rsidRPr="00457E6F">
              <w:rPr>
                <w:rFonts w:ascii="Arial" w:hAnsi="Arial" w:cs="Arial"/>
                <w:i/>
                <w:iCs/>
                <w:lang w:val="en-GB"/>
              </w:rPr>
              <w:t>Incidence of exacerbation of motor and psychiatric side-effects (including Columbia-Suicide Severity Rating Scale).</w:t>
            </w:r>
          </w:p>
        </w:tc>
      </w:tr>
      <w:tr w:rsidR="003A0394" w:rsidRPr="00457E6F" w14:paraId="7192A714" w14:textId="77777777" w:rsidTr="00045395">
        <w:tc>
          <w:tcPr>
            <w:tcW w:w="9016" w:type="dxa"/>
          </w:tcPr>
          <w:p w14:paraId="5A906C2B" w14:textId="77777777" w:rsidR="003A0394" w:rsidRPr="00457E6F" w:rsidRDefault="003A0394" w:rsidP="00045395">
            <w:pPr>
              <w:autoSpaceDE w:val="0"/>
              <w:autoSpaceDN w:val="0"/>
              <w:adjustRightInd w:val="0"/>
              <w:spacing w:line="276" w:lineRule="auto"/>
              <w:rPr>
                <w:rFonts w:ascii="Arial" w:hAnsi="Arial" w:cs="Arial"/>
                <w:i/>
                <w:iCs/>
                <w:lang w:val="en-GB"/>
              </w:rPr>
            </w:pPr>
            <w:r w:rsidRPr="00457E6F">
              <w:rPr>
                <w:rFonts w:ascii="Arial" w:hAnsi="Arial" w:cs="Arial"/>
                <w:i/>
                <w:iCs/>
                <w:lang w:val="en-GB"/>
              </w:rPr>
              <w:t>Incidence of MRI abnormalities.</w:t>
            </w:r>
          </w:p>
        </w:tc>
      </w:tr>
    </w:tbl>
    <w:p w14:paraId="14939710" w14:textId="7D16F376" w:rsidR="0088787D" w:rsidRDefault="0088787D">
      <w:pPr>
        <w:rPr>
          <w:rFonts w:ascii="Arial" w:hAnsi="Arial" w:cs="Arial"/>
          <w:b/>
          <w:bCs/>
        </w:rPr>
      </w:pPr>
    </w:p>
    <w:p w14:paraId="7486EDF9" w14:textId="77647040" w:rsidR="0088787D" w:rsidRDefault="0088787D">
      <w:pPr>
        <w:rPr>
          <w:rFonts w:ascii="Arial" w:hAnsi="Arial" w:cs="Arial"/>
          <w:b/>
          <w:bCs/>
        </w:rPr>
      </w:pPr>
    </w:p>
    <w:p w14:paraId="63333EC2" w14:textId="25EC4679" w:rsidR="0088787D" w:rsidRDefault="0088787D">
      <w:pPr>
        <w:rPr>
          <w:rFonts w:ascii="Arial" w:hAnsi="Arial" w:cs="Arial"/>
          <w:b/>
          <w:bCs/>
        </w:rPr>
      </w:pPr>
    </w:p>
    <w:p w14:paraId="745865BF" w14:textId="7E444FC3" w:rsidR="003A0394" w:rsidRDefault="003A0394">
      <w:pPr>
        <w:rPr>
          <w:rFonts w:ascii="Arial" w:hAnsi="Arial" w:cs="Arial"/>
          <w:b/>
          <w:bCs/>
        </w:rPr>
      </w:pPr>
    </w:p>
    <w:p w14:paraId="1DB4E3F4" w14:textId="3F99C1B6" w:rsidR="003A0394" w:rsidRDefault="003A0394">
      <w:pPr>
        <w:rPr>
          <w:rFonts w:ascii="Arial" w:hAnsi="Arial" w:cs="Arial"/>
          <w:b/>
          <w:bCs/>
        </w:rPr>
      </w:pPr>
    </w:p>
    <w:p w14:paraId="08A93431" w14:textId="5E4403CE" w:rsidR="003A0394" w:rsidRDefault="003A0394">
      <w:pPr>
        <w:rPr>
          <w:rFonts w:ascii="Arial" w:hAnsi="Arial" w:cs="Arial"/>
          <w:b/>
          <w:bCs/>
        </w:rPr>
      </w:pPr>
    </w:p>
    <w:p w14:paraId="7252E507" w14:textId="71292CA9" w:rsidR="003A0394" w:rsidRDefault="003A0394">
      <w:pPr>
        <w:rPr>
          <w:rFonts w:ascii="Arial" w:hAnsi="Arial" w:cs="Arial"/>
          <w:b/>
          <w:bCs/>
        </w:rPr>
      </w:pPr>
    </w:p>
    <w:p w14:paraId="53A3379E" w14:textId="77777777" w:rsidR="003A0394" w:rsidRDefault="003A0394">
      <w:pPr>
        <w:rPr>
          <w:rFonts w:ascii="Arial" w:hAnsi="Arial" w:cs="Arial"/>
          <w:b/>
          <w:bCs/>
        </w:rPr>
      </w:pPr>
    </w:p>
    <w:p w14:paraId="307F2F82" w14:textId="1A4E533D" w:rsidR="0088787D" w:rsidRDefault="0088787D">
      <w:pPr>
        <w:rPr>
          <w:rFonts w:ascii="Arial" w:hAnsi="Arial" w:cs="Arial"/>
          <w:b/>
          <w:bCs/>
        </w:rPr>
      </w:pPr>
    </w:p>
    <w:p w14:paraId="49DC09CD" w14:textId="77777777" w:rsidR="0088787D" w:rsidRPr="00AE2EE1" w:rsidRDefault="0088787D">
      <w:pPr>
        <w:rPr>
          <w:rFonts w:ascii="Arial" w:hAnsi="Arial" w:cs="Arial"/>
          <w:b/>
          <w:bCs/>
        </w:rPr>
      </w:pPr>
    </w:p>
    <w:p w14:paraId="20234BF1" w14:textId="3084912A" w:rsidR="0063771D" w:rsidRPr="003E1D47" w:rsidRDefault="003E1D47">
      <w:pPr>
        <w:rPr>
          <w:rFonts w:ascii="Arial" w:hAnsi="Arial" w:cs="Arial"/>
          <w:b/>
        </w:rPr>
      </w:pPr>
      <w:r w:rsidRPr="003E1D47">
        <w:rPr>
          <w:rFonts w:ascii="Arial" w:hAnsi="Arial" w:cs="Arial"/>
          <w:b/>
        </w:rPr>
        <w:lastRenderedPageBreak/>
        <w:t xml:space="preserve">Table </w:t>
      </w:r>
      <w:r w:rsidR="003A0394">
        <w:rPr>
          <w:rFonts w:ascii="Arial" w:hAnsi="Arial" w:cs="Arial"/>
          <w:b/>
        </w:rPr>
        <w:t>4</w:t>
      </w:r>
      <w:r w:rsidRPr="003E1D47">
        <w:rPr>
          <w:rFonts w:ascii="Arial" w:hAnsi="Arial" w:cs="Arial"/>
          <w:b/>
        </w:rPr>
        <w:t>. Exploratory endpoints</w:t>
      </w:r>
    </w:p>
    <w:tbl>
      <w:tblPr>
        <w:tblStyle w:val="TableGrid"/>
        <w:tblW w:w="0" w:type="auto"/>
        <w:tblLook w:val="04A0" w:firstRow="1" w:lastRow="0" w:firstColumn="1" w:lastColumn="0" w:noHBand="0" w:noVBand="1"/>
      </w:tblPr>
      <w:tblGrid>
        <w:gridCol w:w="9016"/>
      </w:tblGrid>
      <w:tr w:rsidR="003E1D47" w14:paraId="1A361738" w14:textId="77777777" w:rsidTr="00AB1B41">
        <w:tc>
          <w:tcPr>
            <w:tcW w:w="9016" w:type="dxa"/>
          </w:tcPr>
          <w:p w14:paraId="15AFF426" w14:textId="0A0D63DA" w:rsidR="003E1D47" w:rsidRPr="00112BB7" w:rsidRDefault="003E1D47" w:rsidP="003E1D47">
            <w:pPr>
              <w:pStyle w:val="ListParagraph"/>
              <w:numPr>
                <w:ilvl w:val="0"/>
                <w:numId w:val="22"/>
              </w:numPr>
              <w:spacing w:line="360" w:lineRule="auto"/>
              <w:rPr>
                <w:rFonts w:ascii="Arial" w:hAnsi="Arial" w:cs="Arial"/>
              </w:rPr>
            </w:pPr>
            <w:r w:rsidRPr="00112BB7">
              <w:rPr>
                <w:rFonts w:ascii="Arial" w:hAnsi="Arial" w:cs="Arial"/>
              </w:rPr>
              <w:t xml:space="preserve">MDS-UPDRS Part III sub-scores </w:t>
            </w:r>
            <w:r>
              <w:rPr>
                <w:rFonts w:ascii="Arial" w:hAnsi="Arial" w:cs="Arial"/>
              </w:rPr>
              <w:t>were videotaped and the videos were centrally scored by a vendor to address consistency and accuracy in the trained site raters</w:t>
            </w:r>
            <w:r w:rsidR="006602C3">
              <w:rPr>
                <w:rFonts w:ascii="Arial" w:hAnsi="Arial" w:cs="Arial"/>
              </w:rPr>
              <w:t>.</w:t>
            </w:r>
          </w:p>
        </w:tc>
      </w:tr>
      <w:tr w:rsidR="003E1D47" w14:paraId="220A551D" w14:textId="77777777" w:rsidTr="00AB1B41">
        <w:tc>
          <w:tcPr>
            <w:tcW w:w="9016" w:type="dxa"/>
          </w:tcPr>
          <w:p w14:paraId="7C45EFB8" w14:textId="1B533AE0" w:rsidR="003E1D47" w:rsidRPr="00112BB7" w:rsidRDefault="003E1D47" w:rsidP="003E1D47">
            <w:pPr>
              <w:pStyle w:val="ListParagraph"/>
              <w:numPr>
                <w:ilvl w:val="0"/>
                <w:numId w:val="22"/>
              </w:numPr>
              <w:spacing w:line="360" w:lineRule="auto"/>
              <w:rPr>
                <w:rFonts w:ascii="Arial" w:hAnsi="Arial" w:cs="Arial"/>
              </w:rPr>
            </w:pPr>
            <w:r w:rsidRPr="00112BB7">
              <w:rPr>
                <w:rFonts w:ascii="Arial" w:hAnsi="Arial" w:cs="Arial"/>
              </w:rPr>
              <w:t xml:space="preserve">Time to starting dopaminergic PD </w:t>
            </w:r>
            <w:r w:rsidR="000E2D10">
              <w:rPr>
                <w:rFonts w:ascii="Arial" w:hAnsi="Arial" w:cs="Arial"/>
              </w:rPr>
              <w:t>therapy</w:t>
            </w:r>
            <w:r w:rsidRPr="00112BB7">
              <w:rPr>
                <w:rFonts w:ascii="Arial" w:hAnsi="Arial" w:cs="Arial"/>
              </w:rPr>
              <w:t xml:space="preserve"> (levodopa or dopamine agonist)</w:t>
            </w:r>
            <w:r w:rsidR="006602C3">
              <w:rPr>
                <w:rFonts w:ascii="Arial" w:hAnsi="Arial" w:cs="Arial"/>
              </w:rPr>
              <w:t>.</w:t>
            </w:r>
          </w:p>
        </w:tc>
      </w:tr>
      <w:tr w:rsidR="003E1D47" w14:paraId="4F724438" w14:textId="77777777" w:rsidTr="00AB1B41">
        <w:tc>
          <w:tcPr>
            <w:tcW w:w="9016" w:type="dxa"/>
          </w:tcPr>
          <w:p w14:paraId="01700957" w14:textId="7B8C2FA5" w:rsidR="003E1D47" w:rsidRDefault="003E1D47" w:rsidP="003E1D47">
            <w:pPr>
              <w:pStyle w:val="ListParagraph"/>
              <w:numPr>
                <w:ilvl w:val="0"/>
                <w:numId w:val="22"/>
              </w:numPr>
              <w:spacing w:line="360" w:lineRule="auto"/>
              <w:rPr>
                <w:rFonts w:ascii="Arial" w:hAnsi="Arial" w:cs="Arial"/>
              </w:rPr>
            </w:pPr>
            <w:r>
              <w:rPr>
                <w:rFonts w:ascii="Arial" w:hAnsi="Arial" w:cs="Arial"/>
              </w:rPr>
              <w:t xml:space="preserve">Evaluated the effect of prasinezumab </w:t>
            </w:r>
            <w:r w:rsidR="00E02C38">
              <w:rPr>
                <w:rFonts w:ascii="Arial" w:hAnsi="Arial" w:cs="Arial"/>
              </w:rPr>
              <w:t xml:space="preserve">vs. </w:t>
            </w:r>
            <w:r>
              <w:rPr>
                <w:rFonts w:ascii="Arial" w:hAnsi="Arial" w:cs="Arial"/>
              </w:rPr>
              <w:t>placebo over 52 weeks on change from baseline in</w:t>
            </w:r>
            <w:r w:rsidR="006602C3">
              <w:rPr>
                <w:rFonts w:ascii="Arial" w:hAnsi="Arial" w:cs="Arial"/>
              </w:rPr>
              <w:t>:</w:t>
            </w:r>
          </w:p>
          <w:p w14:paraId="4222ECE0" w14:textId="77777777" w:rsidR="003E1D47" w:rsidRPr="003F3385" w:rsidRDefault="003E1D47" w:rsidP="003E1D47">
            <w:pPr>
              <w:pStyle w:val="ListParagraph"/>
              <w:numPr>
                <w:ilvl w:val="1"/>
                <w:numId w:val="22"/>
              </w:numPr>
              <w:spacing w:line="360" w:lineRule="auto"/>
              <w:rPr>
                <w:rFonts w:ascii="Arial" w:hAnsi="Arial" w:cs="Arial"/>
              </w:rPr>
            </w:pPr>
            <w:r>
              <w:rPr>
                <w:rFonts w:ascii="Arial" w:hAnsi="Arial" w:cs="Arial"/>
                <w:iCs/>
              </w:rPr>
              <w:t>M</w:t>
            </w:r>
            <w:r w:rsidRPr="00515500">
              <w:rPr>
                <w:rFonts w:ascii="Arial" w:hAnsi="Arial" w:cs="Arial"/>
                <w:iCs/>
              </w:rPr>
              <w:t>odified H&amp;Y</w:t>
            </w:r>
          </w:p>
          <w:p w14:paraId="50E635E7" w14:textId="3BDB9856" w:rsidR="003E1D47" w:rsidRDefault="003E1D47" w:rsidP="003E1D47">
            <w:pPr>
              <w:pStyle w:val="ListParagraph"/>
              <w:numPr>
                <w:ilvl w:val="1"/>
                <w:numId w:val="22"/>
              </w:numPr>
              <w:spacing w:line="360" w:lineRule="auto"/>
              <w:rPr>
                <w:rFonts w:ascii="Arial" w:hAnsi="Arial" w:cs="Arial"/>
              </w:rPr>
            </w:pPr>
            <w:r w:rsidRPr="00515500">
              <w:rPr>
                <w:rFonts w:ascii="Arial" w:hAnsi="Arial" w:cs="Arial"/>
              </w:rPr>
              <w:t>Hospital Anxiety and Depression Scale (HADS)</w:t>
            </w:r>
          </w:p>
          <w:p w14:paraId="2AAEACC5" w14:textId="726FEAAA" w:rsidR="003E1D47" w:rsidRDefault="003E1D47" w:rsidP="003E1D47">
            <w:pPr>
              <w:pStyle w:val="ListParagraph"/>
              <w:numPr>
                <w:ilvl w:val="1"/>
                <w:numId w:val="22"/>
              </w:numPr>
              <w:spacing w:line="360" w:lineRule="auto"/>
              <w:rPr>
                <w:rFonts w:ascii="Arial" w:hAnsi="Arial" w:cs="Arial"/>
              </w:rPr>
            </w:pPr>
            <w:r w:rsidRPr="00515500">
              <w:rPr>
                <w:rFonts w:ascii="Arial" w:hAnsi="Arial" w:cs="Arial"/>
              </w:rPr>
              <w:t>Patient Assessment of Constipation Symptoms (PAC-SYM)</w:t>
            </w:r>
          </w:p>
          <w:p w14:paraId="0A26D0D8" w14:textId="3EBC6AF3" w:rsidR="003E1D47" w:rsidRDefault="006602C3" w:rsidP="003E1D47">
            <w:pPr>
              <w:pStyle w:val="ListParagraph"/>
              <w:numPr>
                <w:ilvl w:val="1"/>
                <w:numId w:val="22"/>
              </w:numPr>
              <w:spacing w:line="360" w:lineRule="auto"/>
              <w:rPr>
                <w:rFonts w:ascii="Arial" w:hAnsi="Arial" w:cs="Arial"/>
              </w:rPr>
            </w:pPr>
            <w:r>
              <w:rPr>
                <w:rFonts w:ascii="Arial" w:hAnsi="Arial" w:cs="Arial"/>
              </w:rPr>
              <w:t>S</w:t>
            </w:r>
            <w:r w:rsidR="003E1D47" w:rsidRPr="00515500">
              <w:rPr>
                <w:rFonts w:ascii="Arial" w:hAnsi="Arial" w:cs="Arial"/>
              </w:rPr>
              <w:t>cales for outcomes in Parkinson’s disease autonomic dysfunction (SCOPA-AUT)</w:t>
            </w:r>
          </w:p>
          <w:p w14:paraId="0E26A8B1" w14:textId="3BB7C0B2" w:rsidR="003E1D47" w:rsidRDefault="003E1D47" w:rsidP="003E1D47">
            <w:pPr>
              <w:pStyle w:val="ListParagraph"/>
              <w:numPr>
                <w:ilvl w:val="1"/>
                <w:numId w:val="22"/>
              </w:numPr>
              <w:spacing w:line="360" w:lineRule="auto"/>
              <w:rPr>
                <w:rFonts w:ascii="Arial" w:hAnsi="Arial" w:cs="Arial"/>
              </w:rPr>
            </w:pPr>
            <w:r w:rsidRPr="00515500">
              <w:rPr>
                <w:rFonts w:ascii="Arial" w:hAnsi="Arial" w:cs="Arial"/>
              </w:rPr>
              <w:t>Parkinson’s Disease Sleep Scale Revised Version 2 (PDSS-2)</w:t>
            </w:r>
          </w:p>
          <w:p w14:paraId="7C2246F1" w14:textId="13685172" w:rsidR="003E1D47" w:rsidRPr="00F73BC1" w:rsidRDefault="003E1D47" w:rsidP="003E1D47">
            <w:pPr>
              <w:pStyle w:val="ListParagraph"/>
              <w:numPr>
                <w:ilvl w:val="1"/>
                <w:numId w:val="22"/>
              </w:numPr>
              <w:spacing w:line="360" w:lineRule="auto"/>
              <w:rPr>
                <w:rFonts w:ascii="Arial" w:hAnsi="Arial" w:cs="Arial"/>
                <w:lang w:val="fr-FR"/>
              </w:rPr>
            </w:pPr>
            <w:r w:rsidRPr="00F73BC1">
              <w:rPr>
                <w:rFonts w:ascii="Arial" w:hAnsi="Arial" w:cs="Arial"/>
                <w:lang w:val="fr-FR"/>
              </w:rPr>
              <w:t xml:space="preserve">39-item </w:t>
            </w:r>
            <w:proofErr w:type="spellStart"/>
            <w:r w:rsidRPr="00F73BC1">
              <w:rPr>
                <w:rFonts w:ascii="Arial" w:hAnsi="Arial" w:cs="Arial"/>
                <w:lang w:val="fr-FR"/>
              </w:rPr>
              <w:t>Parkinson’s</w:t>
            </w:r>
            <w:proofErr w:type="spellEnd"/>
            <w:r w:rsidRPr="00F73BC1">
              <w:rPr>
                <w:rFonts w:ascii="Arial" w:hAnsi="Arial" w:cs="Arial"/>
                <w:lang w:val="fr-FR"/>
              </w:rPr>
              <w:t xml:space="preserve"> </w:t>
            </w:r>
            <w:proofErr w:type="spellStart"/>
            <w:r w:rsidRPr="00F73BC1">
              <w:rPr>
                <w:rFonts w:ascii="Arial" w:hAnsi="Arial" w:cs="Arial"/>
                <w:lang w:val="fr-FR"/>
              </w:rPr>
              <w:t>Disease</w:t>
            </w:r>
            <w:proofErr w:type="spellEnd"/>
            <w:r w:rsidRPr="00F73BC1">
              <w:rPr>
                <w:rFonts w:ascii="Arial" w:hAnsi="Arial" w:cs="Arial"/>
                <w:lang w:val="fr-FR"/>
              </w:rPr>
              <w:t xml:space="preserve"> Questionnaire (PDQ-39)</w:t>
            </w:r>
          </w:p>
          <w:p w14:paraId="4A08980B" w14:textId="240941A8" w:rsidR="003E1D47" w:rsidRPr="003F3385" w:rsidRDefault="003E1D47" w:rsidP="003E1D47">
            <w:pPr>
              <w:pStyle w:val="ListParagraph"/>
              <w:numPr>
                <w:ilvl w:val="1"/>
                <w:numId w:val="22"/>
              </w:numPr>
              <w:spacing w:line="360" w:lineRule="auto"/>
              <w:rPr>
                <w:rFonts w:ascii="Arial" w:hAnsi="Arial" w:cs="Arial"/>
              </w:rPr>
            </w:pPr>
            <w:r w:rsidRPr="00515500">
              <w:rPr>
                <w:rFonts w:ascii="Arial" w:hAnsi="Arial" w:cs="Arial"/>
                <w:iCs/>
              </w:rPr>
              <w:t>European Quality of Life Questionnaire 5-level version (EQ-5D-5L)</w:t>
            </w:r>
          </w:p>
          <w:p w14:paraId="46BDA7A7" w14:textId="77777777" w:rsidR="003E1D47" w:rsidRDefault="003E1D47" w:rsidP="003E1D47">
            <w:pPr>
              <w:pStyle w:val="ListParagraph"/>
              <w:numPr>
                <w:ilvl w:val="1"/>
                <w:numId w:val="22"/>
              </w:numPr>
              <w:spacing w:line="360" w:lineRule="auto"/>
              <w:rPr>
                <w:rFonts w:ascii="Arial" w:hAnsi="Arial" w:cs="Arial"/>
              </w:rPr>
            </w:pPr>
            <w:r>
              <w:rPr>
                <w:rFonts w:ascii="Arial" w:hAnsi="Arial" w:cs="Arial"/>
              </w:rPr>
              <w:t xml:space="preserve">Serum and </w:t>
            </w:r>
            <w:r w:rsidRPr="00515500">
              <w:rPr>
                <w:rFonts w:ascii="Arial" w:hAnsi="Arial" w:cs="Arial"/>
              </w:rPr>
              <w:t>cerebrospinal fluid biomarkers related to PD</w:t>
            </w:r>
          </w:p>
          <w:p w14:paraId="74D57A58" w14:textId="77777777" w:rsidR="003E1D47" w:rsidRDefault="003E1D47" w:rsidP="003E1D47">
            <w:pPr>
              <w:pStyle w:val="ListParagraph"/>
              <w:numPr>
                <w:ilvl w:val="1"/>
                <w:numId w:val="22"/>
              </w:numPr>
              <w:spacing w:line="360" w:lineRule="auto"/>
              <w:rPr>
                <w:rFonts w:ascii="Arial" w:hAnsi="Arial" w:cs="Arial"/>
              </w:rPr>
            </w:pPr>
            <w:r>
              <w:rPr>
                <w:rFonts w:ascii="Arial" w:hAnsi="Arial" w:cs="Arial"/>
              </w:rPr>
              <w:t>A</w:t>
            </w:r>
            <w:r w:rsidRPr="005A3C17">
              <w:rPr>
                <w:rFonts w:ascii="Arial" w:hAnsi="Arial" w:cs="Arial"/>
              </w:rPr>
              <w:t>lpha-synuclein pathology in peripheral nerves (skin biopsies)</w:t>
            </w:r>
          </w:p>
          <w:p w14:paraId="3CC38984" w14:textId="77777777" w:rsidR="003E1D47" w:rsidRDefault="003E1D47" w:rsidP="003E1D47">
            <w:pPr>
              <w:pStyle w:val="ListParagraph"/>
              <w:numPr>
                <w:ilvl w:val="1"/>
                <w:numId w:val="22"/>
              </w:numPr>
              <w:spacing w:line="360" w:lineRule="auto"/>
              <w:rPr>
                <w:rFonts w:ascii="Arial" w:hAnsi="Arial" w:cs="Arial"/>
              </w:rPr>
            </w:pPr>
            <w:r w:rsidRPr="005A3C17">
              <w:rPr>
                <w:rFonts w:ascii="Arial" w:hAnsi="Arial" w:cs="Arial"/>
              </w:rPr>
              <w:t>DaT-SPECT binding ratio values for: striatum, caudate and putamen (average, ipsilateral and contralateral)</w:t>
            </w:r>
          </w:p>
          <w:p w14:paraId="347F570F" w14:textId="406545DF" w:rsidR="003E1D47" w:rsidRDefault="003E1D47" w:rsidP="003E1D47">
            <w:pPr>
              <w:pStyle w:val="ListParagraph"/>
              <w:numPr>
                <w:ilvl w:val="1"/>
                <w:numId w:val="22"/>
              </w:numPr>
              <w:spacing w:line="360" w:lineRule="auto"/>
              <w:rPr>
                <w:rFonts w:ascii="Arial" w:hAnsi="Arial" w:cs="Arial"/>
              </w:rPr>
            </w:pPr>
            <w:r w:rsidRPr="005A3C17">
              <w:rPr>
                <w:rFonts w:ascii="Arial" w:hAnsi="Arial" w:cs="Arial"/>
              </w:rPr>
              <w:t>Diffusion tensor imaging MRI for mean diffusivity and fractional anisotropy</w:t>
            </w:r>
          </w:p>
          <w:p w14:paraId="143BA694" w14:textId="0836418D" w:rsidR="003E1D47" w:rsidRPr="00112BB7" w:rsidRDefault="003E1D47" w:rsidP="003E1D47">
            <w:pPr>
              <w:pStyle w:val="ListParagraph"/>
              <w:numPr>
                <w:ilvl w:val="1"/>
                <w:numId w:val="22"/>
              </w:numPr>
              <w:spacing w:line="360" w:lineRule="auto"/>
              <w:rPr>
                <w:rFonts w:ascii="Arial" w:hAnsi="Arial" w:cs="Arial"/>
              </w:rPr>
            </w:pPr>
            <w:r>
              <w:rPr>
                <w:rFonts w:ascii="Arial" w:hAnsi="Arial" w:cs="Arial"/>
              </w:rPr>
              <w:t>A</w:t>
            </w:r>
            <w:r w:rsidRPr="005A3C17">
              <w:rPr>
                <w:rFonts w:ascii="Arial" w:hAnsi="Arial" w:cs="Arial"/>
              </w:rPr>
              <w:t>rterial spin labeling (ASL) MRI for cerebral blood flow</w:t>
            </w:r>
            <w:r w:rsidR="006602C3">
              <w:rPr>
                <w:rFonts w:ascii="Arial" w:hAnsi="Arial" w:cs="Arial"/>
              </w:rPr>
              <w:t>.</w:t>
            </w:r>
          </w:p>
        </w:tc>
      </w:tr>
      <w:tr w:rsidR="003E1D47" w14:paraId="15A23BF1" w14:textId="77777777" w:rsidTr="00AB1B41">
        <w:tc>
          <w:tcPr>
            <w:tcW w:w="9016" w:type="dxa"/>
          </w:tcPr>
          <w:p w14:paraId="6DB00AFB" w14:textId="72306126" w:rsidR="003E1D47" w:rsidRPr="00112BB7" w:rsidRDefault="003E1D47" w:rsidP="003E1D47">
            <w:pPr>
              <w:pStyle w:val="ListParagraph"/>
              <w:numPr>
                <w:ilvl w:val="0"/>
                <w:numId w:val="22"/>
              </w:numPr>
              <w:spacing w:line="360" w:lineRule="auto"/>
              <w:rPr>
                <w:rFonts w:ascii="Arial" w:hAnsi="Arial" w:cs="Arial"/>
              </w:rPr>
            </w:pPr>
            <w:r w:rsidRPr="00112BB7">
              <w:rPr>
                <w:rFonts w:ascii="Arial" w:hAnsi="Arial" w:cs="Arial"/>
              </w:rPr>
              <w:t>Time to start or change of co-medication for non-motor symptoms that may</w:t>
            </w:r>
            <w:r>
              <w:rPr>
                <w:rFonts w:ascii="Arial" w:hAnsi="Arial" w:cs="Arial"/>
              </w:rPr>
              <w:t xml:space="preserve"> have been</w:t>
            </w:r>
            <w:r w:rsidRPr="00112BB7">
              <w:rPr>
                <w:rFonts w:ascii="Arial" w:hAnsi="Arial" w:cs="Arial"/>
              </w:rPr>
              <w:t xml:space="preserve"> related to either PD or imaging biomarkers (DaT-SPECT and ASL MRI)</w:t>
            </w:r>
            <w:r w:rsidR="006602C3">
              <w:rPr>
                <w:rFonts w:ascii="Arial" w:hAnsi="Arial" w:cs="Arial"/>
              </w:rPr>
              <w:t>.</w:t>
            </w:r>
          </w:p>
        </w:tc>
      </w:tr>
      <w:tr w:rsidR="003E1D47" w14:paraId="043D4182" w14:textId="77777777" w:rsidTr="00AB1B41">
        <w:tc>
          <w:tcPr>
            <w:tcW w:w="9016" w:type="dxa"/>
          </w:tcPr>
          <w:p w14:paraId="0BE250AA" w14:textId="764F6B2C" w:rsidR="003E1D47" w:rsidRPr="00112BB7" w:rsidRDefault="003E1D47" w:rsidP="003E1D47">
            <w:pPr>
              <w:pStyle w:val="ListParagraph"/>
              <w:numPr>
                <w:ilvl w:val="0"/>
                <w:numId w:val="22"/>
              </w:numPr>
              <w:spacing w:line="360" w:lineRule="auto"/>
              <w:rPr>
                <w:rFonts w:ascii="Arial" w:hAnsi="Arial" w:cs="Arial"/>
              </w:rPr>
            </w:pPr>
            <w:r w:rsidRPr="00112BB7">
              <w:rPr>
                <w:rFonts w:ascii="Arial" w:hAnsi="Arial" w:cs="Arial"/>
              </w:rPr>
              <w:t>Parkinson-related effects on the loss of autonomic tone as measured by heart rate variability</w:t>
            </w:r>
            <w:r w:rsidR="006602C3">
              <w:rPr>
                <w:rFonts w:ascii="Arial" w:hAnsi="Arial" w:cs="Arial"/>
              </w:rPr>
              <w:t>.</w:t>
            </w:r>
          </w:p>
        </w:tc>
      </w:tr>
      <w:tr w:rsidR="003E1D47" w14:paraId="499080C0" w14:textId="77777777" w:rsidTr="00AB1B41">
        <w:tc>
          <w:tcPr>
            <w:tcW w:w="9016" w:type="dxa"/>
          </w:tcPr>
          <w:p w14:paraId="3D06D119" w14:textId="5FCF74A3" w:rsidR="003E1D47" w:rsidRPr="003F3385" w:rsidRDefault="003E1D47" w:rsidP="003E1D47">
            <w:pPr>
              <w:pStyle w:val="ListParagraph"/>
              <w:numPr>
                <w:ilvl w:val="0"/>
                <w:numId w:val="22"/>
              </w:numPr>
              <w:spacing w:line="360" w:lineRule="auto"/>
              <w:rPr>
                <w:rFonts w:ascii="Arial" w:hAnsi="Arial" w:cs="Arial"/>
              </w:rPr>
            </w:pPr>
            <w:r>
              <w:rPr>
                <w:rFonts w:ascii="Arial" w:hAnsi="Arial" w:cs="Arial"/>
              </w:rPr>
              <w:t>C</w:t>
            </w:r>
            <w:r w:rsidRPr="003A0C18">
              <w:rPr>
                <w:rFonts w:ascii="Arial" w:hAnsi="Arial" w:cs="Arial"/>
              </w:rPr>
              <w:t>omposite score of Part 2 and Part 3 sub-items</w:t>
            </w:r>
            <w:r w:rsidR="006602C3">
              <w:rPr>
                <w:rFonts w:ascii="Arial" w:hAnsi="Arial" w:cs="Arial"/>
              </w:rPr>
              <w:t>.</w:t>
            </w:r>
          </w:p>
        </w:tc>
      </w:tr>
      <w:tr w:rsidR="003E1D47" w14:paraId="194664B8" w14:textId="77777777" w:rsidTr="00AB1B41">
        <w:tc>
          <w:tcPr>
            <w:tcW w:w="9016" w:type="dxa"/>
          </w:tcPr>
          <w:p w14:paraId="47A82954" w14:textId="1CA0A3D4" w:rsidR="003E1D47" w:rsidRDefault="003E1D47" w:rsidP="003E1D47">
            <w:pPr>
              <w:pStyle w:val="ListParagraph"/>
              <w:numPr>
                <w:ilvl w:val="0"/>
                <w:numId w:val="22"/>
              </w:numPr>
              <w:spacing w:line="360" w:lineRule="auto"/>
              <w:rPr>
                <w:rFonts w:ascii="Arial" w:hAnsi="Arial" w:cs="Arial"/>
              </w:rPr>
            </w:pPr>
            <w:r w:rsidRPr="00DD60C1">
              <w:rPr>
                <w:rFonts w:ascii="Arial" w:hAnsi="Arial" w:cs="Arial"/>
              </w:rPr>
              <w:t xml:space="preserve">MDS-UPDRS Part IV at Week 52 in participants who started dopaminergic </w:t>
            </w:r>
            <w:r w:rsidR="000E2D10">
              <w:rPr>
                <w:rFonts w:ascii="Arial" w:hAnsi="Arial" w:cs="Arial"/>
              </w:rPr>
              <w:t xml:space="preserve">therapy </w:t>
            </w:r>
            <w:r w:rsidRPr="00DD60C1">
              <w:rPr>
                <w:rFonts w:ascii="Arial" w:hAnsi="Arial" w:cs="Arial"/>
              </w:rPr>
              <w:t>(levodopa or dopamine agonist)</w:t>
            </w:r>
            <w:r w:rsidR="006602C3">
              <w:rPr>
                <w:rFonts w:ascii="Arial" w:hAnsi="Arial" w:cs="Arial"/>
              </w:rPr>
              <w:t>.</w:t>
            </w:r>
          </w:p>
        </w:tc>
      </w:tr>
      <w:tr w:rsidR="003E1D47" w14:paraId="5F525636" w14:textId="77777777" w:rsidTr="00AB1B41">
        <w:tc>
          <w:tcPr>
            <w:tcW w:w="9016" w:type="dxa"/>
          </w:tcPr>
          <w:p w14:paraId="3C929B38" w14:textId="6DAB93C4" w:rsidR="003E1D47" w:rsidRPr="00112BB7" w:rsidRDefault="003E1D47" w:rsidP="003E1D47">
            <w:pPr>
              <w:pStyle w:val="ListParagraph"/>
              <w:numPr>
                <w:ilvl w:val="0"/>
                <w:numId w:val="22"/>
              </w:numPr>
              <w:spacing w:line="360" w:lineRule="auto"/>
              <w:rPr>
                <w:rFonts w:ascii="Arial" w:hAnsi="Arial" w:cs="Arial"/>
              </w:rPr>
            </w:pPr>
            <w:r w:rsidRPr="00112BB7">
              <w:rPr>
                <w:rFonts w:ascii="Arial" w:hAnsi="Arial" w:cs="Arial"/>
              </w:rPr>
              <w:t>Change from baseline in following patient</w:t>
            </w:r>
            <w:r w:rsidR="00BC4D78">
              <w:rPr>
                <w:rFonts w:ascii="Arial" w:hAnsi="Arial" w:cs="Arial"/>
              </w:rPr>
              <w:t>-</w:t>
            </w:r>
            <w:r w:rsidRPr="00112BB7">
              <w:rPr>
                <w:rFonts w:ascii="Arial" w:hAnsi="Arial" w:cs="Arial"/>
              </w:rPr>
              <w:t xml:space="preserve">reported outcomes (PRO) </w:t>
            </w:r>
            <w:r w:rsidR="00F73BC1">
              <w:rPr>
                <w:rFonts w:ascii="Arial" w:hAnsi="Arial" w:cs="Arial"/>
              </w:rPr>
              <w:t>were</w:t>
            </w:r>
            <w:r w:rsidRPr="00112BB7">
              <w:rPr>
                <w:rFonts w:ascii="Arial" w:hAnsi="Arial" w:cs="Arial"/>
              </w:rPr>
              <w:t xml:space="preserve"> assessed:</w:t>
            </w:r>
          </w:p>
          <w:p w14:paraId="5F598BE8" w14:textId="77777777" w:rsidR="003E1D47" w:rsidRDefault="003E1D47" w:rsidP="003E1D47">
            <w:pPr>
              <w:pStyle w:val="ListParagraph"/>
              <w:numPr>
                <w:ilvl w:val="1"/>
                <w:numId w:val="22"/>
              </w:numPr>
              <w:spacing w:line="360" w:lineRule="auto"/>
              <w:rPr>
                <w:rFonts w:ascii="Arial" w:hAnsi="Arial" w:cs="Arial"/>
              </w:rPr>
            </w:pPr>
            <w:r w:rsidRPr="006642AB">
              <w:rPr>
                <w:rFonts w:ascii="Arial" w:hAnsi="Arial" w:cs="Arial"/>
              </w:rPr>
              <w:t xml:space="preserve">Diary questions </w:t>
            </w:r>
          </w:p>
          <w:p w14:paraId="095937F3" w14:textId="77777777" w:rsidR="003E1D47" w:rsidRDefault="003E1D47" w:rsidP="003E1D47">
            <w:pPr>
              <w:pStyle w:val="ListParagraph"/>
              <w:numPr>
                <w:ilvl w:val="1"/>
                <w:numId w:val="22"/>
              </w:numPr>
              <w:spacing w:line="360" w:lineRule="auto"/>
              <w:rPr>
                <w:rFonts w:ascii="Arial" w:hAnsi="Arial" w:cs="Arial"/>
              </w:rPr>
            </w:pPr>
            <w:r w:rsidRPr="003F3385">
              <w:rPr>
                <w:rFonts w:ascii="Arial" w:hAnsi="Arial" w:cs="Arial"/>
              </w:rPr>
              <w:t>PAC-SYM questionnaire</w:t>
            </w:r>
          </w:p>
          <w:p w14:paraId="3EC411A3" w14:textId="6F3451E8" w:rsidR="003E1D47" w:rsidRPr="003F3385" w:rsidRDefault="003E1D47" w:rsidP="003E1D47">
            <w:pPr>
              <w:pStyle w:val="ListParagraph"/>
              <w:numPr>
                <w:ilvl w:val="1"/>
                <w:numId w:val="22"/>
              </w:numPr>
              <w:spacing w:line="360" w:lineRule="auto"/>
              <w:rPr>
                <w:rFonts w:ascii="Arial" w:hAnsi="Arial" w:cs="Arial"/>
              </w:rPr>
            </w:pPr>
            <w:r w:rsidRPr="003F3385">
              <w:rPr>
                <w:rFonts w:ascii="Arial" w:hAnsi="Arial" w:cs="Arial"/>
              </w:rPr>
              <w:t xml:space="preserve">HADS total score and sub-scales: </w:t>
            </w:r>
          </w:p>
          <w:p w14:paraId="02E56213" w14:textId="6E357BF9" w:rsidR="003E1D47" w:rsidRDefault="003E1D47" w:rsidP="003E1D47">
            <w:pPr>
              <w:pStyle w:val="ListParagraph"/>
              <w:numPr>
                <w:ilvl w:val="2"/>
                <w:numId w:val="22"/>
              </w:numPr>
              <w:spacing w:line="360" w:lineRule="auto"/>
              <w:rPr>
                <w:rFonts w:ascii="Arial" w:hAnsi="Arial" w:cs="Arial"/>
              </w:rPr>
            </w:pPr>
            <w:r w:rsidRPr="006642AB">
              <w:rPr>
                <w:rFonts w:ascii="Arial" w:hAnsi="Arial" w:cs="Arial"/>
              </w:rPr>
              <w:t>anxiety (HADS-A)</w:t>
            </w:r>
          </w:p>
          <w:p w14:paraId="34F02DCC" w14:textId="3A0BEB52" w:rsidR="003E1D47" w:rsidRDefault="003E1D47" w:rsidP="003E1D47">
            <w:pPr>
              <w:pStyle w:val="ListParagraph"/>
              <w:numPr>
                <w:ilvl w:val="2"/>
                <w:numId w:val="22"/>
              </w:numPr>
              <w:spacing w:line="360" w:lineRule="auto"/>
              <w:rPr>
                <w:rFonts w:ascii="Arial" w:hAnsi="Arial" w:cs="Arial"/>
              </w:rPr>
            </w:pPr>
            <w:r w:rsidRPr="006642AB">
              <w:rPr>
                <w:rFonts w:ascii="Arial" w:hAnsi="Arial" w:cs="Arial"/>
              </w:rPr>
              <w:t>depression (HADS-D)</w:t>
            </w:r>
            <w:r w:rsidR="006602C3">
              <w:rPr>
                <w:rFonts w:ascii="Arial" w:hAnsi="Arial" w:cs="Arial"/>
              </w:rPr>
              <w:t>.</w:t>
            </w:r>
            <w:r w:rsidRPr="006642AB">
              <w:rPr>
                <w:rFonts w:ascii="Arial" w:hAnsi="Arial" w:cs="Arial"/>
              </w:rPr>
              <w:t xml:space="preserve"> </w:t>
            </w:r>
          </w:p>
          <w:p w14:paraId="7D19BC1B" w14:textId="77777777" w:rsidR="003E1D47" w:rsidRPr="003F3385" w:rsidRDefault="003E1D47" w:rsidP="003E1D47">
            <w:pPr>
              <w:pStyle w:val="ListParagraph"/>
              <w:numPr>
                <w:ilvl w:val="1"/>
                <w:numId w:val="22"/>
              </w:numPr>
              <w:spacing w:line="360" w:lineRule="auto"/>
              <w:rPr>
                <w:rFonts w:ascii="Arial" w:hAnsi="Arial" w:cs="Arial"/>
              </w:rPr>
            </w:pPr>
            <w:r w:rsidRPr="003F3385">
              <w:rPr>
                <w:rFonts w:ascii="Arial" w:hAnsi="Arial" w:cs="Arial"/>
              </w:rPr>
              <w:t>EQ-5D-5L questionnaire</w:t>
            </w:r>
          </w:p>
        </w:tc>
      </w:tr>
      <w:tr w:rsidR="003E1D47" w14:paraId="43DB092E" w14:textId="77777777" w:rsidTr="00AB1B41">
        <w:tc>
          <w:tcPr>
            <w:tcW w:w="9016" w:type="dxa"/>
          </w:tcPr>
          <w:p w14:paraId="74C23FF0" w14:textId="19EDB0EE" w:rsidR="003E1D47" w:rsidRDefault="003E1D47" w:rsidP="003E1D47">
            <w:pPr>
              <w:pStyle w:val="ListParagraph"/>
              <w:numPr>
                <w:ilvl w:val="0"/>
                <w:numId w:val="22"/>
              </w:numPr>
              <w:spacing w:line="360" w:lineRule="auto"/>
              <w:rPr>
                <w:rFonts w:ascii="Arial" w:hAnsi="Arial" w:cs="Arial"/>
              </w:rPr>
            </w:pPr>
            <w:r w:rsidRPr="007B54A2">
              <w:rPr>
                <w:rFonts w:ascii="Arial" w:hAnsi="Arial" w:cs="Arial"/>
              </w:rPr>
              <w:lastRenderedPageBreak/>
              <w:t xml:space="preserve">Change from baseline </w:t>
            </w:r>
            <w:r w:rsidR="0084591E">
              <w:rPr>
                <w:rFonts w:ascii="Arial" w:hAnsi="Arial" w:cs="Arial"/>
              </w:rPr>
              <w:t xml:space="preserve">over 52 weeks </w:t>
            </w:r>
            <w:r w:rsidRPr="007B54A2">
              <w:rPr>
                <w:rFonts w:ascii="Arial" w:hAnsi="Arial" w:cs="Arial"/>
              </w:rPr>
              <w:t xml:space="preserve">in </w:t>
            </w:r>
            <w:r w:rsidRPr="00CE1FD6">
              <w:rPr>
                <w:rFonts w:ascii="Arial" w:hAnsi="Arial" w:cs="Arial"/>
              </w:rPr>
              <w:t>following Roche PD Mobile Application v2 digital biomarker</w:t>
            </w:r>
            <w:r w:rsidRPr="007B54A2">
              <w:rPr>
                <w:rFonts w:ascii="Arial" w:hAnsi="Arial"/>
                <w:sz w:val="21"/>
              </w:rPr>
              <w:t xml:space="preserve"> </w:t>
            </w:r>
            <w:r w:rsidRPr="008747A3">
              <w:rPr>
                <w:rFonts w:ascii="Arial" w:hAnsi="Arial"/>
                <w:sz w:val="21"/>
              </w:rPr>
              <w:fldChar w:fldCharType="begin">
                <w:fldData xml:space="preserve">PEVuZE5vdGU+PENpdGU+PEF1dGhvcj5UYXlsb3I8L0F1dGhvcj48WWVhcj4yMDIwPC9ZZWFyPjxS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</w:fldData>
              </w:fldChar>
            </w:r>
            <w:r>
              <w:rPr>
                <w:rFonts w:ascii="Arial" w:hAnsi="Arial"/>
                <w:sz w:val="21"/>
              </w:rPr>
              <w:instrText xml:space="preserve"> ADDIN EN.CITE </w:instrText>
            </w:r>
            <w:r>
              <w:rPr>
                <w:rFonts w:ascii="Arial" w:hAnsi="Arial"/>
                <w:sz w:val="21"/>
              </w:rPr>
              <w:fldChar w:fldCharType="begin">
                <w:fldData xml:space="preserve">PEVuZE5vdGU+PENpdGU+PEF1dGhvcj5UYXlsb3I8L0F1dGhvcj48WWVhcj4yMDIwPC9ZZWFyPjxS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</w:fldData>
              </w:fldChar>
            </w:r>
            <w:r>
              <w:rPr>
                <w:rFonts w:ascii="Arial" w:hAnsi="Arial"/>
                <w:sz w:val="21"/>
              </w:rPr>
              <w:instrText xml:space="preserve"> ADDIN EN.CITE.DATA </w:instrText>
            </w:r>
            <w:r>
              <w:rPr>
                <w:rFonts w:ascii="Arial" w:hAnsi="Arial"/>
                <w:sz w:val="21"/>
              </w:rPr>
            </w:r>
            <w:r>
              <w:rPr>
                <w:rFonts w:ascii="Arial" w:hAnsi="Arial"/>
                <w:sz w:val="21"/>
              </w:rPr>
              <w:fldChar w:fldCharType="end"/>
            </w:r>
            <w:r w:rsidRPr="008747A3">
              <w:rPr>
                <w:rFonts w:ascii="Arial" w:hAnsi="Arial"/>
                <w:sz w:val="21"/>
              </w:rPr>
            </w:r>
            <w:r w:rsidRPr="008747A3">
              <w:rPr>
                <w:rFonts w:ascii="Arial" w:hAnsi="Arial"/>
                <w:sz w:val="21"/>
              </w:rPr>
              <w:fldChar w:fldCharType="separate"/>
            </w:r>
            <w:r>
              <w:rPr>
                <w:rFonts w:ascii="Arial" w:hAnsi="Arial"/>
                <w:noProof/>
                <w:sz w:val="21"/>
              </w:rPr>
              <w:t>[40]</w:t>
            </w:r>
            <w:r w:rsidRPr="008747A3">
              <w:rPr>
                <w:rFonts w:ascii="Arial" w:hAnsi="Arial"/>
                <w:sz w:val="21"/>
              </w:rPr>
              <w:fldChar w:fldCharType="end"/>
            </w:r>
            <w:r w:rsidRPr="007B54A2">
              <w:rPr>
                <w:rFonts w:ascii="Arial" w:hAnsi="Arial"/>
                <w:sz w:val="21"/>
              </w:rPr>
              <w:t xml:space="preserve"> </w:t>
            </w:r>
            <w:r w:rsidRPr="007B54A2">
              <w:rPr>
                <w:rFonts w:ascii="Arial" w:hAnsi="Arial" w:cs="Arial"/>
              </w:rPr>
              <w:t xml:space="preserve">(smartphone and wrist-worn wearable assessments) </w:t>
            </w:r>
            <w:r>
              <w:rPr>
                <w:rFonts w:ascii="Arial" w:hAnsi="Arial" w:cs="Arial"/>
              </w:rPr>
              <w:t>were</w:t>
            </w:r>
            <w:r w:rsidRPr="007B54A2">
              <w:rPr>
                <w:rFonts w:ascii="Arial" w:hAnsi="Arial" w:cs="Arial"/>
              </w:rPr>
              <w:t xml:space="preserve"> assessed: </w:t>
            </w:r>
            <w:r>
              <w:rPr>
                <w:rFonts w:ascii="Arial" w:hAnsi="Arial" w:cs="Arial"/>
              </w:rPr>
              <w:t xml:space="preserve">                                                                  </w:t>
            </w:r>
          </w:p>
          <w:p w14:paraId="5B1BD0B9" w14:textId="77777777" w:rsidR="003E1D47" w:rsidRDefault="003E1D47" w:rsidP="003E1D47">
            <w:pPr>
              <w:pStyle w:val="ListParagraph"/>
              <w:numPr>
                <w:ilvl w:val="0"/>
                <w:numId w:val="23"/>
              </w:numPr>
              <w:spacing w:line="360" w:lineRule="auto"/>
              <w:rPr>
                <w:rFonts w:ascii="Arial" w:hAnsi="Arial"/>
              </w:rPr>
            </w:pPr>
            <w:r>
              <w:rPr>
                <w:rFonts w:ascii="Arial" w:hAnsi="Arial" w:cs="Arial"/>
              </w:rPr>
              <w:t>S</w:t>
            </w:r>
            <w:r w:rsidRPr="00515500">
              <w:rPr>
                <w:rFonts w:ascii="Arial" w:hAnsi="Arial" w:cs="Arial"/>
              </w:rPr>
              <w:t>ensor data col</w:t>
            </w:r>
            <w:r>
              <w:rPr>
                <w:rFonts w:ascii="Arial" w:hAnsi="Arial" w:cs="Arial"/>
              </w:rPr>
              <w:t>l</w:t>
            </w:r>
            <w:r w:rsidRPr="00515500">
              <w:rPr>
                <w:rFonts w:ascii="Arial" w:hAnsi="Arial" w:cs="Arial"/>
              </w:rPr>
              <w:t>ected during “Active Tests”, assessing motor symptoms (upper and lower body movement, upper limb dexterity, voice/speech) and non-motor symptoms</w:t>
            </w:r>
            <w:r>
              <w:rPr>
                <w:rFonts w:ascii="Arial" w:hAnsi="Arial" w:cs="Arial"/>
              </w:rPr>
              <w:t xml:space="preserve"> </w:t>
            </w:r>
            <w:r w:rsidRPr="00E84E9A">
              <w:rPr>
                <w:rFonts w:ascii="Arial" w:hAnsi="Arial"/>
              </w:rPr>
              <w:t>(including an electronic version of the Sy</w:t>
            </w:r>
            <w:r w:rsidRPr="00886ABA">
              <w:rPr>
                <w:rFonts w:ascii="Arial" w:hAnsi="Arial"/>
              </w:rPr>
              <w:t>mbol Digital Modalities Test</w:t>
            </w:r>
            <w:r w:rsidRPr="00E45BFD">
              <w:rPr>
                <w:rFonts w:ascii="Arial" w:hAnsi="Arial"/>
              </w:rPr>
              <w:t xml:space="preserve"> to </w:t>
            </w:r>
            <w:r w:rsidRPr="00B466E6">
              <w:rPr>
                <w:rFonts w:ascii="Arial" w:hAnsi="Arial"/>
              </w:rPr>
              <w:t>measure attention and executive function).</w:t>
            </w:r>
          </w:p>
          <w:p w14:paraId="552330D5" w14:textId="77777777" w:rsidR="003E1D47" w:rsidRDefault="003E1D47" w:rsidP="003E1D47">
            <w:pPr>
              <w:pStyle w:val="ListParagraph"/>
              <w:numPr>
                <w:ilvl w:val="1"/>
                <w:numId w:val="22"/>
              </w:numPr>
              <w:spacing w:before="240" w:line="360" w:lineRule="auto"/>
              <w:rPr>
                <w:rFonts w:ascii="Arial" w:hAnsi="Arial" w:cs="Arial"/>
              </w:rPr>
            </w:pPr>
            <w:r w:rsidRPr="003F3385">
              <w:rPr>
                <w:rFonts w:ascii="Arial" w:hAnsi="Arial" w:cs="Arial"/>
              </w:rPr>
              <w:t>Sensor data collected during “Passive Monitoring” assessing activity, movement and motor symptoms associated with routine daily living.</w:t>
            </w:r>
          </w:p>
          <w:p w14:paraId="42153D3C" w14:textId="77777777" w:rsidR="003E1D47" w:rsidRPr="00F861B8" w:rsidRDefault="003E1D47" w:rsidP="003E1D47">
            <w:pPr>
              <w:pStyle w:val="ListParagraph"/>
              <w:numPr>
                <w:ilvl w:val="1"/>
                <w:numId w:val="22"/>
              </w:numPr>
              <w:spacing w:before="240" w:line="360" w:lineRule="auto"/>
              <w:rPr>
                <w:rFonts w:ascii="Arial" w:hAnsi="Arial" w:cs="Arial"/>
              </w:rPr>
            </w:pPr>
            <w:r w:rsidRPr="003F3385">
              <w:rPr>
                <w:rFonts w:ascii="Arial" w:hAnsi="Arial" w:cs="Arial"/>
              </w:rPr>
              <w:t>Sensor data collected during “In-Clinic Assessments”, including the Timed Up and Go Test and selected items from the Berg Balance Scale.</w:t>
            </w:r>
          </w:p>
        </w:tc>
      </w:tr>
      <w:tr w:rsidR="003E1D47" w14:paraId="10388B65" w14:textId="77777777" w:rsidTr="00AB1B41">
        <w:tc>
          <w:tcPr>
            <w:tcW w:w="9016" w:type="dxa"/>
          </w:tcPr>
          <w:p w14:paraId="44FBF025" w14:textId="544C29F5" w:rsidR="003E1D47" w:rsidRPr="003F3385" w:rsidRDefault="003E1D47" w:rsidP="003E1D47">
            <w:pPr>
              <w:pStyle w:val="ListParagraph"/>
              <w:numPr>
                <w:ilvl w:val="0"/>
                <w:numId w:val="22"/>
              </w:numPr>
              <w:spacing w:line="360" w:lineRule="auto"/>
              <w:rPr>
                <w:rFonts w:ascii="Arial" w:hAnsi="Arial" w:cs="Arial"/>
              </w:rPr>
            </w:pPr>
            <w:r w:rsidRPr="00112BB7">
              <w:rPr>
                <w:rFonts w:ascii="Arial" w:hAnsi="Arial" w:cs="Arial"/>
              </w:rPr>
              <w:t>Since the two doses of prasinezumab were expected to reach occupancy o</w:t>
            </w:r>
            <w:r>
              <w:rPr>
                <w:rFonts w:ascii="Arial" w:hAnsi="Arial" w:cs="Arial"/>
              </w:rPr>
              <w:t>f &gt;90</w:t>
            </w:r>
            <w:r w:rsidRPr="00112BB7">
              <w:rPr>
                <w:rFonts w:ascii="Arial" w:hAnsi="Arial" w:cs="Arial"/>
              </w:rPr>
              <w:t xml:space="preserve">% of the target in central nervous system, pooling of patients in the two prasinezumab cohorts was pre-specified for a subset of exploratory endpoints.   </w:t>
            </w:r>
          </w:p>
        </w:tc>
      </w:tr>
    </w:tbl>
    <w:p w14:paraId="62090BE8" w14:textId="77777777" w:rsidR="003E1D47" w:rsidRDefault="003E1D47"/>
    <w:p w14:paraId="7C519247" w14:textId="6065A5C0" w:rsidR="0063771D" w:rsidRDefault="0063771D"/>
    <w:p w14:paraId="3694AF9C" w14:textId="0121CCFE" w:rsidR="0063771D" w:rsidRDefault="0063771D"/>
    <w:p w14:paraId="08C1CD2C" w14:textId="0DE8BA80" w:rsidR="0063771D" w:rsidRDefault="0063771D"/>
    <w:p w14:paraId="3447713E" w14:textId="33D02437" w:rsidR="0063771D" w:rsidRDefault="0063771D"/>
    <w:p w14:paraId="530A1527" w14:textId="1A12BEDB" w:rsidR="0063771D" w:rsidRDefault="0063771D"/>
    <w:p w14:paraId="5C309E24" w14:textId="502FA8F6" w:rsidR="0088787D" w:rsidRDefault="0088787D"/>
    <w:p w14:paraId="4F71D60F" w14:textId="5D2DDE7B" w:rsidR="0088787D" w:rsidRDefault="0088787D"/>
    <w:p w14:paraId="43BCF724" w14:textId="4361ED7B" w:rsidR="0088787D" w:rsidRDefault="0088787D"/>
    <w:p w14:paraId="1EE05383" w14:textId="1EF09B8A" w:rsidR="0088787D" w:rsidRDefault="0088787D"/>
    <w:p w14:paraId="0F8BB389" w14:textId="7D733D4C" w:rsidR="0088787D" w:rsidRDefault="0088787D"/>
    <w:p w14:paraId="49038518" w14:textId="2715C68F" w:rsidR="0088787D" w:rsidRDefault="0088787D"/>
    <w:p w14:paraId="096F1174" w14:textId="04FD36C8" w:rsidR="0088787D" w:rsidRDefault="0088787D"/>
    <w:p w14:paraId="012B4D82" w14:textId="75492633" w:rsidR="0088787D" w:rsidRDefault="0088787D"/>
    <w:p w14:paraId="124B78A7" w14:textId="746062ED" w:rsidR="0088787D" w:rsidRDefault="0088787D"/>
    <w:p w14:paraId="30C00A25" w14:textId="77777777" w:rsidR="0088787D" w:rsidRDefault="0088787D"/>
    <w:p w14:paraId="00E35324" w14:textId="77777777" w:rsidR="00E67B1E" w:rsidRDefault="00E67B1E">
      <w:pPr>
        <w:rPr>
          <w:rFonts w:ascii="Arial" w:hAnsi="Arial" w:cs="Arial"/>
          <w:b/>
        </w:rPr>
      </w:pPr>
    </w:p>
    <w:p w14:paraId="152BBF23" w14:textId="77777777" w:rsidR="00E67B1E" w:rsidRDefault="00E67B1E">
      <w:pPr>
        <w:rPr>
          <w:rFonts w:ascii="Arial" w:hAnsi="Arial" w:cs="Arial"/>
          <w:b/>
        </w:rPr>
      </w:pPr>
    </w:p>
    <w:p w14:paraId="3D40921B" w14:textId="2BF94729" w:rsidR="0063771D" w:rsidRDefault="003E1D47">
      <w:pPr>
        <w:rPr>
          <w:rFonts w:ascii="Arial" w:hAnsi="Arial" w:cs="Arial"/>
        </w:rPr>
      </w:pPr>
      <w:r>
        <w:rPr>
          <w:rFonts w:ascii="Arial" w:hAnsi="Arial" w:cs="Arial"/>
          <w:b/>
        </w:rPr>
        <w:lastRenderedPageBreak/>
        <w:t>F</w:t>
      </w:r>
      <w:r w:rsidR="0063771D" w:rsidRPr="0063771D">
        <w:rPr>
          <w:rFonts w:ascii="Arial" w:hAnsi="Arial" w:cs="Arial"/>
          <w:b/>
        </w:rPr>
        <w:t>igure 1.</w:t>
      </w:r>
      <w:r w:rsidR="0063771D" w:rsidRPr="0063771D">
        <w:rPr>
          <w:rFonts w:ascii="Arial" w:hAnsi="Arial" w:cs="Arial"/>
        </w:rPr>
        <w:t xml:space="preserve"> Covariate balance between the treatment-naïve and MAO-B inhibitor</w:t>
      </w:r>
      <w:r w:rsidR="0015125E">
        <w:rPr>
          <w:rFonts w:ascii="Arial" w:hAnsi="Arial" w:cs="Arial"/>
        </w:rPr>
        <w:t xml:space="preserve"> subgroups</w:t>
      </w:r>
      <w:r w:rsidR="0063771D" w:rsidRPr="0063771D">
        <w:rPr>
          <w:rFonts w:ascii="Arial" w:hAnsi="Arial" w:cs="Arial"/>
        </w:rPr>
        <w:t xml:space="preserve"> of the PASADENA population</w:t>
      </w:r>
      <w:r w:rsidR="00F73BC1">
        <w:rPr>
          <w:rFonts w:ascii="Arial" w:hAnsi="Arial" w:cs="Arial"/>
        </w:rPr>
        <w:t xml:space="preserve"> (Love plot)</w:t>
      </w:r>
    </w:p>
    <w:p w14:paraId="2BF00D8A" w14:textId="3E35D722" w:rsidR="0021628B" w:rsidRPr="0063771D" w:rsidRDefault="0021628B">
      <w:pPr>
        <w:rPr>
          <w:rFonts w:ascii="Arial" w:hAnsi="Arial" w:cs="Arial"/>
        </w:rPr>
      </w:pPr>
      <w:r>
        <w:rPr>
          <w:noProof/>
          <w:lang w:eastAsia="zh-CN"/>
        </w:rPr>
        <w:drawing>
          <wp:inline distT="0" distB="0" distL="0" distR="0" wp14:anchorId="328AF67D" wp14:editId="61FA39B8">
            <wp:extent cx="5731510" cy="2567542"/>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8063"/>
                    <a:stretch/>
                  </pic:blipFill>
                  <pic:spPr bwMode="auto">
                    <a:xfrm>
                      <a:off x="0" y="0"/>
                      <a:ext cx="5731510" cy="2567542"/>
                    </a:xfrm>
                    <a:prstGeom prst="rect">
                      <a:avLst/>
                    </a:prstGeom>
                    <a:ln>
                      <a:noFill/>
                    </a:ln>
                    <a:extLst>
                      <a:ext uri="{53640926-AAD7-44D8-BBD7-CCE9431645EC}">
                        <a14:shadowObscured xmlns:a14="http://schemas.microsoft.com/office/drawing/2010/main"/>
                      </a:ext>
                    </a:extLst>
                  </pic:spPr>
                </pic:pic>
              </a:graphicData>
            </a:graphic>
          </wp:inline>
        </w:drawing>
      </w:r>
    </w:p>
    <w:p w14:paraId="405822BD" w14:textId="14766A71" w:rsidR="0021628B" w:rsidRPr="009639D0" w:rsidRDefault="0021628B" w:rsidP="0021628B">
      <w:pPr>
        <w:tabs>
          <w:tab w:val="left" w:pos="1650"/>
        </w:tabs>
        <w:rPr>
          <w:rFonts w:ascii="Arial" w:hAnsi="Arial" w:cs="Arial"/>
        </w:rPr>
      </w:pPr>
      <w:r w:rsidRPr="009639D0">
        <w:rPr>
          <w:rFonts w:ascii="Arial" w:hAnsi="Arial" w:cs="Arial"/>
        </w:rPr>
        <w:t>DaT-SPECT, dopamine transporter single-photon emission comput</w:t>
      </w:r>
      <w:r w:rsidR="00BC4D78">
        <w:rPr>
          <w:rFonts w:ascii="Arial" w:hAnsi="Arial" w:cs="Arial"/>
        </w:rPr>
        <w:t>eriz</w:t>
      </w:r>
      <w:r w:rsidRPr="009639D0">
        <w:rPr>
          <w:rFonts w:ascii="Arial" w:hAnsi="Arial" w:cs="Arial"/>
        </w:rPr>
        <w:t>ed tomography</w:t>
      </w:r>
      <w:r>
        <w:rPr>
          <w:rFonts w:ascii="Arial" w:hAnsi="Arial" w:cs="Arial"/>
        </w:rPr>
        <w:t xml:space="preserve">; MDS-UPDRS, Movement Disorder Society </w:t>
      </w:r>
      <w:r w:rsidR="00BC4D78" w:rsidRPr="00BC4D78">
        <w:rPr>
          <w:rFonts w:ascii="Arial" w:hAnsi="Arial" w:cs="Arial"/>
        </w:rPr>
        <w:t xml:space="preserve">– </w:t>
      </w:r>
      <w:r>
        <w:rPr>
          <w:rFonts w:ascii="Arial" w:hAnsi="Arial" w:cs="Arial"/>
        </w:rPr>
        <w:t xml:space="preserve">Unified Parkinson’s Disease Rating Scale; MoCA, Montreal Cognitive Assessment; PPMI, Parkinson’s Progression Marker Initiative; RBDSQ, Rapid </w:t>
      </w:r>
      <w:r w:rsidR="00BC4D78">
        <w:rPr>
          <w:rFonts w:ascii="Arial" w:hAnsi="Arial" w:cs="Arial"/>
        </w:rPr>
        <w:t>Eye M</w:t>
      </w:r>
      <w:r>
        <w:rPr>
          <w:rFonts w:ascii="Arial" w:hAnsi="Arial" w:cs="Arial"/>
        </w:rPr>
        <w:t xml:space="preserve">ovement Sleep Behavior Disorder Screening Questionnaire; SCOPA-AUT, </w:t>
      </w:r>
      <w:r w:rsidRPr="009639D0">
        <w:rPr>
          <w:rFonts w:ascii="Arial" w:hAnsi="Arial" w:cs="Arial"/>
        </w:rPr>
        <w:t>Scales for outcomes in Parkinson’s disease autonomic dysfunction</w:t>
      </w:r>
      <w:r>
        <w:rPr>
          <w:rFonts w:ascii="Arial" w:hAnsi="Arial" w:cs="Arial"/>
        </w:rPr>
        <w:t>.</w:t>
      </w:r>
    </w:p>
    <w:p w14:paraId="1C9E9F0C" w14:textId="1070DE7B" w:rsidR="0063771D" w:rsidRDefault="0063771D" w:rsidP="0063771D">
      <w:pPr>
        <w:tabs>
          <w:tab w:val="left" w:pos="1650"/>
        </w:tabs>
      </w:pPr>
    </w:p>
    <w:p w14:paraId="40237395" w14:textId="43E36BF6" w:rsidR="0063771D" w:rsidRDefault="0063771D" w:rsidP="0063771D">
      <w:pPr>
        <w:tabs>
          <w:tab w:val="left" w:pos="1650"/>
        </w:tabs>
        <w:rPr>
          <w:rFonts w:ascii="Arial" w:hAnsi="Arial" w:cs="Arial"/>
        </w:rPr>
      </w:pPr>
      <w:r>
        <w:rPr>
          <w:rFonts w:ascii="Arial" w:hAnsi="Arial" w:cs="Arial"/>
          <w:b/>
        </w:rPr>
        <w:t xml:space="preserve">Figure 2. </w:t>
      </w:r>
      <w:r w:rsidRPr="0063771D">
        <w:rPr>
          <w:rFonts w:ascii="Arial" w:hAnsi="Arial" w:cs="Arial"/>
        </w:rPr>
        <w:t>Covariate balance between the PASADENA population and the PPMI cohort</w:t>
      </w:r>
      <w:r w:rsidR="00F73BC1">
        <w:rPr>
          <w:rFonts w:ascii="Arial" w:hAnsi="Arial" w:cs="Arial"/>
        </w:rPr>
        <w:t xml:space="preserve"> (Love plot)</w:t>
      </w:r>
    </w:p>
    <w:p w14:paraId="2E62F96F" w14:textId="3947CE4E" w:rsidR="0021628B" w:rsidRDefault="00F07BF3" w:rsidP="0063771D">
      <w:pPr>
        <w:tabs>
          <w:tab w:val="left" w:pos="1650"/>
        </w:tabs>
        <w:rPr>
          <w:rFonts w:ascii="Arial" w:hAnsi="Arial" w:cs="Arial"/>
          <w:b/>
        </w:rPr>
      </w:pPr>
      <w:r>
        <w:rPr>
          <w:noProof/>
        </w:rPr>
        <w:drawing>
          <wp:inline distT="0" distB="0" distL="0" distR="0" wp14:anchorId="12C247D4" wp14:editId="00FC0A72">
            <wp:extent cx="5731510" cy="26257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501"/>
                    <a:stretch/>
                  </pic:blipFill>
                  <pic:spPr bwMode="auto">
                    <a:xfrm>
                      <a:off x="0" y="0"/>
                      <a:ext cx="5731510" cy="2625725"/>
                    </a:xfrm>
                    <a:prstGeom prst="rect">
                      <a:avLst/>
                    </a:prstGeom>
                    <a:ln>
                      <a:noFill/>
                    </a:ln>
                    <a:extLst>
                      <a:ext uri="{53640926-AAD7-44D8-BBD7-CCE9431645EC}">
                        <a14:shadowObscured xmlns:a14="http://schemas.microsoft.com/office/drawing/2010/main"/>
                      </a:ext>
                    </a:extLst>
                  </pic:spPr>
                </pic:pic>
              </a:graphicData>
            </a:graphic>
          </wp:inline>
        </w:drawing>
      </w:r>
    </w:p>
    <w:p w14:paraId="613D3256" w14:textId="1DDE2A39" w:rsidR="0063771D" w:rsidRPr="00A25DA1" w:rsidRDefault="009639D0" w:rsidP="0021628B">
      <w:pPr>
        <w:tabs>
          <w:tab w:val="left" w:pos="1650"/>
        </w:tabs>
      </w:pPr>
      <w:r w:rsidRPr="009639D0">
        <w:rPr>
          <w:rFonts w:ascii="Arial" w:hAnsi="Arial" w:cs="Arial"/>
        </w:rPr>
        <w:t>DaT-SPECT, dopamine transporter single-photon emission comput</w:t>
      </w:r>
      <w:r w:rsidR="00BC4D78">
        <w:rPr>
          <w:rFonts w:ascii="Arial" w:hAnsi="Arial" w:cs="Arial"/>
        </w:rPr>
        <w:t>eriz</w:t>
      </w:r>
      <w:r w:rsidRPr="009639D0">
        <w:rPr>
          <w:rFonts w:ascii="Arial" w:hAnsi="Arial" w:cs="Arial"/>
        </w:rPr>
        <w:t>ed tomography</w:t>
      </w:r>
      <w:r>
        <w:rPr>
          <w:rFonts w:ascii="Arial" w:hAnsi="Arial" w:cs="Arial"/>
        </w:rPr>
        <w:t xml:space="preserve">; MDS-UPDRS, Movement Disorder Society Unified Parkinson’s Disease Rating Scale; MoCA, Montreal Cognitive Assessment; PPMI, Parkinson’s Progression Marker Initiative; </w:t>
      </w:r>
      <w:r w:rsidR="0021628B">
        <w:rPr>
          <w:rFonts w:ascii="Arial" w:hAnsi="Arial" w:cs="Arial"/>
        </w:rPr>
        <w:t xml:space="preserve">RBDSQ, Rapid </w:t>
      </w:r>
      <w:r w:rsidR="00BC4D78">
        <w:rPr>
          <w:rFonts w:ascii="Arial" w:hAnsi="Arial" w:cs="Arial"/>
        </w:rPr>
        <w:t>Eye Movement</w:t>
      </w:r>
      <w:r w:rsidR="0021628B">
        <w:rPr>
          <w:rFonts w:ascii="Arial" w:hAnsi="Arial" w:cs="Arial"/>
        </w:rPr>
        <w:t xml:space="preserve"> Sleep Behavior Disorder Screening Questionnaire; </w:t>
      </w:r>
      <w:r>
        <w:rPr>
          <w:rFonts w:ascii="Arial" w:hAnsi="Arial" w:cs="Arial"/>
        </w:rPr>
        <w:t xml:space="preserve">SCOPA-AUT, </w:t>
      </w:r>
      <w:r w:rsidRPr="009639D0">
        <w:rPr>
          <w:rFonts w:ascii="Arial" w:hAnsi="Arial" w:cs="Arial"/>
        </w:rPr>
        <w:t>Scales for outcomes in Parkinson’s disease autonomic dysfunction</w:t>
      </w:r>
      <w:r w:rsidR="0021628B">
        <w:rPr>
          <w:rFonts w:ascii="Arial" w:hAnsi="Arial" w:cs="Arial"/>
        </w:rPr>
        <w:t>.</w:t>
      </w:r>
    </w:p>
    <w:sectPr w:rsidR="0063771D" w:rsidRPr="00A25D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C619" w14:textId="77777777" w:rsidR="00EF7980" w:rsidRDefault="00EF7980" w:rsidP="00F73BC1">
      <w:pPr>
        <w:spacing w:after="0" w:line="240" w:lineRule="auto"/>
      </w:pPr>
      <w:r>
        <w:separator/>
      </w:r>
    </w:p>
  </w:endnote>
  <w:endnote w:type="continuationSeparator" w:id="0">
    <w:p w14:paraId="1E74CBA7" w14:textId="77777777" w:rsidR="00EF7980" w:rsidRDefault="00EF7980" w:rsidP="00F7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2C1C" w14:textId="77777777" w:rsidR="00EF7980" w:rsidRDefault="00EF7980" w:rsidP="00F73BC1">
      <w:pPr>
        <w:spacing w:after="0" w:line="240" w:lineRule="auto"/>
      </w:pPr>
      <w:r>
        <w:separator/>
      </w:r>
    </w:p>
  </w:footnote>
  <w:footnote w:type="continuationSeparator" w:id="0">
    <w:p w14:paraId="71C7FD2B" w14:textId="77777777" w:rsidR="00EF7980" w:rsidRDefault="00EF7980" w:rsidP="00F73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E42"/>
    <w:multiLevelType w:val="hybridMultilevel"/>
    <w:tmpl w:val="E88282B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ED208054">
      <w:start w:val="1"/>
      <w:numFmt w:val="bullet"/>
      <w:lvlText w:val="–"/>
      <w:lvlJc w:val="left"/>
      <w:pPr>
        <w:ind w:left="1800" w:hanging="180"/>
      </w:pPr>
      <w:rPr>
        <w:rFonts w:ascii="Calibri" w:hAnsi="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9F70EB"/>
    <w:multiLevelType w:val="hybridMultilevel"/>
    <w:tmpl w:val="66D452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F49D0"/>
    <w:multiLevelType w:val="hybridMultilevel"/>
    <w:tmpl w:val="FE0822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4D0A91"/>
    <w:multiLevelType w:val="hybridMultilevel"/>
    <w:tmpl w:val="F4B6B3F8"/>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552097"/>
    <w:multiLevelType w:val="hybridMultilevel"/>
    <w:tmpl w:val="69BE11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936208"/>
    <w:multiLevelType w:val="hybridMultilevel"/>
    <w:tmpl w:val="EE3636C0"/>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B139B"/>
    <w:multiLevelType w:val="hybridMultilevel"/>
    <w:tmpl w:val="FE0822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001D38"/>
    <w:multiLevelType w:val="hybridMultilevel"/>
    <w:tmpl w:val="FE0822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4919A6"/>
    <w:multiLevelType w:val="hybridMultilevel"/>
    <w:tmpl w:val="FE0822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127DF4"/>
    <w:multiLevelType w:val="hybridMultilevel"/>
    <w:tmpl w:val="C00E82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4624B8"/>
    <w:multiLevelType w:val="hybridMultilevel"/>
    <w:tmpl w:val="D93A2640"/>
    <w:lvl w:ilvl="0" w:tplc="0809000F">
      <w:start w:val="1"/>
      <w:numFmt w:val="decimal"/>
      <w:lvlText w:val="%1."/>
      <w:lvlJc w:val="left"/>
      <w:pPr>
        <w:ind w:left="360" w:hanging="360"/>
      </w:pPr>
      <w:rPr>
        <w:rFonts w:hint="default"/>
      </w:rPr>
    </w:lvl>
    <w:lvl w:ilvl="1" w:tplc="AD5C1382">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2F2352"/>
    <w:multiLevelType w:val="hybridMultilevel"/>
    <w:tmpl w:val="68B433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9E3387"/>
    <w:multiLevelType w:val="hybridMultilevel"/>
    <w:tmpl w:val="21CE39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700FF"/>
    <w:multiLevelType w:val="hybridMultilevel"/>
    <w:tmpl w:val="FE0822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452EB9"/>
    <w:multiLevelType w:val="hybridMultilevel"/>
    <w:tmpl w:val="48265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6E37D0"/>
    <w:multiLevelType w:val="hybridMultilevel"/>
    <w:tmpl w:val="85CAF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EF5217"/>
    <w:multiLevelType w:val="hybridMultilevel"/>
    <w:tmpl w:val="7F788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AF692F"/>
    <w:multiLevelType w:val="hybridMultilevel"/>
    <w:tmpl w:val="8C8A1C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A4C57"/>
    <w:multiLevelType w:val="hybridMultilevel"/>
    <w:tmpl w:val="E182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C0FE1"/>
    <w:multiLevelType w:val="hybridMultilevel"/>
    <w:tmpl w:val="8E549A7C"/>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EDB4E0B"/>
    <w:multiLevelType w:val="hybridMultilevel"/>
    <w:tmpl w:val="84F63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807830"/>
    <w:multiLevelType w:val="hybridMultilevel"/>
    <w:tmpl w:val="FE0822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A506F7"/>
    <w:multiLevelType w:val="hybridMultilevel"/>
    <w:tmpl w:val="FE0822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20"/>
  </w:num>
  <w:num w:numId="4">
    <w:abstractNumId w:val="18"/>
  </w:num>
  <w:num w:numId="5">
    <w:abstractNumId w:val="4"/>
  </w:num>
  <w:num w:numId="6">
    <w:abstractNumId w:val="8"/>
  </w:num>
  <w:num w:numId="7">
    <w:abstractNumId w:val="22"/>
  </w:num>
  <w:num w:numId="8">
    <w:abstractNumId w:val="7"/>
  </w:num>
  <w:num w:numId="9">
    <w:abstractNumId w:val="2"/>
  </w:num>
  <w:num w:numId="10">
    <w:abstractNumId w:val="21"/>
  </w:num>
  <w:num w:numId="11">
    <w:abstractNumId w:val="6"/>
  </w:num>
  <w:num w:numId="12">
    <w:abstractNumId w:val="13"/>
  </w:num>
  <w:num w:numId="13">
    <w:abstractNumId w:val="12"/>
  </w:num>
  <w:num w:numId="14">
    <w:abstractNumId w:val="15"/>
  </w:num>
  <w:num w:numId="15">
    <w:abstractNumId w:val="19"/>
  </w:num>
  <w:num w:numId="16">
    <w:abstractNumId w:val="5"/>
  </w:num>
  <w:num w:numId="17">
    <w:abstractNumId w:val="10"/>
  </w:num>
  <w:num w:numId="18">
    <w:abstractNumId w:val="9"/>
  </w:num>
  <w:num w:numId="19">
    <w:abstractNumId w:val="11"/>
  </w:num>
  <w:num w:numId="20">
    <w:abstractNumId w:val="16"/>
  </w:num>
  <w:num w:numId="21">
    <w:abstractNumId w:val="17"/>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56"/>
    <w:rsid w:val="000069E5"/>
    <w:rsid w:val="00006BA4"/>
    <w:rsid w:val="00007992"/>
    <w:rsid w:val="00014C86"/>
    <w:rsid w:val="00016616"/>
    <w:rsid w:val="000202B6"/>
    <w:rsid w:val="00026E7B"/>
    <w:rsid w:val="00032064"/>
    <w:rsid w:val="000449C6"/>
    <w:rsid w:val="000571DD"/>
    <w:rsid w:val="00060432"/>
    <w:rsid w:val="00061B0D"/>
    <w:rsid w:val="00061F2E"/>
    <w:rsid w:val="0007041D"/>
    <w:rsid w:val="0008409E"/>
    <w:rsid w:val="000843BA"/>
    <w:rsid w:val="00095D57"/>
    <w:rsid w:val="000975F9"/>
    <w:rsid w:val="000A25DD"/>
    <w:rsid w:val="000A262C"/>
    <w:rsid w:val="000B6984"/>
    <w:rsid w:val="000B6D72"/>
    <w:rsid w:val="000B6ECB"/>
    <w:rsid w:val="000B75A0"/>
    <w:rsid w:val="000C35D9"/>
    <w:rsid w:val="000C571A"/>
    <w:rsid w:val="000C593E"/>
    <w:rsid w:val="000D3658"/>
    <w:rsid w:val="000D6AF0"/>
    <w:rsid w:val="000E13F7"/>
    <w:rsid w:val="000E2D10"/>
    <w:rsid w:val="000F090D"/>
    <w:rsid w:val="000F3D2B"/>
    <w:rsid w:val="000F5018"/>
    <w:rsid w:val="00103933"/>
    <w:rsid w:val="00103B3C"/>
    <w:rsid w:val="001040A9"/>
    <w:rsid w:val="0010761E"/>
    <w:rsid w:val="00115ADC"/>
    <w:rsid w:val="00121951"/>
    <w:rsid w:val="0012633E"/>
    <w:rsid w:val="001263CA"/>
    <w:rsid w:val="001308AC"/>
    <w:rsid w:val="001368ED"/>
    <w:rsid w:val="00136AFB"/>
    <w:rsid w:val="00137384"/>
    <w:rsid w:val="00142634"/>
    <w:rsid w:val="0014285E"/>
    <w:rsid w:val="001433F9"/>
    <w:rsid w:val="00147B47"/>
    <w:rsid w:val="0015125E"/>
    <w:rsid w:val="0015138F"/>
    <w:rsid w:val="001539C1"/>
    <w:rsid w:val="00161481"/>
    <w:rsid w:val="00161B51"/>
    <w:rsid w:val="00170EF4"/>
    <w:rsid w:val="001827C2"/>
    <w:rsid w:val="00183348"/>
    <w:rsid w:val="001840EB"/>
    <w:rsid w:val="00185B1D"/>
    <w:rsid w:val="001869AF"/>
    <w:rsid w:val="00187131"/>
    <w:rsid w:val="00194C16"/>
    <w:rsid w:val="00197BDE"/>
    <w:rsid w:val="001A192D"/>
    <w:rsid w:val="001A36EB"/>
    <w:rsid w:val="001A3E80"/>
    <w:rsid w:val="001A4AB5"/>
    <w:rsid w:val="001B31AF"/>
    <w:rsid w:val="001B7D21"/>
    <w:rsid w:val="001C3E07"/>
    <w:rsid w:val="001C53C7"/>
    <w:rsid w:val="001D4359"/>
    <w:rsid w:val="001D6D36"/>
    <w:rsid w:val="001D77D3"/>
    <w:rsid w:val="001E2C69"/>
    <w:rsid w:val="001E37AB"/>
    <w:rsid w:val="001E6BEF"/>
    <w:rsid w:val="00206B21"/>
    <w:rsid w:val="0021628B"/>
    <w:rsid w:val="00217E58"/>
    <w:rsid w:val="00222FDF"/>
    <w:rsid w:val="00223FC2"/>
    <w:rsid w:val="00240E69"/>
    <w:rsid w:val="00241A47"/>
    <w:rsid w:val="00252BDF"/>
    <w:rsid w:val="00257945"/>
    <w:rsid w:val="002633D3"/>
    <w:rsid w:val="00265B49"/>
    <w:rsid w:val="00266A28"/>
    <w:rsid w:val="00281B86"/>
    <w:rsid w:val="002863AD"/>
    <w:rsid w:val="00286FB4"/>
    <w:rsid w:val="0029184E"/>
    <w:rsid w:val="00295773"/>
    <w:rsid w:val="002A017A"/>
    <w:rsid w:val="002A2190"/>
    <w:rsid w:val="002B1D5C"/>
    <w:rsid w:val="002B3EDA"/>
    <w:rsid w:val="002C4CB1"/>
    <w:rsid w:val="002C7D95"/>
    <w:rsid w:val="002D2C64"/>
    <w:rsid w:val="002D6B15"/>
    <w:rsid w:val="002E0D23"/>
    <w:rsid w:val="002E6F0D"/>
    <w:rsid w:val="002F1690"/>
    <w:rsid w:val="002F1C25"/>
    <w:rsid w:val="002F3FFF"/>
    <w:rsid w:val="002F5CAE"/>
    <w:rsid w:val="002F7004"/>
    <w:rsid w:val="00301C8F"/>
    <w:rsid w:val="00312ADB"/>
    <w:rsid w:val="00317DF7"/>
    <w:rsid w:val="00321B01"/>
    <w:rsid w:val="003279D0"/>
    <w:rsid w:val="00336192"/>
    <w:rsid w:val="00340326"/>
    <w:rsid w:val="00350192"/>
    <w:rsid w:val="003573CF"/>
    <w:rsid w:val="00357C99"/>
    <w:rsid w:val="003633B9"/>
    <w:rsid w:val="0036778A"/>
    <w:rsid w:val="003679C7"/>
    <w:rsid w:val="0037046B"/>
    <w:rsid w:val="003858A3"/>
    <w:rsid w:val="003A0394"/>
    <w:rsid w:val="003A6A27"/>
    <w:rsid w:val="003B327E"/>
    <w:rsid w:val="003C5022"/>
    <w:rsid w:val="003D18C5"/>
    <w:rsid w:val="003D6D7A"/>
    <w:rsid w:val="003D70D6"/>
    <w:rsid w:val="003E1D47"/>
    <w:rsid w:val="003E28AC"/>
    <w:rsid w:val="003F1734"/>
    <w:rsid w:val="003F2CC3"/>
    <w:rsid w:val="003F4944"/>
    <w:rsid w:val="003F5492"/>
    <w:rsid w:val="00401651"/>
    <w:rsid w:val="00413056"/>
    <w:rsid w:val="004133A6"/>
    <w:rsid w:val="00414C36"/>
    <w:rsid w:val="0041510A"/>
    <w:rsid w:val="00416621"/>
    <w:rsid w:val="004223EE"/>
    <w:rsid w:val="00423F05"/>
    <w:rsid w:val="00425E40"/>
    <w:rsid w:val="004302FC"/>
    <w:rsid w:val="00431A90"/>
    <w:rsid w:val="00446BB3"/>
    <w:rsid w:val="00447058"/>
    <w:rsid w:val="0045346D"/>
    <w:rsid w:val="00461A50"/>
    <w:rsid w:val="00484C07"/>
    <w:rsid w:val="00486442"/>
    <w:rsid w:val="004865E7"/>
    <w:rsid w:val="00487E48"/>
    <w:rsid w:val="004A278A"/>
    <w:rsid w:val="004B0F45"/>
    <w:rsid w:val="004B6873"/>
    <w:rsid w:val="004B6C33"/>
    <w:rsid w:val="004C00A9"/>
    <w:rsid w:val="004C5EE1"/>
    <w:rsid w:val="004D3F08"/>
    <w:rsid w:val="004D448B"/>
    <w:rsid w:val="004D550D"/>
    <w:rsid w:val="004D5653"/>
    <w:rsid w:val="004D65FD"/>
    <w:rsid w:val="004E2C52"/>
    <w:rsid w:val="004E642C"/>
    <w:rsid w:val="004E665B"/>
    <w:rsid w:val="004F5FAE"/>
    <w:rsid w:val="004F77CB"/>
    <w:rsid w:val="005012C1"/>
    <w:rsid w:val="00511BFA"/>
    <w:rsid w:val="00517C10"/>
    <w:rsid w:val="00520F98"/>
    <w:rsid w:val="00530F3F"/>
    <w:rsid w:val="00537FF1"/>
    <w:rsid w:val="00541F21"/>
    <w:rsid w:val="00543DEF"/>
    <w:rsid w:val="005541CD"/>
    <w:rsid w:val="005613A0"/>
    <w:rsid w:val="005638EF"/>
    <w:rsid w:val="0056446E"/>
    <w:rsid w:val="00567ACB"/>
    <w:rsid w:val="00570DEA"/>
    <w:rsid w:val="0057343B"/>
    <w:rsid w:val="00573DE5"/>
    <w:rsid w:val="00590C4B"/>
    <w:rsid w:val="005937BB"/>
    <w:rsid w:val="00593BC8"/>
    <w:rsid w:val="005944A6"/>
    <w:rsid w:val="005A0595"/>
    <w:rsid w:val="005A190A"/>
    <w:rsid w:val="005A4677"/>
    <w:rsid w:val="005A5562"/>
    <w:rsid w:val="005A627B"/>
    <w:rsid w:val="005A79FF"/>
    <w:rsid w:val="005B06BE"/>
    <w:rsid w:val="005B6FE3"/>
    <w:rsid w:val="005B7C70"/>
    <w:rsid w:val="005C19FE"/>
    <w:rsid w:val="005C2244"/>
    <w:rsid w:val="005C2DD4"/>
    <w:rsid w:val="005C6B59"/>
    <w:rsid w:val="005C6C66"/>
    <w:rsid w:val="005D177D"/>
    <w:rsid w:val="005D7D8C"/>
    <w:rsid w:val="005E43FB"/>
    <w:rsid w:val="005F2630"/>
    <w:rsid w:val="00601762"/>
    <w:rsid w:val="00611527"/>
    <w:rsid w:val="00612C9E"/>
    <w:rsid w:val="00621026"/>
    <w:rsid w:val="00624A3B"/>
    <w:rsid w:val="00635B43"/>
    <w:rsid w:val="0063771D"/>
    <w:rsid w:val="00642D60"/>
    <w:rsid w:val="006506BD"/>
    <w:rsid w:val="006517BE"/>
    <w:rsid w:val="00652B37"/>
    <w:rsid w:val="006602C3"/>
    <w:rsid w:val="00664759"/>
    <w:rsid w:val="00672459"/>
    <w:rsid w:val="00677994"/>
    <w:rsid w:val="00680A43"/>
    <w:rsid w:val="0068704F"/>
    <w:rsid w:val="00691D36"/>
    <w:rsid w:val="006A5EA0"/>
    <w:rsid w:val="006B009E"/>
    <w:rsid w:val="006B0E39"/>
    <w:rsid w:val="006C3ADD"/>
    <w:rsid w:val="006C5127"/>
    <w:rsid w:val="006E1525"/>
    <w:rsid w:val="006E7DE3"/>
    <w:rsid w:val="006F3F6B"/>
    <w:rsid w:val="007021EB"/>
    <w:rsid w:val="00703766"/>
    <w:rsid w:val="00704CF5"/>
    <w:rsid w:val="00726891"/>
    <w:rsid w:val="007270D1"/>
    <w:rsid w:val="00737E5E"/>
    <w:rsid w:val="007422AC"/>
    <w:rsid w:val="00746142"/>
    <w:rsid w:val="007463C8"/>
    <w:rsid w:val="00747A03"/>
    <w:rsid w:val="007519BB"/>
    <w:rsid w:val="00754903"/>
    <w:rsid w:val="00755A43"/>
    <w:rsid w:val="007561A3"/>
    <w:rsid w:val="00756B93"/>
    <w:rsid w:val="00764D90"/>
    <w:rsid w:val="00766134"/>
    <w:rsid w:val="00767D87"/>
    <w:rsid w:val="00776455"/>
    <w:rsid w:val="0077703E"/>
    <w:rsid w:val="00787F3D"/>
    <w:rsid w:val="00790BA4"/>
    <w:rsid w:val="00793EC8"/>
    <w:rsid w:val="007A3EE2"/>
    <w:rsid w:val="007C1236"/>
    <w:rsid w:val="007F21AF"/>
    <w:rsid w:val="007F38DF"/>
    <w:rsid w:val="007F6051"/>
    <w:rsid w:val="00804906"/>
    <w:rsid w:val="008057D5"/>
    <w:rsid w:val="0081221A"/>
    <w:rsid w:val="00815248"/>
    <w:rsid w:val="00816D0B"/>
    <w:rsid w:val="008230A2"/>
    <w:rsid w:val="008276F0"/>
    <w:rsid w:val="008435D0"/>
    <w:rsid w:val="0084591E"/>
    <w:rsid w:val="0084726A"/>
    <w:rsid w:val="00856C65"/>
    <w:rsid w:val="00862956"/>
    <w:rsid w:val="00862CB4"/>
    <w:rsid w:val="00866B37"/>
    <w:rsid w:val="00866CA4"/>
    <w:rsid w:val="008729C8"/>
    <w:rsid w:val="0087545E"/>
    <w:rsid w:val="00875751"/>
    <w:rsid w:val="00882D47"/>
    <w:rsid w:val="0088787D"/>
    <w:rsid w:val="008935C1"/>
    <w:rsid w:val="0089447E"/>
    <w:rsid w:val="00894AD1"/>
    <w:rsid w:val="008B0915"/>
    <w:rsid w:val="008B3B89"/>
    <w:rsid w:val="008B4475"/>
    <w:rsid w:val="008C3230"/>
    <w:rsid w:val="008C39E7"/>
    <w:rsid w:val="008C7B59"/>
    <w:rsid w:val="008D3732"/>
    <w:rsid w:val="008E09F2"/>
    <w:rsid w:val="008E31DD"/>
    <w:rsid w:val="008E7AC1"/>
    <w:rsid w:val="008F64DE"/>
    <w:rsid w:val="00905678"/>
    <w:rsid w:val="0091407C"/>
    <w:rsid w:val="00914799"/>
    <w:rsid w:val="0091659F"/>
    <w:rsid w:val="00916EDF"/>
    <w:rsid w:val="00926F51"/>
    <w:rsid w:val="00932343"/>
    <w:rsid w:val="00935F54"/>
    <w:rsid w:val="00937392"/>
    <w:rsid w:val="00940B2F"/>
    <w:rsid w:val="00941759"/>
    <w:rsid w:val="00941B93"/>
    <w:rsid w:val="009425C0"/>
    <w:rsid w:val="00942E8A"/>
    <w:rsid w:val="009433C3"/>
    <w:rsid w:val="009639D0"/>
    <w:rsid w:val="00970362"/>
    <w:rsid w:val="00973D82"/>
    <w:rsid w:val="00976C5D"/>
    <w:rsid w:val="00993B5B"/>
    <w:rsid w:val="009A0E89"/>
    <w:rsid w:val="009A1E54"/>
    <w:rsid w:val="009A4369"/>
    <w:rsid w:val="009A5021"/>
    <w:rsid w:val="009B6EF1"/>
    <w:rsid w:val="009B73D7"/>
    <w:rsid w:val="009C0718"/>
    <w:rsid w:val="009C46AF"/>
    <w:rsid w:val="009D1772"/>
    <w:rsid w:val="009D23D1"/>
    <w:rsid w:val="009D2C9B"/>
    <w:rsid w:val="009D4128"/>
    <w:rsid w:val="009E1F72"/>
    <w:rsid w:val="009E22CB"/>
    <w:rsid w:val="009F229C"/>
    <w:rsid w:val="009F319D"/>
    <w:rsid w:val="009F574A"/>
    <w:rsid w:val="009F5E15"/>
    <w:rsid w:val="009F67E3"/>
    <w:rsid w:val="00A0182F"/>
    <w:rsid w:val="00A02333"/>
    <w:rsid w:val="00A126D6"/>
    <w:rsid w:val="00A1391C"/>
    <w:rsid w:val="00A14B71"/>
    <w:rsid w:val="00A21593"/>
    <w:rsid w:val="00A22C62"/>
    <w:rsid w:val="00A22F90"/>
    <w:rsid w:val="00A2328B"/>
    <w:rsid w:val="00A253EF"/>
    <w:rsid w:val="00A25DA1"/>
    <w:rsid w:val="00A3268C"/>
    <w:rsid w:val="00A401A7"/>
    <w:rsid w:val="00A47133"/>
    <w:rsid w:val="00A52C52"/>
    <w:rsid w:val="00A65253"/>
    <w:rsid w:val="00A7647C"/>
    <w:rsid w:val="00A81F42"/>
    <w:rsid w:val="00A92C37"/>
    <w:rsid w:val="00A938F3"/>
    <w:rsid w:val="00AA1F2B"/>
    <w:rsid w:val="00AB1B87"/>
    <w:rsid w:val="00AB4336"/>
    <w:rsid w:val="00AC5BDE"/>
    <w:rsid w:val="00AC7845"/>
    <w:rsid w:val="00AD0ED4"/>
    <w:rsid w:val="00AD4CA5"/>
    <w:rsid w:val="00AD67F0"/>
    <w:rsid w:val="00AD7D88"/>
    <w:rsid w:val="00AE2EE1"/>
    <w:rsid w:val="00AE701F"/>
    <w:rsid w:val="00AE76C6"/>
    <w:rsid w:val="00AF2CD6"/>
    <w:rsid w:val="00AF454B"/>
    <w:rsid w:val="00B0139D"/>
    <w:rsid w:val="00B04F80"/>
    <w:rsid w:val="00B054D8"/>
    <w:rsid w:val="00B20ED2"/>
    <w:rsid w:val="00B216B5"/>
    <w:rsid w:val="00B2554F"/>
    <w:rsid w:val="00B25A3E"/>
    <w:rsid w:val="00B2734D"/>
    <w:rsid w:val="00B3062F"/>
    <w:rsid w:val="00B32C4B"/>
    <w:rsid w:val="00B359BE"/>
    <w:rsid w:val="00B416CC"/>
    <w:rsid w:val="00B54D3A"/>
    <w:rsid w:val="00B55987"/>
    <w:rsid w:val="00B643B0"/>
    <w:rsid w:val="00B65D1A"/>
    <w:rsid w:val="00B743F5"/>
    <w:rsid w:val="00B82986"/>
    <w:rsid w:val="00B84CB6"/>
    <w:rsid w:val="00B861AD"/>
    <w:rsid w:val="00B91C6C"/>
    <w:rsid w:val="00B9423A"/>
    <w:rsid w:val="00B979BE"/>
    <w:rsid w:val="00BA6D8D"/>
    <w:rsid w:val="00BC31EE"/>
    <w:rsid w:val="00BC4D78"/>
    <w:rsid w:val="00BC6D62"/>
    <w:rsid w:val="00BC7B88"/>
    <w:rsid w:val="00BD215F"/>
    <w:rsid w:val="00BD256B"/>
    <w:rsid w:val="00BE17DE"/>
    <w:rsid w:val="00BE5106"/>
    <w:rsid w:val="00BF688A"/>
    <w:rsid w:val="00C02714"/>
    <w:rsid w:val="00C03A05"/>
    <w:rsid w:val="00C23F0D"/>
    <w:rsid w:val="00C3038C"/>
    <w:rsid w:val="00C318B1"/>
    <w:rsid w:val="00C32A2A"/>
    <w:rsid w:val="00C33B9D"/>
    <w:rsid w:val="00C35AF9"/>
    <w:rsid w:val="00C369CD"/>
    <w:rsid w:val="00C37237"/>
    <w:rsid w:val="00C37D07"/>
    <w:rsid w:val="00C37F91"/>
    <w:rsid w:val="00C434A8"/>
    <w:rsid w:val="00C43FCB"/>
    <w:rsid w:val="00C4718C"/>
    <w:rsid w:val="00C53912"/>
    <w:rsid w:val="00C54CDF"/>
    <w:rsid w:val="00C55408"/>
    <w:rsid w:val="00C55E04"/>
    <w:rsid w:val="00C61CE1"/>
    <w:rsid w:val="00C6532E"/>
    <w:rsid w:val="00C739B5"/>
    <w:rsid w:val="00C74194"/>
    <w:rsid w:val="00C74D1A"/>
    <w:rsid w:val="00C80844"/>
    <w:rsid w:val="00C80EC2"/>
    <w:rsid w:val="00C853ED"/>
    <w:rsid w:val="00C860B3"/>
    <w:rsid w:val="00C919FA"/>
    <w:rsid w:val="00C94230"/>
    <w:rsid w:val="00C95DAC"/>
    <w:rsid w:val="00C97104"/>
    <w:rsid w:val="00CA214B"/>
    <w:rsid w:val="00CA4DFE"/>
    <w:rsid w:val="00CA528A"/>
    <w:rsid w:val="00CB0577"/>
    <w:rsid w:val="00CB35D9"/>
    <w:rsid w:val="00CC0888"/>
    <w:rsid w:val="00CC5C8E"/>
    <w:rsid w:val="00CC7459"/>
    <w:rsid w:val="00CD1BF7"/>
    <w:rsid w:val="00CE4CA3"/>
    <w:rsid w:val="00CF047A"/>
    <w:rsid w:val="00CF6CD8"/>
    <w:rsid w:val="00D02DB4"/>
    <w:rsid w:val="00D206BE"/>
    <w:rsid w:val="00D22B25"/>
    <w:rsid w:val="00D35192"/>
    <w:rsid w:val="00D41A9A"/>
    <w:rsid w:val="00D448D3"/>
    <w:rsid w:val="00D50C01"/>
    <w:rsid w:val="00D542A3"/>
    <w:rsid w:val="00D6140F"/>
    <w:rsid w:val="00D620CB"/>
    <w:rsid w:val="00D662B0"/>
    <w:rsid w:val="00D70D53"/>
    <w:rsid w:val="00D73794"/>
    <w:rsid w:val="00D754F1"/>
    <w:rsid w:val="00D77C49"/>
    <w:rsid w:val="00D83FF2"/>
    <w:rsid w:val="00D8462A"/>
    <w:rsid w:val="00D85E8B"/>
    <w:rsid w:val="00D963B1"/>
    <w:rsid w:val="00DA3D07"/>
    <w:rsid w:val="00DA6A59"/>
    <w:rsid w:val="00DB28A4"/>
    <w:rsid w:val="00DB42D5"/>
    <w:rsid w:val="00DC2DE1"/>
    <w:rsid w:val="00DC44DE"/>
    <w:rsid w:val="00DD0E9C"/>
    <w:rsid w:val="00DD184F"/>
    <w:rsid w:val="00DD7E32"/>
    <w:rsid w:val="00DE4E38"/>
    <w:rsid w:val="00DE77F4"/>
    <w:rsid w:val="00E02462"/>
    <w:rsid w:val="00E02C38"/>
    <w:rsid w:val="00E15015"/>
    <w:rsid w:val="00E1740C"/>
    <w:rsid w:val="00E2450B"/>
    <w:rsid w:val="00E250C0"/>
    <w:rsid w:val="00E313A7"/>
    <w:rsid w:val="00E3432B"/>
    <w:rsid w:val="00E51FA8"/>
    <w:rsid w:val="00E562F5"/>
    <w:rsid w:val="00E61814"/>
    <w:rsid w:val="00E67B1E"/>
    <w:rsid w:val="00E71846"/>
    <w:rsid w:val="00E721D2"/>
    <w:rsid w:val="00E87098"/>
    <w:rsid w:val="00E90A4E"/>
    <w:rsid w:val="00E911B0"/>
    <w:rsid w:val="00E91585"/>
    <w:rsid w:val="00E97D73"/>
    <w:rsid w:val="00EB1036"/>
    <w:rsid w:val="00EC18B4"/>
    <w:rsid w:val="00EC2DA3"/>
    <w:rsid w:val="00EC4308"/>
    <w:rsid w:val="00EC4D04"/>
    <w:rsid w:val="00EC6041"/>
    <w:rsid w:val="00ED54F5"/>
    <w:rsid w:val="00EE1E04"/>
    <w:rsid w:val="00EF2F33"/>
    <w:rsid w:val="00EF7980"/>
    <w:rsid w:val="00F03B3D"/>
    <w:rsid w:val="00F04530"/>
    <w:rsid w:val="00F07BF3"/>
    <w:rsid w:val="00F1793B"/>
    <w:rsid w:val="00F207C2"/>
    <w:rsid w:val="00F31C4F"/>
    <w:rsid w:val="00F34BA0"/>
    <w:rsid w:val="00F353A2"/>
    <w:rsid w:val="00F35EAC"/>
    <w:rsid w:val="00F36F53"/>
    <w:rsid w:val="00F46994"/>
    <w:rsid w:val="00F46B3B"/>
    <w:rsid w:val="00F5054B"/>
    <w:rsid w:val="00F53C32"/>
    <w:rsid w:val="00F54DA3"/>
    <w:rsid w:val="00F575B8"/>
    <w:rsid w:val="00F6036A"/>
    <w:rsid w:val="00F63C28"/>
    <w:rsid w:val="00F6558B"/>
    <w:rsid w:val="00F6582B"/>
    <w:rsid w:val="00F71850"/>
    <w:rsid w:val="00F73BC1"/>
    <w:rsid w:val="00F82321"/>
    <w:rsid w:val="00F83964"/>
    <w:rsid w:val="00F84643"/>
    <w:rsid w:val="00F84C21"/>
    <w:rsid w:val="00F86DF2"/>
    <w:rsid w:val="00F953F5"/>
    <w:rsid w:val="00F96C38"/>
    <w:rsid w:val="00FA2093"/>
    <w:rsid w:val="00FB2999"/>
    <w:rsid w:val="00FB2FA0"/>
    <w:rsid w:val="00FB7DBE"/>
    <w:rsid w:val="00FC0992"/>
    <w:rsid w:val="00FC2427"/>
    <w:rsid w:val="00FC35EF"/>
    <w:rsid w:val="00FD3A1E"/>
    <w:rsid w:val="00FD4699"/>
    <w:rsid w:val="00FD61A6"/>
    <w:rsid w:val="00FE0F3A"/>
    <w:rsid w:val="00FE2E4B"/>
    <w:rsid w:val="00FE3430"/>
    <w:rsid w:val="00FE7D54"/>
    <w:rsid w:val="00FF065A"/>
    <w:rsid w:val="00FF41BD"/>
    <w:rsid w:val="00FF57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928A5"/>
  <w15:chartTrackingRefBased/>
  <w15:docId w15:val="{3EE5A455-9DF1-4706-B7C3-6D74F5DF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862956"/>
    <w:rPr>
      <w:sz w:val="16"/>
      <w:szCs w:val="16"/>
    </w:rPr>
  </w:style>
  <w:style w:type="paragraph" w:styleId="CommentText">
    <w:name w:val="annotation text"/>
    <w:basedOn w:val="Normal"/>
    <w:link w:val="CommentTextChar"/>
    <w:uiPriority w:val="99"/>
    <w:unhideWhenUsed/>
    <w:rsid w:val="00862956"/>
    <w:pPr>
      <w:spacing w:line="240" w:lineRule="auto"/>
    </w:pPr>
    <w:rPr>
      <w:sz w:val="20"/>
      <w:szCs w:val="20"/>
    </w:rPr>
  </w:style>
  <w:style w:type="character" w:customStyle="1" w:styleId="CommentTextChar">
    <w:name w:val="Comment Text Char"/>
    <w:basedOn w:val="DefaultParagraphFont"/>
    <w:link w:val="CommentText"/>
    <w:uiPriority w:val="99"/>
    <w:rsid w:val="00862956"/>
    <w:rPr>
      <w:sz w:val="20"/>
      <w:szCs w:val="20"/>
      <w:lang w:val="en-US"/>
    </w:rPr>
  </w:style>
  <w:style w:type="paragraph" w:styleId="BalloonText">
    <w:name w:val="Balloon Text"/>
    <w:basedOn w:val="Normal"/>
    <w:link w:val="BalloonTextChar"/>
    <w:uiPriority w:val="99"/>
    <w:semiHidden/>
    <w:unhideWhenUsed/>
    <w:rsid w:val="00862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956"/>
    <w:rPr>
      <w:rFonts w:ascii="Segoe UI" w:hAnsi="Segoe UI" w:cs="Segoe UI"/>
      <w:sz w:val="18"/>
      <w:szCs w:val="18"/>
      <w:lang w:val="en-US"/>
    </w:rPr>
  </w:style>
  <w:style w:type="table" w:styleId="TableGrid">
    <w:name w:val="Table Grid"/>
    <w:basedOn w:val="TableNormal"/>
    <w:uiPriority w:val="39"/>
    <w:rsid w:val="0086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956"/>
    <w:pPr>
      <w:ind w:left="720"/>
      <w:contextualSpacing/>
    </w:pPr>
  </w:style>
  <w:style w:type="paragraph" w:styleId="CommentSubject">
    <w:name w:val="annotation subject"/>
    <w:basedOn w:val="CommentText"/>
    <w:next w:val="CommentText"/>
    <w:link w:val="CommentSubjectChar"/>
    <w:uiPriority w:val="99"/>
    <w:semiHidden/>
    <w:unhideWhenUsed/>
    <w:rsid w:val="00423F05"/>
    <w:rPr>
      <w:b/>
      <w:bCs/>
    </w:rPr>
  </w:style>
  <w:style w:type="character" w:customStyle="1" w:styleId="CommentSubjectChar">
    <w:name w:val="Comment Subject Char"/>
    <w:basedOn w:val="CommentTextChar"/>
    <w:link w:val="CommentSubject"/>
    <w:uiPriority w:val="99"/>
    <w:semiHidden/>
    <w:rsid w:val="00423F05"/>
    <w:rPr>
      <w:b/>
      <w:bCs/>
      <w:sz w:val="20"/>
      <w:szCs w:val="20"/>
      <w:lang w:val="en-US"/>
    </w:rPr>
  </w:style>
  <w:style w:type="paragraph" w:styleId="Header">
    <w:name w:val="header"/>
    <w:basedOn w:val="Normal"/>
    <w:link w:val="HeaderChar"/>
    <w:uiPriority w:val="99"/>
    <w:unhideWhenUsed/>
    <w:rsid w:val="00F73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C1"/>
    <w:rPr>
      <w:lang w:val="en-US"/>
    </w:rPr>
  </w:style>
  <w:style w:type="paragraph" w:styleId="Footer">
    <w:name w:val="footer"/>
    <w:basedOn w:val="Normal"/>
    <w:link w:val="FooterChar"/>
    <w:uiPriority w:val="99"/>
    <w:unhideWhenUsed/>
    <w:rsid w:val="00F73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BC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MediTech Media</dc:creator>
  <cp:keywords/>
  <dc:description/>
  <cp:lastModifiedBy>John Magri</cp:lastModifiedBy>
  <cp:revision>3</cp:revision>
  <dcterms:created xsi:type="dcterms:W3CDTF">2021-08-11T11:45:00Z</dcterms:created>
  <dcterms:modified xsi:type="dcterms:W3CDTF">2021-09-02T10:03:00Z</dcterms:modified>
</cp:coreProperties>
</file>