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67D568" w14:textId="77777777" w:rsidR="006D68E2" w:rsidRPr="00B31106" w:rsidRDefault="006D68E2" w:rsidP="006D68E2">
      <w:pPr>
        <w:spacing w:before="240" w:after="240"/>
        <w:jc w:val="center"/>
        <w:rPr>
          <w:rFonts w:asciiTheme="majorHAnsi" w:hAnsiTheme="majorHAnsi" w:cstheme="majorHAnsi"/>
          <w:b/>
          <w:sz w:val="24"/>
          <w:szCs w:val="24"/>
        </w:rPr>
      </w:pPr>
      <w:r w:rsidRPr="00B31106">
        <w:rPr>
          <w:rFonts w:asciiTheme="majorHAnsi" w:hAnsiTheme="majorHAnsi" w:cstheme="majorHAnsi"/>
          <w:b/>
          <w:sz w:val="24"/>
          <w:szCs w:val="24"/>
        </w:rPr>
        <w:t>Supplementary Materials and Methods</w:t>
      </w:r>
    </w:p>
    <w:p w14:paraId="0272D4F8" w14:textId="77777777" w:rsidR="006D68E2" w:rsidRPr="00B31106" w:rsidRDefault="006D68E2" w:rsidP="006D68E2">
      <w:pPr>
        <w:spacing w:before="240" w:after="240" w:line="240" w:lineRule="auto"/>
        <w:rPr>
          <w:rFonts w:asciiTheme="majorHAnsi" w:hAnsiTheme="majorHAnsi" w:cstheme="majorHAnsi"/>
          <w:b/>
          <w:sz w:val="24"/>
          <w:szCs w:val="24"/>
        </w:rPr>
      </w:pPr>
      <w:r w:rsidRPr="00B31106">
        <w:rPr>
          <w:rFonts w:asciiTheme="majorHAnsi" w:hAnsiTheme="majorHAnsi" w:cstheme="majorHAnsi"/>
          <w:b/>
          <w:sz w:val="24"/>
          <w:szCs w:val="24"/>
        </w:rPr>
        <w:t>Molecular Dynamics Simulation Protocol</w:t>
      </w:r>
    </w:p>
    <w:p w14:paraId="0A60EDF0" w14:textId="4BBC4C21" w:rsidR="006D68E2" w:rsidRPr="00B31106" w:rsidRDefault="006D68E2" w:rsidP="006D68E2">
      <w:pPr>
        <w:spacing w:before="240" w:after="240" w:line="240" w:lineRule="auto"/>
        <w:rPr>
          <w:rFonts w:asciiTheme="majorHAnsi" w:hAnsiTheme="majorHAnsi" w:cstheme="majorHAnsi"/>
          <w:sz w:val="24"/>
          <w:szCs w:val="24"/>
        </w:rPr>
      </w:pPr>
      <w:r w:rsidRPr="00B31106">
        <w:rPr>
          <w:rFonts w:asciiTheme="majorHAnsi" w:hAnsiTheme="majorHAnsi" w:cstheme="majorHAnsi"/>
          <w:sz w:val="24"/>
          <w:szCs w:val="24"/>
        </w:rPr>
        <w:t xml:space="preserve">All MD simulations were performed with </w:t>
      </w:r>
      <w:proofErr w:type="spellStart"/>
      <w:r w:rsidRPr="00B31106">
        <w:rPr>
          <w:rFonts w:asciiTheme="majorHAnsi" w:hAnsiTheme="majorHAnsi" w:cstheme="majorHAnsi"/>
          <w:sz w:val="24"/>
          <w:szCs w:val="24"/>
        </w:rPr>
        <w:t>Gromacs</w:t>
      </w:r>
      <w:proofErr w:type="spellEnd"/>
      <w:r w:rsidRPr="00B31106">
        <w:rPr>
          <w:rFonts w:asciiTheme="majorHAnsi" w:hAnsiTheme="majorHAnsi" w:cstheme="majorHAnsi"/>
          <w:sz w:val="24"/>
          <w:szCs w:val="24"/>
        </w:rPr>
        <w:t xml:space="preserve"> 2020 software</w:t>
      </w:r>
      <w:r w:rsidRPr="001B0239">
        <w:rPr>
          <w:rFonts w:asciiTheme="majorHAnsi" w:hAnsiTheme="majorHAnsi" w:cstheme="majorHAnsi"/>
          <w:sz w:val="24"/>
          <w:szCs w:val="24"/>
          <w:lang w:val="en-US"/>
        </w:rPr>
        <w:t xml:space="preserve"> </w:t>
      </w:r>
      <w:r>
        <w:rPr>
          <w:rFonts w:asciiTheme="majorHAnsi" w:hAnsiTheme="majorHAnsi" w:cstheme="majorHAnsi"/>
          <w:sz w:val="24"/>
          <w:szCs w:val="24"/>
          <w:lang w:val="en-US"/>
        </w:rPr>
        <w:fldChar w:fldCharType="begin"/>
      </w:r>
      <w:r w:rsidR="00AC048F">
        <w:rPr>
          <w:rFonts w:asciiTheme="majorHAnsi" w:hAnsiTheme="majorHAnsi" w:cstheme="majorHAnsi"/>
          <w:sz w:val="24"/>
          <w:szCs w:val="24"/>
          <w:lang w:val="en-US"/>
        </w:rPr>
        <w:instrText xml:space="preserve"> ADDIN ZOTERO_ITEM CSL_CITATION {"citationID":"SVaE1pT7","properties":{"formattedCitation":"(Abraham et al., 2015)","plainCitation":"(Abraham et al., 2015)","noteIndex":0},"citationItems":[{"id":"KVPiax5H/5JBS5oLL","uris":["http://zotero.org/users/local/47Q9VbfG/items/UB4WHC3M"],"uri":["http://zotero.org/users/local/47Q9VbfG/items/UB4WHC3M"],"itemData":{"id":2401,"type":"article-journal","abstract":"GROMACS is one of the most widely used open-source and free software codes in chemistry, used primarily for dynamical simulations of biomolecules. It provides a rich set of calculation types, preparation and analysis tools. Several advanced techniques for free-energy calculations are supported. In version 5, it reaches new performance heights, through several new and enhanced parallelization algorithms. These work on every level; SIMD registers inside cores, multithreading, heterogeneous CPU-GPU acceleration, state-of-the-art 3D domain decomposition, and ensemble-level parallelization through built-in replica exchange and the separate Copernicus framework. The latest best-in-class compressed trajectory storage format is supported.","container-title":"SoftwareX","DOI":"10.1016/j.softx.2015.06.001","ISSN":"23527110","note":"publisher: Elsevier B.V.","page":"19-25","title":"Gromacs: High performance molecular simulations through multi-level parallelism from laptops to supercomputers","volume":"1-2","author":[{"family":"Abraham","given":"Mark James"},{"family":"Murtola","given":"Teemu"},{"family":"Schulz","given":"Roland"},{"family":"Páll","given":"Szilárd"},{"family":"Smith","given":"Jeremy C."},{"family":"Hess","given":"Berk"},{"family":"Lindah","given":"Erik"}],"issued":{"date-parts":[["2015",9,1]]}}}],"schema":"https://github.com/citation-style-language/schema/raw/master/csl-citation.json"} </w:instrText>
      </w:r>
      <w:r>
        <w:rPr>
          <w:rFonts w:asciiTheme="majorHAnsi" w:hAnsiTheme="majorHAnsi" w:cstheme="majorHAnsi"/>
          <w:sz w:val="24"/>
          <w:szCs w:val="24"/>
          <w:lang w:val="en-US"/>
        </w:rPr>
        <w:fldChar w:fldCharType="separate"/>
      </w:r>
      <w:r w:rsidR="00AC048F" w:rsidRPr="00AC048F">
        <w:rPr>
          <w:rFonts w:ascii="Calibri" w:hAnsi="Calibri" w:cs="Calibri"/>
          <w:sz w:val="24"/>
        </w:rPr>
        <w:t>(Abraham et al., 2015)</w:t>
      </w:r>
      <w:r>
        <w:rPr>
          <w:rFonts w:asciiTheme="majorHAnsi" w:hAnsiTheme="majorHAnsi" w:cstheme="majorHAnsi"/>
          <w:sz w:val="24"/>
          <w:szCs w:val="24"/>
          <w:lang w:val="en-US"/>
        </w:rPr>
        <w:fldChar w:fldCharType="end"/>
      </w:r>
      <w:r w:rsidRPr="00B31106">
        <w:rPr>
          <w:rFonts w:asciiTheme="majorHAnsi" w:hAnsiTheme="majorHAnsi" w:cstheme="majorHAnsi"/>
          <w:sz w:val="24"/>
          <w:szCs w:val="24"/>
        </w:rPr>
        <w:t xml:space="preserve">. All models discussed were initially preprocessed with </w:t>
      </w:r>
      <w:proofErr w:type="spellStart"/>
      <w:r w:rsidRPr="00B31106">
        <w:rPr>
          <w:rFonts w:asciiTheme="majorHAnsi" w:hAnsiTheme="majorHAnsi" w:cstheme="majorHAnsi"/>
          <w:sz w:val="24"/>
          <w:szCs w:val="24"/>
        </w:rPr>
        <w:t>MolProbity</w:t>
      </w:r>
      <w:proofErr w:type="spellEnd"/>
      <w:r w:rsidRPr="00B31106">
        <w:rPr>
          <w:rFonts w:asciiTheme="majorHAnsi" w:hAnsiTheme="majorHAnsi" w:cstheme="majorHAnsi"/>
          <w:sz w:val="24"/>
          <w:szCs w:val="24"/>
        </w:rPr>
        <w:t xml:space="preserve"> to correct protonation states, amide rotamers, and histidine </w:t>
      </w:r>
      <w:proofErr w:type="spellStart"/>
      <w:r w:rsidRPr="00B31106">
        <w:rPr>
          <w:rFonts w:asciiTheme="majorHAnsi" w:hAnsiTheme="majorHAnsi" w:cstheme="majorHAnsi"/>
          <w:sz w:val="24"/>
          <w:szCs w:val="24"/>
        </w:rPr>
        <w:t>tautomers</w:t>
      </w:r>
      <w:proofErr w:type="spellEnd"/>
      <w:r>
        <w:rPr>
          <w:rFonts w:asciiTheme="majorHAnsi" w:hAnsiTheme="majorHAnsi" w:cstheme="majorHAnsi"/>
          <w:sz w:val="24"/>
          <w:szCs w:val="24"/>
        </w:rPr>
        <w:t xml:space="preserve"> </w:t>
      </w:r>
      <w:r>
        <w:rPr>
          <w:rFonts w:asciiTheme="majorHAnsi" w:hAnsiTheme="majorHAnsi" w:cstheme="majorHAnsi"/>
          <w:sz w:val="24"/>
          <w:szCs w:val="24"/>
        </w:rPr>
        <w:fldChar w:fldCharType="begin"/>
      </w:r>
      <w:r w:rsidR="00AC048F">
        <w:rPr>
          <w:rFonts w:asciiTheme="majorHAnsi" w:hAnsiTheme="majorHAnsi" w:cstheme="majorHAnsi"/>
          <w:sz w:val="24"/>
          <w:szCs w:val="24"/>
        </w:rPr>
        <w:instrText xml:space="preserve"> ADDIN ZOTERO_ITEM CSL_CITATION {"citationID":"eV0PETQq","properties":{"formattedCitation":"(Williams et al., 2018)","plainCitation":"(Williams et al., 2018)","noteIndex":0},"citationItems":[{"id":"KVPiax5H/n6N08kcS","uris":["http://zotero.org/users/local/47Q9VbfG/items/FTXLKXUB"],"uri":["http://zotero.org/users/local/47Q9VbfG/items/FTXLKXUB"],"itemData":{"id":2398,"type":"article-journal","abstract":"This paper describes the current update on macromolecular model validation services that are provided at the MolProbity website, emphasizing changes and additions since the previous review in 2010. There have been many infrastructure improvements, including rewrite of previous Java utilities to now use existing or newly written Python utilities in the open-source CCTBX portion of the Phenix software system. This improves long-term maintainability and enhances the thorough integration of MolProbity-style validation within Phenix. There is now a complete MolProbity mirror site at http://molprobity.manchester.ac.uk. GitHub serves our open-source code, reference datasets, and the resulting multi-dimensional distributions that define most validation criteria. Coordinate output after Asn/Gln/His “flip” correction is now more idealized, since the post-refinement step has apparently often been skipped in the past. Two distinct sets of heavy-atom-to-hydrogen distances and accompanying van der Waals radii have been researched and improved in accuracy, one for the electron-cloud-center positions suitable for X-ray crystallography and one for nuclear positions. New validations include messages at input about problem-causing format irregularities, updates of Ramachandran and rotamer criteria from the million quality-filtered residues in a new reference dataset, the CaBLAM Cα-CO virtual-angle analysis of backbone and secondary structure for cryoEM or low-resolution X-ray, and flagging of the very rare cis-nonProline and twisted peptides which have recently been greatly overused. Due to wide application of MolProbity validation and corrections by the research community, in Phenix, and at the worldwide Protein Data Bank, newly deposited structures have continued to improve greatly as measured by MolProbity's unique all-atom clashscore.","container-title":"Protein Science","DOI":"10.1002/pro.3330","ISSN":"1469896X","issue":"1","note":"PMID: 29067766\npublisher: Blackwell Publishing Ltd","page":"293-315","title":"MolProbity: More and better reference data for improved all-atom structure validation","volume":"27","author":[{"family":"Williams","given":"Christopher J."},{"family":"Headd","given":"Jeffrey J."},{"family":"Moriarty","given":"Nigel W."},{"family":"Prisant","given":"Michael G."},{"family":"Videau","given":"Lizbeth L."},{"family":"Deis","given":"Lindsay N."},{"family":"Verma","given":"Vishal"},{"family":"Keedy","given":"Daniel A."},{"family":"Hintze","given":"Bradley J."},{"family":"Chen","given":"Vincent B."},{"family":"Jain","given":"Swati"},{"family":"Lewis","given":"Steven M."},{"family":"Arendall","given":"W. Bryan"},{"family":"Snoeyink","given":"Jack"},{"family":"Adams","given":"Paul D."},{"family":"Lovell","given":"Simon C."},{"family":"Richardson","given":"Jane S."},{"family":"Richardson","given":"David C."}],"issued":{"date-parts":[["2018",1,1]]}}}],"schema":"https://github.com/citation-style-language/schema/raw/master/csl-citation.json"} </w:instrText>
      </w:r>
      <w:r>
        <w:rPr>
          <w:rFonts w:asciiTheme="majorHAnsi" w:hAnsiTheme="majorHAnsi" w:cstheme="majorHAnsi"/>
          <w:sz w:val="24"/>
          <w:szCs w:val="24"/>
        </w:rPr>
        <w:fldChar w:fldCharType="separate"/>
      </w:r>
      <w:r w:rsidR="00AC048F" w:rsidRPr="00AC048F">
        <w:rPr>
          <w:rFonts w:ascii="Calibri" w:hAnsi="Calibri" w:cs="Calibri"/>
          <w:sz w:val="24"/>
        </w:rPr>
        <w:t>(Williams et al., 2018)</w:t>
      </w:r>
      <w:r>
        <w:rPr>
          <w:rFonts w:asciiTheme="majorHAnsi" w:hAnsiTheme="majorHAnsi" w:cstheme="majorHAnsi"/>
          <w:sz w:val="24"/>
          <w:szCs w:val="24"/>
        </w:rPr>
        <w:fldChar w:fldCharType="end"/>
      </w:r>
      <w:r w:rsidRPr="00B31106">
        <w:rPr>
          <w:rFonts w:asciiTheme="majorHAnsi" w:hAnsiTheme="majorHAnsi" w:cstheme="majorHAnsi"/>
          <w:sz w:val="24"/>
          <w:szCs w:val="24"/>
        </w:rPr>
        <w:t>. Unliganded and liganded ɑ2δ-1 VGCC systems were subjected to an initial 50,000 step minimization and filled with TIP3P water molecules, and the total charge was neutralized with 0.15 M Na</w:t>
      </w:r>
      <w:r w:rsidRPr="001B0239">
        <w:rPr>
          <w:rFonts w:asciiTheme="majorHAnsi" w:hAnsiTheme="majorHAnsi" w:cstheme="majorHAnsi"/>
          <w:sz w:val="24"/>
          <w:szCs w:val="24"/>
          <w:vertAlign w:val="superscript"/>
        </w:rPr>
        <w:t>+</w:t>
      </w:r>
      <w:r w:rsidRPr="00B31106">
        <w:rPr>
          <w:rFonts w:asciiTheme="majorHAnsi" w:hAnsiTheme="majorHAnsi" w:cstheme="majorHAnsi"/>
          <w:sz w:val="24"/>
          <w:szCs w:val="24"/>
        </w:rPr>
        <w:t xml:space="preserve"> or Cl</w:t>
      </w:r>
      <w:r w:rsidRPr="001B0239">
        <w:rPr>
          <w:rFonts w:asciiTheme="majorHAnsi" w:hAnsiTheme="majorHAnsi" w:cstheme="majorHAnsi"/>
          <w:sz w:val="24"/>
          <w:szCs w:val="24"/>
          <w:vertAlign w:val="superscript"/>
        </w:rPr>
        <w:t>-</w:t>
      </w:r>
      <w:r w:rsidRPr="00B31106">
        <w:rPr>
          <w:rFonts w:asciiTheme="majorHAnsi" w:hAnsiTheme="majorHAnsi" w:cstheme="majorHAnsi"/>
          <w:sz w:val="24"/>
          <w:szCs w:val="24"/>
        </w:rPr>
        <w:t xml:space="preserve"> ions. Then another minimization was performed. 100 </w:t>
      </w:r>
      <w:proofErr w:type="spellStart"/>
      <w:r w:rsidRPr="00B31106">
        <w:rPr>
          <w:rFonts w:asciiTheme="majorHAnsi" w:hAnsiTheme="majorHAnsi" w:cstheme="majorHAnsi"/>
          <w:sz w:val="24"/>
          <w:szCs w:val="24"/>
        </w:rPr>
        <w:t>ps</w:t>
      </w:r>
      <w:proofErr w:type="spellEnd"/>
      <w:r w:rsidRPr="00B31106">
        <w:rPr>
          <w:rFonts w:asciiTheme="majorHAnsi" w:hAnsiTheme="majorHAnsi" w:cstheme="majorHAnsi"/>
          <w:sz w:val="24"/>
          <w:szCs w:val="24"/>
        </w:rPr>
        <w:t xml:space="preserve"> of each positional-restrained NVT and NPT equilibration were carried out with subsequent 10ns unrestrained NPT equilibration. All equilibration and production simulations were performed with 2fs timestep, 300K temperature, NPT simulations under 1-atmosphere pressure. Velocity rescale algorithm was used to </w:t>
      </w:r>
      <w:r>
        <w:rPr>
          <w:rFonts w:asciiTheme="majorHAnsi" w:hAnsiTheme="majorHAnsi" w:cstheme="majorHAnsi"/>
          <w:sz w:val="24"/>
          <w:szCs w:val="24"/>
        </w:rPr>
        <w:t>cont</w:t>
      </w:r>
      <w:r w:rsidRPr="00B31106">
        <w:rPr>
          <w:rFonts w:asciiTheme="majorHAnsi" w:hAnsiTheme="majorHAnsi" w:cstheme="majorHAnsi"/>
          <w:sz w:val="24"/>
          <w:szCs w:val="24"/>
        </w:rPr>
        <w:t xml:space="preserve">rol the temperature while pressure coupling was </w:t>
      </w:r>
      <w:r>
        <w:rPr>
          <w:rFonts w:asciiTheme="majorHAnsi" w:hAnsiTheme="majorHAnsi" w:cstheme="majorHAnsi"/>
          <w:sz w:val="24"/>
          <w:szCs w:val="24"/>
        </w:rPr>
        <w:t>cont</w:t>
      </w:r>
      <w:r w:rsidRPr="00B31106">
        <w:rPr>
          <w:rFonts w:asciiTheme="majorHAnsi" w:hAnsiTheme="majorHAnsi" w:cstheme="majorHAnsi"/>
          <w:sz w:val="24"/>
          <w:szCs w:val="24"/>
        </w:rPr>
        <w:t xml:space="preserve">rolled by Berendsen </w:t>
      </w:r>
      <w:proofErr w:type="spellStart"/>
      <w:r w:rsidRPr="00B31106">
        <w:rPr>
          <w:rFonts w:asciiTheme="majorHAnsi" w:hAnsiTheme="majorHAnsi" w:cstheme="majorHAnsi"/>
          <w:sz w:val="24"/>
          <w:szCs w:val="24"/>
        </w:rPr>
        <w:t>barostat</w:t>
      </w:r>
      <w:proofErr w:type="spellEnd"/>
      <w:r w:rsidRPr="00B31106">
        <w:rPr>
          <w:rFonts w:asciiTheme="majorHAnsi" w:hAnsiTheme="majorHAnsi" w:cstheme="majorHAnsi"/>
          <w:sz w:val="24"/>
          <w:szCs w:val="24"/>
        </w:rPr>
        <w:t xml:space="preserve"> in the equilibration phase and </w:t>
      </w:r>
      <w:proofErr w:type="spellStart"/>
      <w:r w:rsidRPr="00B31106">
        <w:rPr>
          <w:rFonts w:asciiTheme="majorHAnsi" w:hAnsiTheme="majorHAnsi" w:cstheme="majorHAnsi"/>
          <w:sz w:val="24"/>
          <w:szCs w:val="24"/>
        </w:rPr>
        <w:t>Parrinello</w:t>
      </w:r>
      <w:proofErr w:type="spellEnd"/>
      <w:r w:rsidRPr="00B31106">
        <w:rPr>
          <w:rFonts w:asciiTheme="majorHAnsi" w:hAnsiTheme="majorHAnsi" w:cstheme="majorHAnsi"/>
          <w:sz w:val="24"/>
          <w:szCs w:val="24"/>
        </w:rPr>
        <w:t xml:space="preserve">-Rahman </w:t>
      </w:r>
      <w:proofErr w:type="spellStart"/>
      <w:r w:rsidRPr="00B31106">
        <w:rPr>
          <w:rFonts w:asciiTheme="majorHAnsi" w:hAnsiTheme="majorHAnsi" w:cstheme="majorHAnsi"/>
          <w:sz w:val="24"/>
          <w:szCs w:val="24"/>
        </w:rPr>
        <w:t>barostat</w:t>
      </w:r>
      <w:proofErr w:type="spellEnd"/>
      <w:r w:rsidRPr="00B31106">
        <w:rPr>
          <w:rFonts w:asciiTheme="majorHAnsi" w:hAnsiTheme="majorHAnsi" w:cstheme="majorHAnsi"/>
          <w:sz w:val="24"/>
          <w:szCs w:val="24"/>
        </w:rPr>
        <w:t xml:space="preserve"> in production</w:t>
      </w:r>
      <w:r w:rsidRPr="001B0239">
        <w:rPr>
          <w:rFonts w:asciiTheme="majorHAnsi" w:hAnsiTheme="majorHAnsi" w:cstheme="majorHAnsi"/>
          <w:sz w:val="24"/>
          <w:szCs w:val="24"/>
          <w:lang w:val="en-US"/>
        </w:rPr>
        <w:t xml:space="preserve"> </w:t>
      </w:r>
      <w:r>
        <w:rPr>
          <w:rFonts w:asciiTheme="majorHAnsi" w:hAnsiTheme="majorHAnsi" w:cstheme="majorHAnsi"/>
          <w:sz w:val="24"/>
          <w:szCs w:val="24"/>
          <w:lang w:val="en-US"/>
        </w:rPr>
        <w:fldChar w:fldCharType="begin"/>
      </w:r>
      <w:r w:rsidR="00AC048F">
        <w:rPr>
          <w:rFonts w:asciiTheme="majorHAnsi" w:hAnsiTheme="majorHAnsi" w:cstheme="majorHAnsi"/>
          <w:sz w:val="24"/>
          <w:szCs w:val="24"/>
          <w:lang w:val="en-US"/>
        </w:rPr>
        <w:instrText xml:space="preserve"> ADDIN ZOTERO_ITEM CSL_CITATION {"citationID":"PnXfllrU","properties":{"formattedCitation":"(Parrinello and Rahman, 1981; Berendsen et al., 1984; Bussi et al., 2007)","plainCitation":"(Parrinello and Rahman, 1981; Berendsen et al., 1984; Bussi et al., 2007)","noteIndex":0},"citationItems":[{"id":"KVPiax5H/D2soVJC3","uris":["http://zotero.org/users/local/47Q9VbfG/items/B8C4MG27"],"uri":["http://zotero.org/users/local/47Q9VbfG/items/B8C4MG27"],"itemData":{"id":2396,"type":"article-journal","abstract":"In molecular dynamics (MD) simulations the need often arises to maintain such parameters as temperature or pressure rather than energy and volume, or to impose gradients for studying transport properties in nonequilibrium MD. A method is described to realize coupling to an external bath with constant temperature or pressure with adjustable time constants for the coupling. The method is easily extendable to other variables and to gradients, and can be applied also to polyatomic molecules involving internal constraints. The influence of coupling time constants on dynamical variables is evaluated. A leap-frog algorithm is presented for the general case involving constraints with coupling to both a constant temperature and a constant pressure bath. © 1984 American Institute of Physics.","container-title":"The Journal of Chemical Physics","DOI":"10.1063/1.448118","ISSN":"00219606","issue":"8","note":"publisher: American Institute of PhysicsAIP","page":"3684-3690","title":"Molecular dynamics with coupling to an external bath","volume":"81","author":[{"family":"Berendsen","given":"H. J.C."},{"family":"Postma","given":"J. P.M."},{"family":"Van Gunsteren","given":"W. F."},{"family":"Dinola","given":"A."},{"family":"Haak","given":"J. R."}],"issued":{"date-parts":[["1984",10,15]]}}},{"id":"KVPiax5H/kVnQW16S","uris":["http://zotero.org/users/local/47Q9VbfG/items/C3G43GVN"],"uri":["http://zotero.org/users/local/47Q9VbfG/items/C3G43GVN"],"itemData":{"id":2397,"type":"article-journal","abstract":"The authors present a new molecular dynamics algorithm for sampling the canonical distribution. In this approach the velocities of all the particles are rescaled by a properly chosen random factor. The algorithm is formally justified and it is shown that, in spite of its stochastic nature, a quantity can still be defined that remains constant during the evolution. In numerical applications this quantity can be used to measure the accuracy of the sampling. The authors illustrate the properties of this new method on Lennard-Jones and TIP4P water models in the solid and liquid phases. Its performance is excellent and largely independent of the thermostat parameter also with regard to the dynamic properties. © 2007 American Institute of Physics.","container-title":"Journal of Chemical Physics","DOI":"10.1063/1.2408420","ISSN":"00219606","issue":"1","note":"PMID: 17212484\narXiv: 0803.4060\npublisher: American Institute of PhysicsAIP","page":"014101","title":"Canonical sampling through velocity rescaling","volume":"126","author":[{"family":"Bussi","given":"Giovanni"},{"family":"Donadio","given":"Davide"},{"family":"Parrinello","given":"Michele"}],"issued":{"date-parts":[["2007",1,7]]}}},{"id":"KVPiax5H/TfU7wozi","uris":["http://zotero.org/users/local/47Q9VbfG/items/TJMSUSHN"],"uri":["http://zotero.org/users/local/47Q9VbfG/items/TJMSUSHN"],"itemData":{"id":2395,"type":"article-journal","abstract":"A new Lagrangian formulation is introduced. It can be used to make molecular dynamics (MD) calculations on systems under the most general, externally applied, conditions of stress. In this formulation the MD cell shape and size can change according to dynamical equations given by this Lagrangian. This new MD technique is well suited to the study of structural transformations in solids under external stress and at finite temperature. As an example of the use of this technique we show how a single crystal of Ni behaves under uniform uniaxial compressive and tensile loads. This work confirms some of the results of static (i.e., zero temperature) calculations reported in the literature. We also show that some results regarding the stress-strain relation obtained by static calculations are invalid at finite temperature. We find that, under compressive loading, our model of Ni shows a bifurcation in its stress-strain relation; this bifurcation provides a link in configuration space between cubic and hexagonal close packing. It is suggested that such a transformation could perhaps be observed experimentally under extreme conditions of shock.","container-title":"Journal of Applied Physics","DOI":"10.1063/1.328693","ISSN":"00218979","issue":"12","note":"publisher: American Institute of PhysicsAIP","page":"7182-7190","title":"Polymorphic transitions in single crystals: A new molecular dynamics method","volume":"52","author":[{"family":"Parrinello","given":"M."},{"family":"Rahman","given":"A."}],"issued":{"date-parts":[["1981",12,14]]}}}],"schema":"https://github.com/citation-style-language/schema/raw/master/csl-citation.json"} </w:instrText>
      </w:r>
      <w:r>
        <w:rPr>
          <w:rFonts w:asciiTheme="majorHAnsi" w:hAnsiTheme="majorHAnsi" w:cstheme="majorHAnsi"/>
          <w:sz w:val="24"/>
          <w:szCs w:val="24"/>
          <w:lang w:val="en-US"/>
        </w:rPr>
        <w:fldChar w:fldCharType="separate"/>
      </w:r>
      <w:r w:rsidR="00AC048F" w:rsidRPr="00AC048F">
        <w:rPr>
          <w:rFonts w:ascii="Calibri" w:hAnsi="Calibri" w:cs="Calibri"/>
          <w:sz w:val="24"/>
        </w:rPr>
        <w:t>(Parrinello and Rahman, 1981; Berendsen et al., 1984; Bussi et al., 2007)</w:t>
      </w:r>
      <w:r>
        <w:rPr>
          <w:rFonts w:asciiTheme="majorHAnsi" w:hAnsiTheme="majorHAnsi" w:cstheme="majorHAnsi"/>
          <w:sz w:val="24"/>
          <w:szCs w:val="24"/>
          <w:lang w:val="en-US"/>
        </w:rPr>
        <w:fldChar w:fldCharType="end"/>
      </w:r>
      <w:r w:rsidRPr="00B31106">
        <w:rPr>
          <w:rFonts w:asciiTheme="majorHAnsi" w:hAnsiTheme="majorHAnsi" w:cstheme="majorHAnsi"/>
          <w:sz w:val="24"/>
          <w:szCs w:val="24"/>
        </w:rPr>
        <w:t>. In both equilibration and production simulations of the unliganded system the backbone of initially resolved residues was positionally restrained by a 1000 kJ/mol/nm^2 potential. Additionally, the reconstructed loop was thermally coupled separately from the rest of the protein and the solution, with reference temperatures of 400K, 200K, and 300K respectively. The complex of ɑ2δ-1 and FQSE peptide was not positionally restrained during the production run, and thermal coupling was performed separately for the whole protein versus non-protein entities with both reference temperatures of 300K. Both liganded and unliganded systems were modeled with the amber99sb-ildn force field</w:t>
      </w:r>
      <w:r>
        <w:rPr>
          <w:rFonts w:asciiTheme="majorHAnsi" w:hAnsiTheme="majorHAnsi" w:cstheme="majorHAnsi"/>
          <w:sz w:val="24"/>
          <w:szCs w:val="24"/>
        </w:rPr>
        <w:t xml:space="preserve"> </w:t>
      </w:r>
      <w:r>
        <w:rPr>
          <w:rFonts w:asciiTheme="majorHAnsi" w:hAnsiTheme="majorHAnsi" w:cstheme="majorHAnsi"/>
          <w:sz w:val="24"/>
          <w:szCs w:val="24"/>
        </w:rPr>
        <w:fldChar w:fldCharType="begin"/>
      </w:r>
      <w:r w:rsidR="00AC048F">
        <w:rPr>
          <w:rFonts w:asciiTheme="majorHAnsi" w:hAnsiTheme="majorHAnsi" w:cstheme="majorHAnsi"/>
          <w:sz w:val="24"/>
          <w:szCs w:val="24"/>
        </w:rPr>
        <w:instrText xml:space="preserve"> ADDIN ZOTERO_ITEM CSL_CITATION {"citationID":"q1TZzMlv","properties":{"formattedCitation":"(Lindorff-Larsen et al., 2010)","plainCitation":"(Lindorff-Larsen et al., 2010)","noteIndex":0},"citationItems":[{"id":"KVPiax5H/ZGgWLLeW","uris":["http://zotero.org/users/local/47Q9VbfG/items/ZA86MT9Z"],"uri":["http://zotero.org/users/local/47Q9VbfG/items/ZA86MT9Z"],"itemData":{"id":2392,"type":"article-journal","abstract":"Recent advances in hardware and software have enabled increasingly long molecular dynamics (MD) simulations of biomolecules, exposing certain limitations in the accuracy of the force fields used for such simulations and spurring efforts to refine these force fields. Recent modifications to the Amber and CHARMM protein force fields, for example, have improved the backbone torsion potentials, remedying deficiencies in earlier versions. Here, we further advance simulation accuracy by improving the amino acid side-chain torsion potentials of the Amber ff99SB force field. First, we used simulations of model alpha-helical systems to identify the four residue types whose rotamer distribution differed the most from expectations based on Protein Data Bank statistics. Second, we optimized the side-chain torsion potentials of these residues to match new, highlevel quantum-mechanical calculations. Finally, we used microsecond-timescale MD simulations in explicit solvent to validate the resulting force field against a large set of experimental NMR measurements that directly probe side-chain conformations. The new force field, which we have termed Amber ff99SBILDN, exhibits considerably better agreement with the NMR data. © 2010 Wiley-Liss, Inc.","container-title":"Proteins: Structure, Function and Bioinformatics","DOI":"10.1002/prot.22711","ISSN":"08873585","issue":"8","note":"PMID: 20408171\npublisher: John Wiley &amp; Sons, Ltd","page":"1950-1958","title":"Improved side-chain torsion potentials for the Amber ff99SB protein force field","volume":"78","author":[{"family":"Lindorff-Larsen","given":"Kresten"},{"family":"Piana","given":"Stefano"},{"family":"Palmo","given":"Kim"},{"family":"Maragakis","given":"Paul"},{"family":"Klepeis","given":"John L."},{"family":"Dror","given":"Ron O."},{"family":"Shaw","given":"David E."}],"issued":{"date-parts":[["2010",6,1]]}}}],"schema":"https://github.com/citation-style-language/schema/raw/master/csl-citation.json"} </w:instrText>
      </w:r>
      <w:r>
        <w:rPr>
          <w:rFonts w:asciiTheme="majorHAnsi" w:hAnsiTheme="majorHAnsi" w:cstheme="majorHAnsi"/>
          <w:sz w:val="24"/>
          <w:szCs w:val="24"/>
        </w:rPr>
        <w:fldChar w:fldCharType="separate"/>
      </w:r>
      <w:r w:rsidR="00AC048F" w:rsidRPr="00AC048F">
        <w:rPr>
          <w:rFonts w:ascii="Calibri" w:hAnsi="Calibri" w:cs="Calibri"/>
          <w:sz w:val="24"/>
        </w:rPr>
        <w:t>(Lindorff-Larsen et al., 2010)</w:t>
      </w:r>
      <w:r>
        <w:rPr>
          <w:rFonts w:asciiTheme="majorHAnsi" w:hAnsiTheme="majorHAnsi" w:cstheme="majorHAnsi"/>
          <w:sz w:val="24"/>
          <w:szCs w:val="24"/>
        </w:rPr>
        <w:fldChar w:fldCharType="end"/>
      </w:r>
      <w:r w:rsidRPr="00B31106">
        <w:rPr>
          <w:rFonts w:asciiTheme="majorHAnsi" w:hAnsiTheme="majorHAnsi" w:cstheme="majorHAnsi"/>
          <w:sz w:val="24"/>
          <w:szCs w:val="24"/>
        </w:rPr>
        <w:t>.</w:t>
      </w:r>
    </w:p>
    <w:p w14:paraId="4394BA60" w14:textId="0FB1B217" w:rsidR="006D68E2" w:rsidRDefault="006D68E2" w:rsidP="006D68E2">
      <w:pPr>
        <w:spacing w:before="240" w:after="240" w:line="240" w:lineRule="auto"/>
        <w:rPr>
          <w:rFonts w:asciiTheme="majorHAnsi" w:hAnsiTheme="majorHAnsi" w:cstheme="majorHAnsi"/>
          <w:sz w:val="24"/>
          <w:szCs w:val="24"/>
        </w:rPr>
      </w:pPr>
      <w:r w:rsidRPr="00B31106">
        <w:rPr>
          <w:rFonts w:asciiTheme="majorHAnsi" w:hAnsiTheme="majorHAnsi" w:cstheme="majorHAnsi"/>
          <w:sz w:val="24"/>
          <w:szCs w:val="24"/>
        </w:rPr>
        <w:t>GABA</w:t>
      </w:r>
      <w:r w:rsidRPr="00B31106">
        <w:rPr>
          <w:rFonts w:asciiTheme="majorHAnsi" w:hAnsiTheme="majorHAnsi" w:cstheme="majorHAnsi"/>
          <w:sz w:val="24"/>
          <w:szCs w:val="24"/>
          <w:vertAlign w:val="subscript"/>
        </w:rPr>
        <w:t>A</w:t>
      </w:r>
      <w:r w:rsidRPr="00B31106">
        <w:rPr>
          <w:rFonts w:asciiTheme="majorHAnsi" w:hAnsiTheme="majorHAnsi" w:cstheme="majorHAnsi"/>
          <w:sz w:val="24"/>
          <w:szCs w:val="24"/>
        </w:rPr>
        <w:t>R  in complex with FQSE peptide was inserted into the membrane model and solvated with CHARMM-GUI web server</w:t>
      </w:r>
      <w:r>
        <w:rPr>
          <w:rFonts w:asciiTheme="majorHAnsi" w:hAnsiTheme="majorHAnsi" w:cstheme="majorHAnsi"/>
          <w:sz w:val="24"/>
          <w:szCs w:val="24"/>
        </w:rPr>
        <w:t xml:space="preserve"> </w:t>
      </w:r>
      <w:r>
        <w:rPr>
          <w:rFonts w:asciiTheme="majorHAnsi" w:hAnsiTheme="majorHAnsi" w:cstheme="majorHAnsi"/>
          <w:sz w:val="24"/>
          <w:szCs w:val="24"/>
        </w:rPr>
        <w:fldChar w:fldCharType="begin"/>
      </w:r>
      <w:r w:rsidR="00AC048F">
        <w:rPr>
          <w:rFonts w:asciiTheme="majorHAnsi" w:hAnsiTheme="majorHAnsi" w:cstheme="majorHAnsi"/>
          <w:sz w:val="24"/>
          <w:szCs w:val="24"/>
        </w:rPr>
        <w:instrText xml:space="preserve"> ADDIN ZOTERO_ITEM CSL_CITATION {"citationID":"oIMRE4TZ","properties":{"formattedCitation":"(Jo et al., 2008)","plainCitation":"(Jo et al., 2008)","noteIndex":0},"citationItems":[{"id":"KVPiax5H/Wd5FEbGu","uris":["http://zotero.org/users/local/47Q9VbfG/items/TQ8IGPZM"],"uri":["http://zotero.org/users/local/47Q9VbfG/items/TQ8IGPZM"],"itemData":{"id":2389,"type":"article-journal","abstract":"CHARMM is an academic research program used widely for macromolecular mechanics and dynamics with versatile analysis and manipulation tools of atomic coordinates and dynamics trajectories. CHARMM-GUI, http://www.charmm-gui.org, has been developed to provide a web-based graphical user interface to generate various input files and molecular systems to facilitate and standardize the usage of common and advanced simulation techniques in CHARMM. The web environment provides an ideal platform to build and validate a molecular model system in an interactive fashion such that, if a problem is found through visual inspection, one can go back to the previous setup and regenerate the whole system again. In this article, we describe the currently available functional modules of CHARMM-GUI Input Generator that form a basis for the advanced simulation techniques. Future directions of the CHARMM-GUI development project are also discussed briefly together with other features in the CHARMM-GUI website, such as Archive and Movie Gallery. © 2008 Wiley Periodicals, Inc.","container-title":"Journal of Computational Chemistry","DOI":"10.1002/jcc.20945","ISSN":"01928651","issue":"11","note":"PMID: 18351591\npublisher: John Wiley &amp; Sons, Ltd","page":"1859-1865","title":"CHARMM-GUI: A web-based graphical user interface for CHARMM","volume":"29","author":[{"family":"Jo","given":"Sunhwan"},{"family":"Kim","given":"Taehoon"},{"family":"Iyer","given":"Vidyashankara G."},{"family":"Im","given":"Wonpil"}],"issued":{"date-parts":[["2008",8,1]]}}}],"schema":"https://github.com/citation-style-language/schema/raw/master/csl-citation.json"} </w:instrText>
      </w:r>
      <w:r>
        <w:rPr>
          <w:rFonts w:asciiTheme="majorHAnsi" w:hAnsiTheme="majorHAnsi" w:cstheme="majorHAnsi"/>
          <w:sz w:val="24"/>
          <w:szCs w:val="24"/>
        </w:rPr>
        <w:fldChar w:fldCharType="separate"/>
      </w:r>
      <w:r w:rsidR="00AC048F" w:rsidRPr="00AC048F">
        <w:rPr>
          <w:rFonts w:ascii="Calibri" w:hAnsi="Calibri" w:cs="Calibri"/>
          <w:sz w:val="24"/>
        </w:rPr>
        <w:t>(Jo et al., 2008)</w:t>
      </w:r>
      <w:r>
        <w:rPr>
          <w:rFonts w:asciiTheme="majorHAnsi" w:hAnsiTheme="majorHAnsi" w:cstheme="majorHAnsi"/>
          <w:sz w:val="24"/>
          <w:szCs w:val="24"/>
        </w:rPr>
        <w:fldChar w:fldCharType="end"/>
      </w:r>
      <w:r w:rsidRPr="00B31106">
        <w:rPr>
          <w:rFonts w:asciiTheme="majorHAnsi" w:hAnsiTheme="majorHAnsi" w:cstheme="majorHAnsi"/>
          <w:sz w:val="24"/>
          <w:szCs w:val="24"/>
        </w:rPr>
        <w:t xml:space="preserve">. After the default minimization and equilibration protocol on the server-side, inputs for production simulation in </w:t>
      </w:r>
      <w:proofErr w:type="spellStart"/>
      <w:r w:rsidRPr="00B31106">
        <w:rPr>
          <w:rFonts w:asciiTheme="majorHAnsi" w:hAnsiTheme="majorHAnsi" w:cstheme="majorHAnsi"/>
          <w:sz w:val="24"/>
          <w:szCs w:val="24"/>
        </w:rPr>
        <w:t>Gromacs</w:t>
      </w:r>
      <w:proofErr w:type="spellEnd"/>
      <w:r w:rsidRPr="00B31106">
        <w:rPr>
          <w:rFonts w:asciiTheme="majorHAnsi" w:hAnsiTheme="majorHAnsi" w:cstheme="majorHAnsi"/>
          <w:sz w:val="24"/>
          <w:szCs w:val="24"/>
        </w:rPr>
        <w:t xml:space="preserve"> were obtained</w:t>
      </w:r>
      <w:r>
        <w:rPr>
          <w:rFonts w:asciiTheme="majorHAnsi" w:hAnsiTheme="majorHAnsi" w:cstheme="majorHAnsi"/>
          <w:sz w:val="24"/>
          <w:szCs w:val="24"/>
        </w:rPr>
        <w:t xml:space="preserve"> </w:t>
      </w:r>
      <w:r>
        <w:rPr>
          <w:rFonts w:asciiTheme="majorHAnsi" w:hAnsiTheme="majorHAnsi" w:cstheme="majorHAnsi"/>
          <w:sz w:val="24"/>
          <w:szCs w:val="24"/>
        </w:rPr>
        <w:fldChar w:fldCharType="begin"/>
      </w:r>
      <w:r w:rsidR="00AC048F">
        <w:rPr>
          <w:rFonts w:asciiTheme="majorHAnsi" w:hAnsiTheme="majorHAnsi" w:cstheme="majorHAnsi"/>
          <w:sz w:val="24"/>
          <w:szCs w:val="24"/>
        </w:rPr>
        <w:instrText xml:space="preserve"> ADDIN ZOTERO_ITEM CSL_CITATION {"citationID":"aHQk1cw1","properties":{"formattedCitation":"(Lee et al., 2016)","plainCitation":"(Lee et al., 2016)","noteIndex":0},"citationItems":[{"id":"KVPiax5H/JX2w3Ex8","uris":["http://zotero.org/users/local/47Q9VbfG/items/7QRHZECS"],"uri":["http://zotero.org/users/local/47Q9VbfG/items/7QRHZECS"],"itemData":{"id":2387,"type":"article-journal","abstract":"Proper treatment of nonbonded interactions is essential for the accuracy of molecular dynamics (MD) simulations, especially in studies of lipid bilayers. The use of the CHARMM36 force field (C36 FF) in different MD simulation programs can result in disagreements with published simulations performed with CHARMM due to differences in the protocols used to treat the long-range and 1-4 nonbonded interactions. In this study, we systematically test the use of the C36 lipid FF in NAMD, GROMACS, AMBER, OpenMM, and CHARMM/OpenMM. A wide range of Lennard-Jones (LJ) cutoff schemes and integrator algorithms were tested to find the optimal simulation protocol to best match bilayer properties of six lipids with varying acyl chain saturation and head groups. MD simulations of a 1,2-dipalmitoyl-sn-phosphatidylcholine (DPPC) bilayer were used to obtain the optimal protocol for each program. MD simulations with all programs were found to reasonably match the DPPC bilayer properties (surface area per lipid, chain order parameters, and area compressibility modulus) obtained using the standard protocol used in CHARMM as well as from experiments. The optimal simulation protocol was then applied to the other five lipid simulations and resulted in excellent agreement between results from most simulation programs as well as with experimental data. AMBER compared least favorably with the expected membrane properties, which appears to be due to its use of the hard-truncation in the LJ potential versus a force-based switching function used to smooth the LJ potential as it approaches the cutoff distance. The optimal simulation protocol for each program has been implemented in CHARMM-GUI. This protocol is expected to be applicable to the remainder of the additive C36 FF including the proteins, nucleic acids, carbohydrates, and small molecules.","container-title":"Journal of Chemical Theory and Computation","DOI":"10.1021/acs.jctc.5b00935","ISSN":"15499626","issue":"1","note":"PMID: 26631602\npublisher: American Chemical Society","page":"405-413","title":"CHARMM-GUI Input Generator for NAMD, GROMACS, AMBER, OpenMM, and CHARMM/OpenMM Simulations Using the CHARMM36 Additive Force Field","volume":"12","author":[{"family":"Lee","given":"Jumin"},{"family":"Cheng","given":"Xi"},{"family":"Swails","given":"Jason M."},{"family":"Yeom","given":"Min Sun"},{"family":"Eastman","given":"Peter K."},{"family":"Lemkul","given":"Justin A."},{"family":"Wei","given":"Shuai"},{"family":"Buckner","given":"Joshua"},{"family":"Jeong","given":"Jong Cheol"},{"family":"Qi","given":"Yifei"},{"family":"Jo","given":"Sunhwan"},{"family":"Pande","given":"Vijay S."},{"family":"Case","given":"David A."},{"family":"Brooks","given":"Charles L."},{"family":"MacKerell","given":"Alexander D."},{"family":"Klauda","given":"Jeffery B."},{"family":"Im","given":"Wonpil"}],"issued":{"date-parts":[["2016",1,12]]}}}],"schema":"https://github.com/citation-style-language/schema/raw/master/csl-citation.json"} </w:instrText>
      </w:r>
      <w:r>
        <w:rPr>
          <w:rFonts w:asciiTheme="majorHAnsi" w:hAnsiTheme="majorHAnsi" w:cstheme="majorHAnsi"/>
          <w:sz w:val="24"/>
          <w:szCs w:val="24"/>
        </w:rPr>
        <w:fldChar w:fldCharType="separate"/>
      </w:r>
      <w:r w:rsidR="00AC048F" w:rsidRPr="00AC048F">
        <w:rPr>
          <w:rFonts w:ascii="Calibri" w:hAnsi="Calibri" w:cs="Calibri"/>
          <w:sz w:val="24"/>
        </w:rPr>
        <w:t>(Lee et al., 2016)</w:t>
      </w:r>
      <w:r>
        <w:rPr>
          <w:rFonts w:asciiTheme="majorHAnsi" w:hAnsiTheme="majorHAnsi" w:cstheme="majorHAnsi"/>
          <w:sz w:val="24"/>
          <w:szCs w:val="24"/>
        </w:rPr>
        <w:fldChar w:fldCharType="end"/>
      </w:r>
      <w:r w:rsidRPr="00B31106">
        <w:rPr>
          <w:rFonts w:asciiTheme="majorHAnsi" w:hAnsiTheme="majorHAnsi" w:cstheme="majorHAnsi"/>
          <w:sz w:val="24"/>
          <w:szCs w:val="24"/>
        </w:rPr>
        <w:t xml:space="preserve">. 100ns production run was performed with Velocity rescale thermostat and </w:t>
      </w:r>
      <w:proofErr w:type="spellStart"/>
      <w:r w:rsidRPr="00B31106">
        <w:rPr>
          <w:rFonts w:asciiTheme="majorHAnsi" w:hAnsiTheme="majorHAnsi" w:cstheme="majorHAnsi"/>
          <w:sz w:val="24"/>
          <w:szCs w:val="24"/>
        </w:rPr>
        <w:t>Parrinello</w:t>
      </w:r>
      <w:proofErr w:type="spellEnd"/>
      <w:r w:rsidRPr="00B31106">
        <w:rPr>
          <w:rFonts w:asciiTheme="majorHAnsi" w:hAnsiTheme="majorHAnsi" w:cstheme="majorHAnsi"/>
          <w:sz w:val="24"/>
          <w:szCs w:val="24"/>
        </w:rPr>
        <w:t xml:space="preserve">-Rahman </w:t>
      </w:r>
      <w:proofErr w:type="spellStart"/>
      <w:r w:rsidRPr="00B31106">
        <w:rPr>
          <w:rFonts w:asciiTheme="majorHAnsi" w:hAnsiTheme="majorHAnsi" w:cstheme="majorHAnsi"/>
          <w:sz w:val="24"/>
          <w:szCs w:val="24"/>
        </w:rPr>
        <w:t>barostat</w:t>
      </w:r>
      <w:proofErr w:type="spellEnd"/>
      <w:r w:rsidRPr="00B31106">
        <w:rPr>
          <w:rFonts w:asciiTheme="majorHAnsi" w:hAnsiTheme="majorHAnsi" w:cstheme="majorHAnsi"/>
          <w:sz w:val="24"/>
          <w:szCs w:val="24"/>
        </w:rPr>
        <w:t xml:space="preserve"> in semi-isotropic setup.</w:t>
      </w:r>
    </w:p>
    <w:p w14:paraId="310C1AAB" w14:textId="77777777" w:rsidR="006D68E2" w:rsidRDefault="006D68E2">
      <w:pPr>
        <w:rPr>
          <w:rFonts w:asciiTheme="majorHAnsi" w:hAnsiTheme="majorHAnsi" w:cstheme="majorHAnsi"/>
          <w:b/>
          <w:sz w:val="24"/>
          <w:szCs w:val="24"/>
        </w:rPr>
      </w:pPr>
      <w:r>
        <w:rPr>
          <w:rFonts w:asciiTheme="majorHAnsi" w:hAnsiTheme="majorHAnsi" w:cstheme="majorHAnsi"/>
          <w:b/>
          <w:sz w:val="24"/>
          <w:szCs w:val="24"/>
        </w:rPr>
        <w:br w:type="page"/>
      </w:r>
    </w:p>
    <w:p w14:paraId="511921B3" w14:textId="3F1F5BA8" w:rsidR="000D4CEE" w:rsidRPr="00B31106" w:rsidRDefault="001B0239" w:rsidP="001B0239">
      <w:pPr>
        <w:pStyle w:val="Heading1"/>
        <w:spacing w:before="240" w:after="240"/>
        <w:jc w:val="center"/>
        <w:rPr>
          <w:rFonts w:asciiTheme="majorHAnsi" w:hAnsiTheme="majorHAnsi" w:cstheme="majorHAnsi"/>
          <w:b/>
          <w:sz w:val="24"/>
          <w:szCs w:val="24"/>
        </w:rPr>
      </w:pPr>
      <w:r w:rsidRPr="00B31106">
        <w:rPr>
          <w:rFonts w:asciiTheme="majorHAnsi" w:hAnsiTheme="majorHAnsi" w:cstheme="majorHAnsi"/>
          <w:b/>
          <w:sz w:val="24"/>
          <w:szCs w:val="24"/>
        </w:rPr>
        <w:lastRenderedPageBreak/>
        <w:t>Supplementary Figures</w:t>
      </w:r>
    </w:p>
    <w:p w14:paraId="26995D40" w14:textId="2CB253D9" w:rsidR="006D68E2" w:rsidRDefault="006D68E2" w:rsidP="006D68E2">
      <w:pPr>
        <w:spacing w:before="240" w:after="240" w:line="240" w:lineRule="auto"/>
        <w:rPr>
          <w:rFonts w:asciiTheme="majorHAnsi" w:hAnsiTheme="majorHAnsi" w:cstheme="majorHAnsi"/>
          <w:i/>
          <w:sz w:val="24"/>
          <w:szCs w:val="24"/>
        </w:rPr>
      </w:pPr>
      <w:r>
        <w:rPr>
          <w:rFonts w:asciiTheme="majorHAnsi" w:hAnsiTheme="majorHAnsi" w:cstheme="majorHAnsi"/>
          <w:i/>
          <w:noProof/>
          <w:sz w:val="24"/>
          <w:szCs w:val="24"/>
        </w:rPr>
        <w:drawing>
          <wp:inline distT="0" distB="0" distL="0" distR="0" wp14:anchorId="50476C32" wp14:editId="2A37A187">
            <wp:extent cx="5733415" cy="2618105"/>
            <wp:effectExtent l="0" t="0" r="635" b="0"/>
            <wp:docPr id="1" name="Picture 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3415" cy="2618105"/>
                    </a:xfrm>
                    <a:prstGeom prst="rect">
                      <a:avLst/>
                    </a:prstGeom>
                  </pic:spPr>
                </pic:pic>
              </a:graphicData>
            </a:graphic>
          </wp:inline>
        </w:drawing>
      </w:r>
    </w:p>
    <w:p w14:paraId="0B453EFD" w14:textId="35C02006" w:rsidR="000D4CEE" w:rsidRPr="00B31106" w:rsidRDefault="001B0239" w:rsidP="006D68E2">
      <w:pPr>
        <w:spacing w:before="240" w:after="240" w:line="240" w:lineRule="auto"/>
        <w:rPr>
          <w:rFonts w:asciiTheme="majorHAnsi" w:hAnsiTheme="majorHAnsi" w:cstheme="majorHAnsi"/>
          <w:sz w:val="24"/>
          <w:szCs w:val="24"/>
        </w:rPr>
      </w:pPr>
      <w:r w:rsidRPr="00B31106">
        <w:rPr>
          <w:rFonts w:asciiTheme="majorHAnsi" w:hAnsiTheme="majorHAnsi" w:cstheme="majorHAnsi"/>
          <w:i/>
          <w:sz w:val="24"/>
          <w:szCs w:val="24"/>
        </w:rPr>
        <w:t xml:space="preserve">Figure S1. </w:t>
      </w:r>
      <w:r w:rsidRPr="00B31106">
        <w:rPr>
          <w:rFonts w:asciiTheme="majorHAnsi" w:hAnsiTheme="majorHAnsi" w:cstheme="majorHAnsi"/>
          <w:b/>
          <w:sz w:val="24"/>
          <w:szCs w:val="24"/>
        </w:rPr>
        <w:t>Identification of a GABA</w:t>
      </w:r>
      <w:r w:rsidRPr="00B31106">
        <w:rPr>
          <w:rFonts w:asciiTheme="majorHAnsi" w:hAnsiTheme="majorHAnsi" w:cstheme="majorHAnsi"/>
          <w:b/>
          <w:sz w:val="24"/>
          <w:szCs w:val="24"/>
          <w:vertAlign w:val="subscript"/>
        </w:rPr>
        <w:t xml:space="preserve">A </w:t>
      </w:r>
      <w:r w:rsidRPr="00B31106">
        <w:rPr>
          <w:rFonts w:asciiTheme="majorHAnsi" w:hAnsiTheme="majorHAnsi" w:cstheme="majorHAnsi"/>
          <w:b/>
          <w:sz w:val="24"/>
          <w:szCs w:val="24"/>
        </w:rPr>
        <w:t>receptor binding site of interest. A.</w:t>
      </w:r>
      <w:r w:rsidRPr="00B31106">
        <w:rPr>
          <w:rFonts w:asciiTheme="majorHAnsi" w:hAnsiTheme="majorHAnsi" w:cstheme="majorHAnsi"/>
          <w:sz w:val="24"/>
          <w:szCs w:val="24"/>
        </w:rPr>
        <w:t xml:space="preserve"> Spatial clustering of best docking poses of the hydrolysate peptides in the </w:t>
      </w:r>
      <w:r w:rsidRPr="00B31106">
        <w:rPr>
          <w:rFonts w:asciiTheme="majorHAnsi" w:hAnsiTheme="majorHAnsi" w:cstheme="majorHAnsi"/>
          <w:color w:val="222222"/>
          <w:sz w:val="24"/>
          <w:szCs w:val="24"/>
          <w:highlight w:val="white"/>
        </w:rPr>
        <w:t>ɑ1β2γ2</w:t>
      </w:r>
      <w:r w:rsidRPr="00B31106">
        <w:rPr>
          <w:rFonts w:asciiTheme="majorHAnsi" w:hAnsiTheme="majorHAnsi" w:cstheme="majorHAnsi"/>
          <w:sz w:val="24"/>
          <w:szCs w:val="24"/>
        </w:rPr>
        <w:t xml:space="preserve"> GABA</w:t>
      </w:r>
      <w:r w:rsidRPr="00B31106">
        <w:rPr>
          <w:rFonts w:asciiTheme="majorHAnsi" w:hAnsiTheme="majorHAnsi" w:cstheme="majorHAnsi"/>
          <w:sz w:val="24"/>
          <w:szCs w:val="24"/>
          <w:vertAlign w:val="subscript"/>
        </w:rPr>
        <w:t>A</w:t>
      </w:r>
      <w:r w:rsidRPr="00B31106">
        <w:rPr>
          <w:rFonts w:asciiTheme="majorHAnsi" w:hAnsiTheme="majorHAnsi" w:cstheme="majorHAnsi"/>
          <w:sz w:val="24"/>
          <w:szCs w:val="24"/>
        </w:rPr>
        <w:t xml:space="preserve">R models. </w:t>
      </w:r>
      <w:r w:rsidRPr="00B31106">
        <w:rPr>
          <w:rFonts w:asciiTheme="majorHAnsi" w:hAnsiTheme="majorHAnsi" w:cstheme="majorHAnsi"/>
          <w:sz w:val="24"/>
          <w:szCs w:val="24"/>
          <w:highlight w:val="white"/>
        </w:rPr>
        <w:t>The transmembrane domains of four</w:t>
      </w:r>
      <w:r w:rsidRPr="00B31106">
        <w:rPr>
          <w:rFonts w:asciiTheme="majorHAnsi" w:hAnsiTheme="majorHAnsi" w:cstheme="majorHAnsi"/>
          <w:sz w:val="24"/>
          <w:szCs w:val="24"/>
        </w:rPr>
        <w:t xml:space="preserve"> GABA</w:t>
      </w:r>
      <w:r w:rsidRPr="00B31106">
        <w:rPr>
          <w:rFonts w:asciiTheme="majorHAnsi" w:hAnsiTheme="majorHAnsi" w:cstheme="majorHAnsi"/>
          <w:sz w:val="24"/>
          <w:szCs w:val="24"/>
          <w:vertAlign w:val="subscript"/>
        </w:rPr>
        <w:t>A</w:t>
      </w:r>
      <w:r w:rsidRPr="00B31106">
        <w:rPr>
          <w:rFonts w:asciiTheme="majorHAnsi" w:hAnsiTheme="majorHAnsi" w:cstheme="majorHAnsi"/>
          <w:sz w:val="24"/>
          <w:szCs w:val="24"/>
        </w:rPr>
        <w:t>R</w:t>
      </w:r>
      <w:r w:rsidRPr="00B31106">
        <w:rPr>
          <w:rFonts w:asciiTheme="majorHAnsi" w:hAnsiTheme="majorHAnsi" w:cstheme="majorHAnsi"/>
          <w:sz w:val="24"/>
          <w:szCs w:val="24"/>
          <w:highlight w:val="white"/>
        </w:rPr>
        <w:t xml:space="preserve"> subunits are shown as α-helical structures with the transmembrane binding pocket </w:t>
      </w:r>
      <w:r w:rsidRPr="00B31106">
        <w:rPr>
          <w:rFonts w:asciiTheme="majorHAnsi" w:hAnsiTheme="majorHAnsi" w:cstheme="majorHAnsi"/>
          <w:sz w:val="24"/>
          <w:szCs w:val="24"/>
        </w:rPr>
        <w:t xml:space="preserve">encircled in black. </w:t>
      </w:r>
      <w:r w:rsidRPr="00B31106">
        <w:rPr>
          <w:rFonts w:asciiTheme="majorHAnsi" w:hAnsiTheme="majorHAnsi" w:cstheme="majorHAnsi"/>
          <w:b/>
          <w:sz w:val="24"/>
          <w:szCs w:val="24"/>
        </w:rPr>
        <w:t>B.</w:t>
      </w:r>
      <w:r w:rsidRPr="00B31106">
        <w:rPr>
          <w:rFonts w:asciiTheme="majorHAnsi" w:hAnsiTheme="majorHAnsi" w:cstheme="majorHAnsi"/>
          <w:sz w:val="24"/>
          <w:szCs w:val="24"/>
        </w:rPr>
        <w:t xml:space="preserve"> Spatial clustering of allopregnanolone with the best docking poses of the </w:t>
      </w:r>
      <w:r w:rsidRPr="00B31106">
        <w:rPr>
          <w:rFonts w:asciiTheme="majorHAnsi" w:hAnsiTheme="majorHAnsi" w:cstheme="majorHAnsi"/>
          <w:color w:val="222222"/>
          <w:sz w:val="24"/>
          <w:szCs w:val="24"/>
          <w:highlight w:val="white"/>
        </w:rPr>
        <w:t>ɑ1β2γ2</w:t>
      </w:r>
      <w:r w:rsidRPr="00B31106">
        <w:rPr>
          <w:rFonts w:asciiTheme="majorHAnsi" w:hAnsiTheme="majorHAnsi" w:cstheme="majorHAnsi"/>
          <w:sz w:val="24"/>
          <w:szCs w:val="24"/>
        </w:rPr>
        <w:t xml:space="preserve"> GABA</w:t>
      </w:r>
      <w:r w:rsidRPr="00B31106">
        <w:rPr>
          <w:rFonts w:asciiTheme="majorHAnsi" w:hAnsiTheme="majorHAnsi" w:cstheme="majorHAnsi"/>
          <w:sz w:val="24"/>
          <w:szCs w:val="24"/>
          <w:vertAlign w:val="subscript"/>
        </w:rPr>
        <w:t>A</w:t>
      </w:r>
      <w:r w:rsidRPr="00B31106">
        <w:rPr>
          <w:rFonts w:asciiTheme="majorHAnsi" w:hAnsiTheme="majorHAnsi" w:cstheme="majorHAnsi"/>
          <w:sz w:val="24"/>
          <w:szCs w:val="24"/>
        </w:rPr>
        <w:t xml:space="preserve">R models. </w:t>
      </w:r>
      <w:r w:rsidRPr="00B31106">
        <w:rPr>
          <w:rFonts w:asciiTheme="majorHAnsi" w:hAnsiTheme="majorHAnsi" w:cstheme="majorHAnsi"/>
          <w:b/>
          <w:sz w:val="24"/>
          <w:szCs w:val="24"/>
        </w:rPr>
        <w:t xml:space="preserve">C. </w:t>
      </w:r>
      <w:r w:rsidRPr="00B31106">
        <w:rPr>
          <w:rFonts w:asciiTheme="majorHAnsi" w:hAnsiTheme="majorHAnsi" w:cstheme="majorHAnsi"/>
          <w:sz w:val="24"/>
          <w:szCs w:val="24"/>
        </w:rPr>
        <w:t xml:space="preserve">Spatial clustering of the best docking poses for pregnenolone sulfate in the </w:t>
      </w:r>
      <w:r w:rsidRPr="00B31106">
        <w:rPr>
          <w:rFonts w:asciiTheme="majorHAnsi" w:hAnsiTheme="majorHAnsi" w:cstheme="majorHAnsi"/>
          <w:color w:val="222222"/>
          <w:sz w:val="24"/>
          <w:szCs w:val="24"/>
          <w:highlight w:val="white"/>
        </w:rPr>
        <w:t>ɑ1β2γ2</w:t>
      </w:r>
      <w:r w:rsidRPr="00B31106">
        <w:rPr>
          <w:rFonts w:asciiTheme="majorHAnsi" w:hAnsiTheme="majorHAnsi" w:cstheme="majorHAnsi"/>
          <w:sz w:val="24"/>
          <w:szCs w:val="24"/>
        </w:rPr>
        <w:t xml:space="preserve"> GABA</w:t>
      </w:r>
      <w:r w:rsidRPr="00B31106">
        <w:rPr>
          <w:rFonts w:asciiTheme="majorHAnsi" w:hAnsiTheme="majorHAnsi" w:cstheme="majorHAnsi"/>
          <w:sz w:val="24"/>
          <w:szCs w:val="24"/>
          <w:vertAlign w:val="subscript"/>
        </w:rPr>
        <w:t>A</w:t>
      </w:r>
      <w:r w:rsidRPr="00B31106">
        <w:rPr>
          <w:rFonts w:asciiTheme="majorHAnsi" w:hAnsiTheme="majorHAnsi" w:cstheme="majorHAnsi"/>
          <w:sz w:val="24"/>
          <w:szCs w:val="24"/>
        </w:rPr>
        <w:t xml:space="preserve"> receptor models. Black dashes indicate the docking box used for subsequent Peptimize calculations.</w:t>
      </w:r>
    </w:p>
    <w:p w14:paraId="3539C256" w14:textId="6FC92C4B" w:rsidR="006D68E2" w:rsidRDefault="006D68E2" w:rsidP="006D68E2">
      <w:pPr>
        <w:spacing w:before="240" w:after="240" w:line="240" w:lineRule="auto"/>
        <w:rPr>
          <w:rFonts w:asciiTheme="majorHAnsi" w:hAnsiTheme="majorHAnsi" w:cstheme="majorHAnsi"/>
          <w:i/>
          <w:sz w:val="24"/>
          <w:szCs w:val="24"/>
        </w:rPr>
      </w:pPr>
      <w:r>
        <w:rPr>
          <w:rFonts w:asciiTheme="majorHAnsi" w:hAnsiTheme="majorHAnsi" w:cstheme="majorHAnsi"/>
          <w:i/>
          <w:noProof/>
          <w:sz w:val="24"/>
          <w:szCs w:val="24"/>
        </w:rPr>
        <w:lastRenderedPageBreak/>
        <w:drawing>
          <wp:inline distT="0" distB="0" distL="0" distR="0" wp14:anchorId="13B52958" wp14:editId="7584B344">
            <wp:extent cx="5733415" cy="4300220"/>
            <wp:effectExtent l="0" t="0" r="635" b="508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3415" cy="4300220"/>
                    </a:xfrm>
                    <a:prstGeom prst="rect">
                      <a:avLst/>
                    </a:prstGeom>
                  </pic:spPr>
                </pic:pic>
              </a:graphicData>
            </a:graphic>
          </wp:inline>
        </w:drawing>
      </w:r>
    </w:p>
    <w:p w14:paraId="057F5D77" w14:textId="333C8EA9" w:rsidR="006307DD" w:rsidRDefault="001B0239" w:rsidP="006D68E2">
      <w:pPr>
        <w:spacing w:before="240" w:after="240" w:line="240" w:lineRule="auto"/>
        <w:rPr>
          <w:rFonts w:asciiTheme="majorHAnsi" w:hAnsiTheme="majorHAnsi" w:cstheme="majorHAnsi"/>
          <w:sz w:val="24"/>
          <w:szCs w:val="24"/>
        </w:rPr>
      </w:pPr>
      <w:r w:rsidRPr="00B31106">
        <w:rPr>
          <w:rFonts w:asciiTheme="majorHAnsi" w:hAnsiTheme="majorHAnsi" w:cstheme="majorHAnsi"/>
          <w:i/>
          <w:sz w:val="24"/>
          <w:szCs w:val="24"/>
        </w:rPr>
        <w:t xml:space="preserve">Figure S2. </w:t>
      </w:r>
      <w:r w:rsidRPr="00B31106">
        <w:rPr>
          <w:rFonts w:asciiTheme="majorHAnsi" w:hAnsiTheme="majorHAnsi" w:cstheme="majorHAnsi"/>
          <w:b/>
          <w:sz w:val="24"/>
          <w:szCs w:val="24"/>
        </w:rPr>
        <w:t>Dynamics of the reconstructed Pro913-Met972</w:t>
      </w:r>
      <w:r w:rsidRPr="00B31106">
        <w:rPr>
          <w:rFonts w:asciiTheme="majorHAnsi" w:hAnsiTheme="majorHAnsi" w:cstheme="majorHAnsi"/>
          <w:sz w:val="24"/>
          <w:szCs w:val="24"/>
        </w:rPr>
        <w:t xml:space="preserve"> </w:t>
      </w:r>
      <w:r w:rsidRPr="00B31106">
        <w:rPr>
          <w:rFonts w:asciiTheme="majorHAnsi" w:hAnsiTheme="majorHAnsi" w:cstheme="majorHAnsi"/>
          <w:b/>
          <w:sz w:val="24"/>
          <w:szCs w:val="24"/>
        </w:rPr>
        <w:t xml:space="preserve">loop of ɑ2δ-1 VGCC. </w:t>
      </w:r>
      <w:r w:rsidRPr="00B31106">
        <w:rPr>
          <w:rFonts w:asciiTheme="majorHAnsi" w:hAnsiTheme="majorHAnsi" w:cstheme="majorHAnsi"/>
          <w:sz w:val="24"/>
          <w:szCs w:val="24"/>
        </w:rPr>
        <w:t>The solid line represents the moving average of a 40 ns window.</w:t>
      </w:r>
      <w:bookmarkStart w:id="0" w:name="_c06o5d8esvpm" w:colFirst="0" w:colLast="0"/>
      <w:bookmarkEnd w:id="0"/>
    </w:p>
    <w:p w14:paraId="2B72EF4B" w14:textId="4AF18D72" w:rsidR="006D68E2" w:rsidRDefault="006D68E2" w:rsidP="006D68E2">
      <w:pPr>
        <w:spacing w:before="240" w:line="240" w:lineRule="auto"/>
        <w:rPr>
          <w:rFonts w:asciiTheme="majorHAnsi" w:hAnsiTheme="majorHAnsi" w:cstheme="majorHAnsi"/>
          <w:i/>
          <w:sz w:val="24"/>
          <w:szCs w:val="24"/>
        </w:rPr>
      </w:pPr>
      <w:r>
        <w:rPr>
          <w:rFonts w:asciiTheme="majorHAnsi" w:hAnsiTheme="majorHAnsi" w:cstheme="majorHAnsi"/>
          <w:i/>
          <w:noProof/>
          <w:sz w:val="24"/>
          <w:szCs w:val="24"/>
        </w:rPr>
        <w:drawing>
          <wp:inline distT="0" distB="0" distL="0" distR="0" wp14:anchorId="2FCC28DB" wp14:editId="45E2C7D4">
            <wp:extent cx="5733415" cy="2773045"/>
            <wp:effectExtent l="0" t="0" r="635" b="8255"/>
            <wp:docPr id="3" name="Picture 3"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map&#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3415" cy="2773045"/>
                    </a:xfrm>
                    <a:prstGeom prst="rect">
                      <a:avLst/>
                    </a:prstGeom>
                  </pic:spPr>
                </pic:pic>
              </a:graphicData>
            </a:graphic>
          </wp:inline>
        </w:drawing>
      </w:r>
    </w:p>
    <w:p w14:paraId="3C6A003A" w14:textId="7EDE265E" w:rsidR="006D68E2" w:rsidRDefault="001B0239" w:rsidP="006D68E2">
      <w:pPr>
        <w:spacing w:before="240" w:line="240" w:lineRule="auto"/>
        <w:rPr>
          <w:rFonts w:asciiTheme="majorHAnsi" w:hAnsiTheme="majorHAnsi" w:cstheme="majorHAnsi"/>
          <w:sz w:val="24"/>
          <w:szCs w:val="24"/>
        </w:rPr>
      </w:pPr>
      <w:r w:rsidRPr="00B31106">
        <w:rPr>
          <w:rFonts w:asciiTheme="majorHAnsi" w:hAnsiTheme="majorHAnsi" w:cstheme="majorHAnsi"/>
          <w:i/>
          <w:sz w:val="24"/>
          <w:szCs w:val="24"/>
        </w:rPr>
        <w:t xml:space="preserve">Figure S3. </w:t>
      </w:r>
      <w:r w:rsidRPr="00B31106">
        <w:rPr>
          <w:rFonts w:asciiTheme="majorHAnsi" w:hAnsiTheme="majorHAnsi" w:cstheme="majorHAnsi"/>
          <w:b/>
          <w:sz w:val="24"/>
          <w:szCs w:val="24"/>
        </w:rPr>
        <w:t xml:space="preserve">Identification of an ɑ2δ-1 VGCC binding site. A. </w:t>
      </w:r>
      <w:r w:rsidRPr="00B31106">
        <w:rPr>
          <w:rFonts w:asciiTheme="majorHAnsi" w:hAnsiTheme="majorHAnsi" w:cstheme="majorHAnsi"/>
          <w:sz w:val="24"/>
          <w:szCs w:val="24"/>
        </w:rPr>
        <w:t xml:space="preserve">Spatial clustering of the best docking poses for the hydrolysate peptides against the 700 ns ɑ2δ-1 model.  </w:t>
      </w:r>
      <w:r w:rsidRPr="00B31106">
        <w:rPr>
          <w:rFonts w:asciiTheme="majorHAnsi" w:hAnsiTheme="majorHAnsi" w:cstheme="majorHAnsi"/>
          <w:b/>
          <w:sz w:val="24"/>
          <w:szCs w:val="24"/>
        </w:rPr>
        <w:t>B.</w:t>
      </w:r>
      <w:r w:rsidRPr="00B31106">
        <w:rPr>
          <w:rFonts w:asciiTheme="majorHAnsi" w:hAnsiTheme="majorHAnsi" w:cstheme="majorHAnsi"/>
          <w:sz w:val="24"/>
          <w:szCs w:val="24"/>
        </w:rPr>
        <w:t xml:space="preserve"> Spatial clustering of the best docking poses for pregabalin on the 700 ns ɑ2δ-1 model.  </w:t>
      </w:r>
      <w:r w:rsidRPr="00B31106">
        <w:rPr>
          <w:rFonts w:asciiTheme="majorHAnsi" w:hAnsiTheme="majorHAnsi" w:cstheme="majorHAnsi"/>
          <w:b/>
          <w:sz w:val="24"/>
          <w:szCs w:val="24"/>
        </w:rPr>
        <w:t xml:space="preserve">C. </w:t>
      </w:r>
      <w:r w:rsidRPr="00B31106">
        <w:rPr>
          <w:rFonts w:asciiTheme="majorHAnsi" w:hAnsiTheme="majorHAnsi" w:cstheme="majorHAnsi"/>
          <w:sz w:val="24"/>
          <w:szCs w:val="24"/>
        </w:rPr>
        <w:t>Spatial clustering of the best docking poses for gabapentin on ɑ2δ-1 VGCC. Black dashes indicate the docking box used for subsequent Peptimize calculations.</w:t>
      </w:r>
      <w:bookmarkStart w:id="1" w:name="_jl5vcace1gwl" w:colFirst="0" w:colLast="0"/>
      <w:bookmarkStart w:id="2" w:name="_yvzgkkknw1h5" w:colFirst="0" w:colLast="0"/>
      <w:bookmarkEnd w:id="1"/>
      <w:bookmarkEnd w:id="2"/>
    </w:p>
    <w:p w14:paraId="5FE71BAF" w14:textId="58C8488B" w:rsidR="006D68E2" w:rsidRDefault="006D68E2" w:rsidP="006D68E2">
      <w:pPr>
        <w:spacing w:before="240" w:line="240" w:lineRule="auto"/>
        <w:rPr>
          <w:rFonts w:asciiTheme="majorHAnsi" w:hAnsiTheme="majorHAnsi" w:cstheme="majorHAnsi"/>
          <w:i/>
          <w:sz w:val="24"/>
          <w:szCs w:val="24"/>
        </w:rPr>
      </w:pPr>
      <w:r>
        <w:rPr>
          <w:rFonts w:asciiTheme="majorHAnsi" w:hAnsiTheme="majorHAnsi" w:cstheme="majorHAnsi"/>
          <w:i/>
          <w:noProof/>
          <w:sz w:val="24"/>
          <w:szCs w:val="24"/>
        </w:rPr>
        <w:lastRenderedPageBreak/>
        <w:drawing>
          <wp:inline distT="0" distB="0" distL="0" distR="0" wp14:anchorId="1693F249" wp14:editId="5716E698">
            <wp:extent cx="5733415" cy="8401685"/>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3415" cy="8401685"/>
                    </a:xfrm>
                    <a:prstGeom prst="rect">
                      <a:avLst/>
                    </a:prstGeom>
                  </pic:spPr>
                </pic:pic>
              </a:graphicData>
            </a:graphic>
          </wp:inline>
        </w:drawing>
      </w:r>
    </w:p>
    <w:p w14:paraId="504923CE" w14:textId="350604D3" w:rsidR="00157D7E" w:rsidRDefault="001B0239" w:rsidP="006D68E2">
      <w:pPr>
        <w:spacing w:before="240" w:line="240" w:lineRule="auto"/>
        <w:rPr>
          <w:rFonts w:asciiTheme="majorHAnsi" w:hAnsiTheme="majorHAnsi" w:cstheme="majorHAnsi"/>
          <w:sz w:val="24"/>
          <w:szCs w:val="24"/>
        </w:rPr>
      </w:pPr>
      <w:r w:rsidRPr="00B31106">
        <w:rPr>
          <w:rFonts w:asciiTheme="majorHAnsi" w:hAnsiTheme="majorHAnsi" w:cstheme="majorHAnsi"/>
          <w:i/>
          <w:sz w:val="24"/>
          <w:szCs w:val="24"/>
        </w:rPr>
        <w:lastRenderedPageBreak/>
        <w:t xml:space="preserve">Figure S4. </w:t>
      </w:r>
      <w:r w:rsidRPr="00B31106">
        <w:rPr>
          <w:rFonts w:asciiTheme="majorHAnsi" w:hAnsiTheme="majorHAnsi" w:cstheme="majorHAnsi"/>
          <w:b/>
          <w:sz w:val="24"/>
          <w:szCs w:val="24"/>
        </w:rPr>
        <w:t>Anxiolytic- and antidepressant-like efficacy of LCGA-17 in</w:t>
      </w:r>
      <w:r w:rsidRPr="00B31106">
        <w:rPr>
          <w:rFonts w:asciiTheme="majorHAnsi" w:hAnsiTheme="majorHAnsi" w:cstheme="majorHAnsi"/>
          <w:b/>
          <w:sz w:val="24"/>
          <w:szCs w:val="24"/>
          <w:highlight w:val="white"/>
        </w:rPr>
        <w:t xml:space="preserve"> mice with the different LCGA-17-treatment groups (1, 5, 10, and 20 mg/kg, n = 13 each) combined.</w:t>
      </w:r>
      <w:bookmarkStart w:id="3" w:name="_i6ur0g4jl9dk" w:colFirst="0" w:colLast="0"/>
      <w:bookmarkEnd w:id="3"/>
      <w:r w:rsidR="006D68E2">
        <w:rPr>
          <w:rFonts w:asciiTheme="majorHAnsi" w:hAnsiTheme="majorHAnsi" w:cstheme="majorHAnsi"/>
          <w:b/>
          <w:sz w:val="24"/>
          <w:szCs w:val="24"/>
          <w:highlight w:val="white"/>
        </w:rPr>
        <w:t xml:space="preserve"> </w:t>
      </w:r>
      <w:r w:rsidR="006D68E2">
        <w:rPr>
          <w:rFonts w:asciiTheme="majorHAnsi" w:hAnsiTheme="majorHAnsi" w:cstheme="majorHAnsi"/>
          <w:b/>
          <w:sz w:val="24"/>
          <w:szCs w:val="24"/>
          <w:highlight w:val="white"/>
        </w:rPr>
        <w:br/>
      </w:r>
      <w:r w:rsidRPr="00B31106">
        <w:rPr>
          <w:rFonts w:asciiTheme="majorHAnsi" w:hAnsiTheme="majorHAnsi" w:cstheme="majorHAnsi"/>
          <w:b/>
          <w:sz w:val="24"/>
          <w:szCs w:val="24"/>
          <w:highlight w:val="white"/>
        </w:rPr>
        <w:t>A-D</w:t>
      </w:r>
      <w:r w:rsidRPr="00B31106">
        <w:rPr>
          <w:rFonts w:asciiTheme="majorHAnsi" w:hAnsiTheme="majorHAnsi" w:cstheme="majorHAnsi"/>
          <w:sz w:val="24"/>
          <w:szCs w:val="24"/>
          <w:highlight w:val="white"/>
        </w:rPr>
        <w:t xml:space="preserve">) In the EPM, LCGA-17 increased the percentage of time spent on open arms [H(2, 73) = 10.2; p = 0.006] similar to </w:t>
      </w:r>
      <w:r w:rsidRPr="001B0239">
        <w:rPr>
          <w:rFonts w:asciiTheme="majorHAnsi" w:hAnsiTheme="majorHAnsi" w:cstheme="majorHAnsi"/>
          <w:sz w:val="24"/>
          <w:szCs w:val="24"/>
        </w:rPr>
        <w:t xml:space="preserve">diazepam (p = 0.01, </w:t>
      </w:r>
      <w:r w:rsidRPr="00B31106">
        <w:rPr>
          <w:rFonts w:asciiTheme="majorHAnsi" w:hAnsiTheme="majorHAnsi" w:cstheme="majorHAnsi"/>
          <w:sz w:val="24"/>
          <w:szCs w:val="24"/>
          <w:highlight w:val="white"/>
        </w:rPr>
        <w:t xml:space="preserve">0.75 mg/kg)(A). An anxiolytic-like effect of LCGA-17 was also observed based on percent open arm entries [H(2, 73) = 8.3; p = 0.001](B) and Anxiety Index [H(2, 73) = 10.5; p = 0.005](C). LCGA-17 had no effect on total arm entries, in contrast to diazepam [H(2, 73) = 6.8; p = 0.03](D). </w:t>
      </w:r>
      <w:r w:rsidRPr="00B31106">
        <w:rPr>
          <w:rFonts w:asciiTheme="majorHAnsi" w:hAnsiTheme="majorHAnsi" w:cstheme="majorHAnsi"/>
          <w:b/>
          <w:sz w:val="24"/>
          <w:szCs w:val="24"/>
          <w:highlight w:val="white"/>
        </w:rPr>
        <w:t>E, F</w:t>
      </w:r>
      <w:r w:rsidRPr="00B31106">
        <w:rPr>
          <w:rFonts w:asciiTheme="majorHAnsi" w:hAnsiTheme="majorHAnsi" w:cstheme="majorHAnsi"/>
          <w:sz w:val="24"/>
          <w:szCs w:val="24"/>
          <w:highlight w:val="white"/>
        </w:rPr>
        <w:t xml:space="preserve">) In the OFT, LCGA-17 and diazepam increased the distance traveled [H(2, 73) = 10.0; p = 0.007](Е). LCGA-17 also increased time spent in the center of the arena [Н(2, 73)= 9.2; p=0.01](F). </w:t>
      </w:r>
      <w:r w:rsidRPr="00B31106">
        <w:rPr>
          <w:rFonts w:asciiTheme="majorHAnsi" w:hAnsiTheme="majorHAnsi" w:cstheme="majorHAnsi"/>
          <w:b/>
          <w:sz w:val="24"/>
          <w:szCs w:val="24"/>
          <w:highlight w:val="white"/>
        </w:rPr>
        <w:t>G</w:t>
      </w:r>
      <w:r w:rsidRPr="00B31106">
        <w:rPr>
          <w:rFonts w:asciiTheme="majorHAnsi" w:hAnsiTheme="majorHAnsi" w:cstheme="majorHAnsi"/>
          <w:sz w:val="24"/>
          <w:szCs w:val="24"/>
          <w:highlight w:val="white"/>
        </w:rPr>
        <w:t xml:space="preserve">) In the MBT, LCGA-17 reduced the number of marbles buried similar to diazepam, indicating an anxiolytic response [H(2, 73)=10.0; p = 0.007]. </w:t>
      </w:r>
      <w:r w:rsidRPr="00B31106">
        <w:rPr>
          <w:rFonts w:asciiTheme="majorHAnsi" w:hAnsiTheme="majorHAnsi" w:cstheme="majorHAnsi"/>
          <w:b/>
          <w:sz w:val="24"/>
          <w:szCs w:val="24"/>
          <w:highlight w:val="white"/>
        </w:rPr>
        <w:t>H</w:t>
      </w:r>
      <w:r w:rsidRPr="00B31106">
        <w:rPr>
          <w:rFonts w:asciiTheme="majorHAnsi" w:hAnsiTheme="majorHAnsi" w:cstheme="majorHAnsi"/>
          <w:sz w:val="24"/>
          <w:szCs w:val="24"/>
          <w:highlight w:val="white"/>
        </w:rPr>
        <w:t>) In the FST, the total time spent immobile was reduced in the LCGA-17 group [H(2, 73) = 10.6; p = 0.005], but not in diazepam. *p &lt; 0.05, **p &lt; 0.01 vs. vehicle; Kruskal-Wallis, Dunn’s test.</w:t>
      </w:r>
      <w:bookmarkStart w:id="4" w:name="_hwmjxl19a70" w:colFirst="0" w:colLast="0"/>
      <w:bookmarkEnd w:id="4"/>
    </w:p>
    <w:p w14:paraId="42F3F303" w14:textId="77777777" w:rsidR="006A5D29" w:rsidRDefault="006A5D29" w:rsidP="006D68E2">
      <w:pPr>
        <w:spacing w:before="240" w:line="240" w:lineRule="auto"/>
        <w:rPr>
          <w:rFonts w:asciiTheme="majorHAnsi" w:hAnsiTheme="majorHAnsi" w:cstheme="majorHAnsi"/>
          <w:sz w:val="24"/>
          <w:szCs w:val="24"/>
        </w:rPr>
      </w:pPr>
    </w:p>
    <w:p w14:paraId="72E9FE2B" w14:textId="45247374" w:rsidR="00594BFA" w:rsidRDefault="00157D7E">
      <w:pPr>
        <w:rPr>
          <w:rFonts w:asciiTheme="majorHAnsi" w:hAnsiTheme="majorHAnsi" w:cstheme="majorHAnsi"/>
          <w:sz w:val="24"/>
          <w:szCs w:val="24"/>
        </w:rPr>
      </w:pPr>
      <w:r w:rsidRPr="00157D7E">
        <w:rPr>
          <w:rFonts w:asciiTheme="majorHAnsi" w:hAnsiTheme="majorHAnsi" w:cstheme="majorHAnsi"/>
          <w:sz w:val="24"/>
          <w:szCs w:val="24"/>
        </w:rPr>
        <w:t>Before combining data across all LCGA-17 groups, we have checked the effect of dosage on behavioral response in mice. In the EPM, no effect of dose was found on the percent of time spent on open arms [H(3, 48) = 4.97; p = 0.17; Kruskal-Wallis], percent open arm entries [H(3, 48) = 2.66; p = 0.45; Kruskal-Wallis], total arm entries[H(3, 48) = 6.46; p = 0.09; Kruskal-Wallis], and Anxiety Index [H(3, 48) = 4.19; p = 0.24; Kruskal-Wallis]. In the OFT, no effect of LCGA-17 dose was found on distance traveled [F(3, 48) = 0.03; p = 0.99; one-way ANOVA], and time spent in the center [H(3, 48) = 1.96; p = 0.58; Kruskal-Wallis]. In the MBT, the effect of dose was also absent [H(3, 48) = 7.15; p = 0.07; Kruskal-Wallis]. In the FST, the total time spent immobile did not differ across dosages of LCGA-17 [F(3, 48) = 1.01; p = 0.39; one-way ANOVA].</w:t>
      </w:r>
      <w:r w:rsidR="00594BFA">
        <w:rPr>
          <w:rFonts w:asciiTheme="majorHAnsi" w:hAnsiTheme="majorHAnsi" w:cstheme="majorHAnsi"/>
          <w:sz w:val="24"/>
          <w:szCs w:val="24"/>
        </w:rPr>
        <w:br w:type="page"/>
      </w:r>
    </w:p>
    <w:p w14:paraId="211E6B90" w14:textId="15A1F5EE" w:rsidR="006D68E2" w:rsidRDefault="006D68E2">
      <w:pPr>
        <w:rPr>
          <w:rFonts w:asciiTheme="majorHAnsi" w:hAnsiTheme="majorHAnsi" w:cstheme="majorHAnsi"/>
          <w:b/>
          <w:sz w:val="24"/>
          <w:szCs w:val="24"/>
        </w:rPr>
        <w:sectPr w:rsidR="006D68E2">
          <w:headerReference w:type="first" r:id="rId11"/>
          <w:footerReference w:type="first" r:id="rId12"/>
          <w:pgSz w:w="11909" w:h="16834"/>
          <w:pgMar w:top="1440" w:right="1440" w:bottom="1440" w:left="1440" w:header="720" w:footer="720" w:gutter="0"/>
          <w:cols w:space="720"/>
        </w:sectPr>
      </w:pPr>
    </w:p>
    <w:p w14:paraId="220BB674" w14:textId="77777777" w:rsidR="000D4CEE" w:rsidRPr="00B31106" w:rsidRDefault="001B0239">
      <w:pPr>
        <w:pStyle w:val="Heading2"/>
        <w:spacing w:before="240" w:after="240"/>
        <w:jc w:val="center"/>
        <w:rPr>
          <w:rFonts w:asciiTheme="majorHAnsi" w:hAnsiTheme="majorHAnsi" w:cstheme="majorHAnsi"/>
          <w:b/>
          <w:sz w:val="24"/>
          <w:szCs w:val="24"/>
        </w:rPr>
      </w:pPr>
      <w:bookmarkStart w:id="5" w:name="_qlzt5d9dwe2" w:colFirst="0" w:colLast="0"/>
      <w:bookmarkEnd w:id="5"/>
      <w:r w:rsidRPr="00B31106">
        <w:rPr>
          <w:rFonts w:asciiTheme="majorHAnsi" w:hAnsiTheme="majorHAnsi" w:cstheme="majorHAnsi"/>
          <w:b/>
          <w:sz w:val="24"/>
          <w:szCs w:val="24"/>
        </w:rPr>
        <w:lastRenderedPageBreak/>
        <w:t>Supplementary videos</w:t>
      </w:r>
    </w:p>
    <w:p w14:paraId="76E5C203" w14:textId="37082EC2" w:rsidR="000D4CEE" w:rsidRPr="00B31106" w:rsidRDefault="001B0239" w:rsidP="006D68E2">
      <w:pPr>
        <w:spacing w:before="240" w:after="240" w:line="240" w:lineRule="auto"/>
        <w:rPr>
          <w:rFonts w:asciiTheme="majorHAnsi" w:hAnsiTheme="majorHAnsi" w:cstheme="majorHAnsi"/>
          <w:sz w:val="24"/>
          <w:szCs w:val="24"/>
        </w:rPr>
      </w:pPr>
      <w:r w:rsidRPr="00B31106">
        <w:rPr>
          <w:rFonts w:asciiTheme="majorHAnsi" w:hAnsiTheme="majorHAnsi" w:cstheme="majorHAnsi"/>
          <w:b/>
          <w:sz w:val="24"/>
          <w:szCs w:val="24"/>
        </w:rPr>
        <w:t>Supplementary video 1</w:t>
      </w:r>
      <w:r w:rsidRPr="00B31106">
        <w:rPr>
          <w:rFonts w:asciiTheme="majorHAnsi" w:hAnsiTheme="majorHAnsi" w:cstheme="majorHAnsi"/>
          <w:sz w:val="24"/>
          <w:szCs w:val="24"/>
        </w:rPr>
        <w:t>. Stabilization of LCGA-17 peptide binding mode within the transmembrane domain of the wider-lumen conformation of GABA-A receptor.</w:t>
      </w:r>
    </w:p>
    <w:p w14:paraId="26BD6738" w14:textId="4FF6A443" w:rsidR="000D4CEE" w:rsidRPr="00B31106" w:rsidRDefault="001B0239" w:rsidP="006D68E2">
      <w:pPr>
        <w:spacing w:before="240" w:after="240" w:line="240" w:lineRule="auto"/>
        <w:rPr>
          <w:rFonts w:asciiTheme="majorHAnsi" w:hAnsiTheme="majorHAnsi" w:cstheme="majorHAnsi"/>
          <w:sz w:val="24"/>
          <w:szCs w:val="24"/>
        </w:rPr>
      </w:pPr>
      <w:r w:rsidRPr="00B31106">
        <w:rPr>
          <w:rFonts w:asciiTheme="majorHAnsi" w:hAnsiTheme="majorHAnsi" w:cstheme="majorHAnsi"/>
          <w:b/>
          <w:sz w:val="24"/>
          <w:szCs w:val="24"/>
        </w:rPr>
        <w:t>Supplementary video 2</w:t>
      </w:r>
      <w:r w:rsidRPr="00B31106">
        <w:rPr>
          <w:rFonts w:asciiTheme="majorHAnsi" w:hAnsiTheme="majorHAnsi" w:cstheme="majorHAnsi"/>
          <w:sz w:val="24"/>
          <w:szCs w:val="24"/>
        </w:rPr>
        <w:t>. Stabilization of LCGA-17 peptide binding mode within the transmembrane domain of the narrower-lumen conformation of GABA-A receptor.</w:t>
      </w:r>
    </w:p>
    <w:p w14:paraId="2F05C12C" w14:textId="44088BBC" w:rsidR="000D4CEE" w:rsidRPr="00594BFA" w:rsidRDefault="001B0239" w:rsidP="006D68E2">
      <w:pPr>
        <w:spacing w:before="240" w:after="240" w:line="240" w:lineRule="auto"/>
        <w:rPr>
          <w:rFonts w:asciiTheme="majorHAnsi" w:hAnsiTheme="majorHAnsi" w:cstheme="majorHAnsi"/>
          <w:sz w:val="24"/>
          <w:szCs w:val="24"/>
        </w:rPr>
      </w:pPr>
      <w:r w:rsidRPr="00B31106">
        <w:rPr>
          <w:rFonts w:asciiTheme="majorHAnsi" w:hAnsiTheme="majorHAnsi" w:cstheme="majorHAnsi"/>
          <w:b/>
          <w:sz w:val="24"/>
          <w:szCs w:val="24"/>
        </w:rPr>
        <w:t>Supplementary video 3</w:t>
      </w:r>
      <w:r w:rsidRPr="00B31106">
        <w:rPr>
          <w:rFonts w:asciiTheme="majorHAnsi" w:hAnsiTheme="majorHAnsi" w:cstheme="majorHAnsi"/>
          <w:sz w:val="24"/>
          <w:szCs w:val="24"/>
        </w:rPr>
        <w:t xml:space="preserve">. </w:t>
      </w:r>
      <w:bookmarkStart w:id="6" w:name="_hjg7ddx8bzrs" w:colFirst="0" w:colLast="0"/>
      <w:bookmarkEnd w:id="6"/>
      <w:r w:rsidRPr="00B31106">
        <w:rPr>
          <w:rFonts w:asciiTheme="majorHAnsi" w:hAnsiTheme="majorHAnsi" w:cstheme="majorHAnsi"/>
          <w:sz w:val="24"/>
          <w:szCs w:val="24"/>
        </w:rPr>
        <w:t>Stabilization of LCGA-17 peptide binding mode on the a2d domain of VGCC receptor.</w:t>
      </w:r>
      <w:r w:rsidRPr="00B31106">
        <w:rPr>
          <w:rFonts w:asciiTheme="majorHAnsi" w:hAnsiTheme="majorHAnsi" w:cstheme="majorHAnsi"/>
          <w:sz w:val="24"/>
          <w:szCs w:val="24"/>
        </w:rPr>
        <w:br w:type="page"/>
      </w:r>
    </w:p>
    <w:p w14:paraId="4AADD7E2" w14:textId="7482073B" w:rsidR="002A2EB8" w:rsidRDefault="002A2EB8">
      <w:pPr>
        <w:spacing w:before="240" w:after="240"/>
        <w:rPr>
          <w:rFonts w:asciiTheme="majorHAnsi" w:hAnsiTheme="majorHAnsi" w:cstheme="majorHAnsi"/>
          <w:b/>
          <w:bCs/>
          <w:sz w:val="24"/>
          <w:szCs w:val="24"/>
        </w:rPr>
      </w:pPr>
      <w:bookmarkStart w:id="7" w:name="_bhgoqrgvpk86" w:colFirst="0" w:colLast="0"/>
      <w:bookmarkEnd w:id="7"/>
      <w:r w:rsidRPr="002A2EB8">
        <w:rPr>
          <w:rFonts w:asciiTheme="majorHAnsi" w:hAnsiTheme="majorHAnsi" w:cstheme="majorHAnsi"/>
          <w:b/>
          <w:bCs/>
          <w:sz w:val="24"/>
          <w:szCs w:val="24"/>
        </w:rPr>
        <w:lastRenderedPageBreak/>
        <w:t>References</w:t>
      </w:r>
    </w:p>
    <w:p w14:paraId="07898AF0" w14:textId="77777777" w:rsidR="00AC048F" w:rsidRPr="0022052C" w:rsidRDefault="002A2EB8" w:rsidP="00AC048F">
      <w:pPr>
        <w:pStyle w:val="Bibliography"/>
        <w:rPr>
          <w:rFonts w:ascii="Calibri" w:hAnsi="Calibri" w:cs="Calibri"/>
          <w:sz w:val="24"/>
          <w:lang w:val="nl-NL"/>
        </w:rPr>
      </w:pPr>
      <w:r>
        <w:rPr>
          <w:rFonts w:asciiTheme="majorHAnsi" w:hAnsiTheme="majorHAnsi" w:cstheme="majorHAnsi"/>
          <w:b/>
          <w:bCs/>
        </w:rPr>
        <w:fldChar w:fldCharType="begin"/>
      </w:r>
      <w:r w:rsidR="00AC048F">
        <w:rPr>
          <w:rFonts w:asciiTheme="majorHAnsi" w:hAnsiTheme="majorHAnsi" w:cstheme="majorHAnsi"/>
          <w:b/>
          <w:bCs/>
        </w:rPr>
        <w:instrText xml:space="preserve"> ADDIN ZOTERO_BIBL {"uncited":[],"omitted":[],"custom":[]} CSL_BIBLIOGRAPHY </w:instrText>
      </w:r>
      <w:r>
        <w:rPr>
          <w:rFonts w:asciiTheme="majorHAnsi" w:hAnsiTheme="majorHAnsi" w:cstheme="majorHAnsi"/>
          <w:b/>
          <w:bCs/>
        </w:rPr>
        <w:fldChar w:fldCharType="separate"/>
      </w:r>
      <w:r w:rsidR="00AC048F" w:rsidRPr="00AC048F">
        <w:rPr>
          <w:rFonts w:ascii="Calibri" w:hAnsi="Calibri" w:cs="Calibri"/>
          <w:sz w:val="24"/>
        </w:rPr>
        <w:t xml:space="preserve">Abraham, M. J., Murtola, T., Schulz, R., Páll, S., Smith, J. C., Hess, B., et al. (2015). Gromacs: High performance molecular simulations through multi-level parallelism from laptops to supercomputers. </w:t>
      </w:r>
      <w:proofErr w:type="spellStart"/>
      <w:r w:rsidR="00AC048F" w:rsidRPr="0022052C">
        <w:rPr>
          <w:rFonts w:ascii="Calibri" w:hAnsi="Calibri" w:cs="Calibri"/>
          <w:i/>
          <w:iCs/>
          <w:sz w:val="24"/>
          <w:lang w:val="nl-NL"/>
        </w:rPr>
        <w:t>SoftwareX</w:t>
      </w:r>
      <w:proofErr w:type="spellEnd"/>
      <w:r w:rsidR="00AC048F" w:rsidRPr="0022052C">
        <w:rPr>
          <w:rFonts w:ascii="Calibri" w:hAnsi="Calibri" w:cs="Calibri"/>
          <w:sz w:val="24"/>
          <w:lang w:val="nl-NL"/>
        </w:rPr>
        <w:t xml:space="preserve"> 1–2, 19–25. doi:10.1016/j.softx.2015.06.001.</w:t>
      </w:r>
    </w:p>
    <w:p w14:paraId="42A3CEC3" w14:textId="77777777" w:rsidR="00AC048F" w:rsidRPr="00AC048F" w:rsidRDefault="00AC048F" w:rsidP="00AC048F">
      <w:pPr>
        <w:pStyle w:val="Bibliography"/>
        <w:rPr>
          <w:rFonts w:ascii="Calibri" w:hAnsi="Calibri" w:cs="Calibri"/>
          <w:sz w:val="24"/>
        </w:rPr>
      </w:pPr>
      <w:r w:rsidRPr="0022052C">
        <w:rPr>
          <w:rFonts w:ascii="Calibri" w:hAnsi="Calibri" w:cs="Calibri"/>
          <w:sz w:val="24"/>
          <w:lang w:val="nl-NL"/>
        </w:rPr>
        <w:t xml:space="preserve">Berendsen, H. J. C., Postma, J. P. M., Van Gunsteren, W. F., </w:t>
      </w:r>
      <w:proofErr w:type="spellStart"/>
      <w:r w:rsidRPr="0022052C">
        <w:rPr>
          <w:rFonts w:ascii="Calibri" w:hAnsi="Calibri" w:cs="Calibri"/>
          <w:sz w:val="24"/>
          <w:lang w:val="nl-NL"/>
        </w:rPr>
        <w:t>Dinola</w:t>
      </w:r>
      <w:proofErr w:type="spellEnd"/>
      <w:r w:rsidRPr="0022052C">
        <w:rPr>
          <w:rFonts w:ascii="Calibri" w:hAnsi="Calibri" w:cs="Calibri"/>
          <w:sz w:val="24"/>
          <w:lang w:val="nl-NL"/>
        </w:rPr>
        <w:t xml:space="preserve">, A., </w:t>
      </w:r>
      <w:proofErr w:type="spellStart"/>
      <w:r w:rsidRPr="0022052C">
        <w:rPr>
          <w:rFonts w:ascii="Calibri" w:hAnsi="Calibri" w:cs="Calibri"/>
          <w:sz w:val="24"/>
          <w:lang w:val="nl-NL"/>
        </w:rPr>
        <w:t>and</w:t>
      </w:r>
      <w:proofErr w:type="spellEnd"/>
      <w:r w:rsidRPr="0022052C">
        <w:rPr>
          <w:rFonts w:ascii="Calibri" w:hAnsi="Calibri" w:cs="Calibri"/>
          <w:sz w:val="24"/>
          <w:lang w:val="nl-NL"/>
        </w:rPr>
        <w:t xml:space="preserve"> Haak, J. R. (1984). </w:t>
      </w:r>
      <w:r w:rsidRPr="00AC048F">
        <w:rPr>
          <w:rFonts w:ascii="Calibri" w:hAnsi="Calibri" w:cs="Calibri"/>
          <w:sz w:val="24"/>
        </w:rPr>
        <w:t xml:space="preserve">Molecular dynamics with coupling to an external bath. </w:t>
      </w:r>
      <w:r w:rsidRPr="00AC048F">
        <w:rPr>
          <w:rFonts w:ascii="Calibri" w:hAnsi="Calibri" w:cs="Calibri"/>
          <w:i/>
          <w:iCs/>
          <w:sz w:val="24"/>
        </w:rPr>
        <w:t>The Journal of Chemical Physics</w:t>
      </w:r>
      <w:r w:rsidRPr="00AC048F">
        <w:rPr>
          <w:rFonts w:ascii="Calibri" w:hAnsi="Calibri" w:cs="Calibri"/>
          <w:sz w:val="24"/>
        </w:rPr>
        <w:t xml:space="preserve"> 81, 3684–3690. doi:10.1063/1.448118.</w:t>
      </w:r>
    </w:p>
    <w:p w14:paraId="213FE3D0" w14:textId="77777777" w:rsidR="00AC048F" w:rsidRPr="00AC048F" w:rsidRDefault="00AC048F" w:rsidP="00AC048F">
      <w:pPr>
        <w:pStyle w:val="Bibliography"/>
        <w:rPr>
          <w:rFonts w:ascii="Calibri" w:hAnsi="Calibri" w:cs="Calibri"/>
          <w:sz w:val="24"/>
        </w:rPr>
      </w:pPr>
      <w:r w:rsidRPr="0022052C">
        <w:rPr>
          <w:rFonts w:ascii="Calibri" w:hAnsi="Calibri" w:cs="Calibri"/>
          <w:sz w:val="24"/>
          <w:lang w:val="it-IT"/>
        </w:rPr>
        <w:t xml:space="preserve">Bussi, G., Donadio, D., and Parrinello, M. (2007). </w:t>
      </w:r>
      <w:r w:rsidRPr="00AC048F">
        <w:rPr>
          <w:rFonts w:ascii="Calibri" w:hAnsi="Calibri" w:cs="Calibri"/>
          <w:sz w:val="24"/>
        </w:rPr>
        <w:t xml:space="preserve">Canonical sampling through velocity rescaling. </w:t>
      </w:r>
      <w:r w:rsidRPr="00AC048F">
        <w:rPr>
          <w:rFonts w:ascii="Calibri" w:hAnsi="Calibri" w:cs="Calibri"/>
          <w:i/>
          <w:iCs/>
          <w:sz w:val="24"/>
        </w:rPr>
        <w:t>Journal of Chemical Physics</w:t>
      </w:r>
      <w:r w:rsidRPr="00AC048F">
        <w:rPr>
          <w:rFonts w:ascii="Calibri" w:hAnsi="Calibri" w:cs="Calibri"/>
          <w:sz w:val="24"/>
        </w:rPr>
        <w:t xml:space="preserve"> 126, 014101. doi:10.1063/1.2408420.</w:t>
      </w:r>
    </w:p>
    <w:p w14:paraId="2B13554A" w14:textId="77777777" w:rsidR="00AC048F" w:rsidRPr="00AC048F" w:rsidRDefault="00AC048F" w:rsidP="00AC048F">
      <w:pPr>
        <w:pStyle w:val="Bibliography"/>
        <w:rPr>
          <w:rFonts w:ascii="Calibri" w:hAnsi="Calibri" w:cs="Calibri"/>
          <w:sz w:val="24"/>
        </w:rPr>
      </w:pPr>
      <w:r w:rsidRPr="00AC048F">
        <w:rPr>
          <w:rFonts w:ascii="Calibri" w:hAnsi="Calibri" w:cs="Calibri"/>
          <w:sz w:val="24"/>
        </w:rPr>
        <w:t xml:space="preserve">Jo, S., Kim, T., Iyer, V. G., and Im, W. (2008). CHARMM-GUI: A web-based graphical user interface for CHARMM. </w:t>
      </w:r>
      <w:r w:rsidRPr="00AC048F">
        <w:rPr>
          <w:rFonts w:ascii="Calibri" w:hAnsi="Calibri" w:cs="Calibri"/>
          <w:i/>
          <w:iCs/>
          <w:sz w:val="24"/>
        </w:rPr>
        <w:t>Journal of Computational Chemistry</w:t>
      </w:r>
      <w:r w:rsidRPr="00AC048F">
        <w:rPr>
          <w:rFonts w:ascii="Calibri" w:hAnsi="Calibri" w:cs="Calibri"/>
          <w:sz w:val="24"/>
        </w:rPr>
        <w:t xml:space="preserve"> 29, 1859–1865. doi:10.1002/jcc.20945.</w:t>
      </w:r>
    </w:p>
    <w:p w14:paraId="1FBBD09A" w14:textId="77777777" w:rsidR="00AC048F" w:rsidRPr="00AC048F" w:rsidRDefault="00AC048F" w:rsidP="00AC048F">
      <w:pPr>
        <w:pStyle w:val="Bibliography"/>
        <w:rPr>
          <w:rFonts w:ascii="Calibri" w:hAnsi="Calibri" w:cs="Calibri"/>
          <w:sz w:val="24"/>
        </w:rPr>
      </w:pPr>
      <w:r w:rsidRPr="00AC048F">
        <w:rPr>
          <w:rFonts w:ascii="Calibri" w:hAnsi="Calibri" w:cs="Calibri"/>
          <w:sz w:val="24"/>
        </w:rPr>
        <w:t xml:space="preserve">Lee, J., Cheng, X., Swails, J. M., Yeom, M. S., Eastman, P. K., Lemkul, J. A., et al. (2016). CHARMM-GUI Input Generator for NAMD, GROMACS, AMBER, OpenMM, and CHARMM/OpenMM Simulations Using the CHARMM36 Additive Force Field. </w:t>
      </w:r>
      <w:r w:rsidRPr="00AC048F">
        <w:rPr>
          <w:rFonts w:ascii="Calibri" w:hAnsi="Calibri" w:cs="Calibri"/>
          <w:i/>
          <w:iCs/>
          <w:sz w:val="24"/>
        </w:rPr>
        <w:t>Journal of Chemical Theory and Computation</w:t>
      </w:r>
      <w:r w:rsidRPr="00AC048F">
        <w:rPr>
          <w:rFonts w:ascii="Calibri" w:hAnsi="Calibri" w:cs="Calibri"/>
          <w:sz w:val="24"/>
        </w:rPr>
        <w:t xml:space="preserve"> 12, 405–413. doi:10.1021/acs.jctc.5b00935.</w:t>
      </w:r>
    </w:p>
    <w:p w14:paraId="033E59D3" w14:textId="77777777" w:rsidR="00AC048F" w:rsidRPr="00AC048F" w:rsidRDefault="00AC048F" w:rsidP="00AC048F">
      <w:pPr>
        <w:pStyle w:val="Bibliography"/>
        <w:rPr>
          <w:rFonts w:ascii="Calibri" w:hAnsi="Calibri" w:cs="Calibri"/>
          <w:sz w:val="24"/>
        </w:rPr>
      </w:pPr>
      <w:r w:rsidRPr="00AC048F">
        <w:rPr>
          <w:rFonts w:ascii="Calibri" w:hAnsi="Calibri" w:cs="Calibri"/>
          <w:sz w:val="24"/>
        </w:rPr>
        <w:t xml:space="preserve">Lindorff-Larsen, K., Piana, S., Palmo, K., Maragakis, P., Klepeis, J. L., Dror, R. O., et al. (2010). Improved side-chain torsion potentials for the Amber ff99SB protein force field. </w:t>
      </w:r>
      <w:r w:rsidRPr="00AC048F">
        <w:rPr>
          <w:rFonts w:ascii="Calibri" w:hAnsi="Calibri" w:cs="Calibri"/>
          <w:i/>
          <w:iCs/>
          <w:sz w:val="24"/>
        </w:rPr>
        <w:t>Proteins: Structure, Function and Bioinformatics</w:t>
      </w:r>
      <w:r w:rsidRPr="00AC048F">
        <w:rPr>
          <w:rFonts w:ascii="Calibri" w:hAnsi="Calibri" w:cs="Calibri"/>
          <w:sz w:val="24"/>
        </w:rPr>
        <w:t xml:space="preserve"> 78, 1950–1958. doi:10.1002/prot.22711.</w:t>
      </w:r>
    </w:p>
    <w:p w14:paraId="0A0897C5" w14:textId="77777777" w:rsidR="00AC048F" w:rsidRPr="00AC048F" w:rsidRDefault="00AC048F" w:rsidP="00AC048F">
      <w:pPr>
        <w:pStyle w:val="Bibliography"/>
        <w:rPr>
          <w:rFonts w:ascii="Calibri" w:hAnsi="Calibri" w:cs="Calibri"/>
          <w:sz w:val="24"/>
        </w:rPr>
      </w:pPr>
      <w:r w:rsidRPr="00AC048F">
        <w:rPr>
          <w:rFonts w:ascii="Calibri" w:hAnsi="Calibri" w:cs="Calibri"/>
          <w:sz w:val="24"/>
        </w:rPr>
        <w:t xml:space="preserve">Parrinello, M., and Rahman, A. (1981). Polymorphic transitions in single crystals: A new molecular dynamics method. </w:t>
      </w:r>
      <w:r w:rsidRPr="00AC048F">
        <w:rPr>
          <w:rFonts w:ascii="Calibri" w:hAnsi="Calibri" w:cs="Calibri"/>
          <w:i/>
          <w:iCs/>
          <w:sz w:val="24"/>
        </w:rPr>
        <w:t>Journal of Applied Physics</w:t>
      </w:r>
      <w:r w:rsidRPr="00AC048F">
        <w:rPr>
          <w:rFonts w:ascii="Calibri" w:hAnsi="Calibri" w:cs="Calibri"/>
          <w:sz w:val="24"/>
        </w:rPr>
        <w:t xml:space="preserve"> 52, 7182–7190. doi:10.1063/1.328693.</w:t>
      </w:r>
    </w:p>
    <w:p w14:paraId="06B3292E" w14:textId="77777777" w:rsidR="00AC048F" w:rsidRPr="00AC048F" w:rsidRDefault="00AC048F" w:rsidP="00AC048F">
      <w:pPr>
        <w:pStyle w:val="Bibliography"/>
        <w:rPr>
          <w:rFonts w:ascii="Calibri" w:hAnsi="Calibri" w:cs="Calibri"/>
          <w:sz w:val="24"/>
        </w:rPr>
      </w:pPr>
      <w:r w:rsidRPr="00AC048F">
        <w:rPr>
          <w:rFonts w:ascii="Calibri" w:hAnsi="Calibri" w:cs="Calibri"/>
          <w:sz w:val="24"/>
        </w:rPr>
        <w:t xml:space="preserve">Williams, C. J., Headd, J. J., Moriarty, N. W., Prisant, M. G., Videau, L. L., Deis, L. N., et al. (2018). MolProbity: More and better reference data for improved all-atom structure validation. </w:t>
      </w:r>
      <w:r w:rsidRPr="00AC048F">
        <w:rPr>
          <w:rFonts w:ascii="Calibri" w:hAnsi="Calibri" w:cs="Calibri"/>
          <w:i/>
          <w:iCs/>
          <w:sz w:val="24"/>
        </w:rPr>
        <w:t>Protein Science</w:t>
      </w:r>
      <w:r w:rsidRPr="00AC048F">
        <w:rPr>
          <w:rFonts w:ascii="Calibri" w:hAnsi="Calibri" w:cs="Calibri"/>
          <w:sz w:val="24"/>
        </w:rPr>
        <w:t xml:space="preserve"> 27, 293–315. doi:10.1002/pro.3330.</w:t>
      </w:r>
    </w:p>
    <w:p w14:paraId="3B5C54ED" w14:textId="767329FD" w:rsidR="002A2EB8" w:rsidRPr="002A2EB8" w:rsidRDefault="002A2EB8">
      <w:pPr>
        <w:spacing w:before="240" w:after="240"/>
        <w:rPr>
          <w:rFonts w:asciiTheme="majorHAnsi" w:hAnsiTheme="majorHAnsi" w:cstheme="majorHAnsi"/>
          <w:b/>
          <w:bCs/>
          <w:sz w:val="24"/>
          <w:szCs w:val="24"/>
        </w:rPr>
      </w:pPr>
      <w:r>
        <w:rPr>
          <w:rFonts w:asciiTheme="majorHAnsi" w:hAnsiTheme="majorHAnsi" w:cstheme="majorHAnsi"/>
          <w:b/>
          <w:bCs/>
          <w:sz w:val="24"/>
          <w:szCs w:val="24"/>
        </w:rPr>
        <w:fldChar w:fldCharType="end"/>
      </w:r>
    </w:p>
    <w:sectPr w:rsidR="002A2EB8" w:rsidRPr="002A2EB8">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B62E71" w14:textId="77777777" w:rsidR="003E7F4D" w:rsidRDefault="003E7F4D">
      <w:pPr>
        <w:spacing w:line="240" w:lineRule="auto"/>
      </w:pPr>
      <w:r>
        <w:separator/>
      </w:r>
    </w:p>
  </w:endnote>
  <w:endnote w:type="continuationSeparator" w:id="0">
    <w:p w14:paraId="700F9E3B" w14:textId="77777777" w:rsidR="003E7F4D" w:rsidRDefault="003E7F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7C549" w14:textId="77777777" w:rsidR="006D68E2" w:rsidRDefault="006D68E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413A0E" w14:textId="77777777" w:rsidR="003E7F4D" w:rsidRDefault="003E7F4D">
      <w:pPr>
        <w:spacing w:line="240" w:lineRule="auto"/>
      </w:pPr>
      <w:r>
        <w:separator/>
      </w:r>
    </w:p>
  </w:footnote>
  <w:footnote w:type="continuationSeparator" w:id="0">
    <w:p w14:paraId="7942FB6D" w14:textId="77777777" w:rsidR="003E7F4D" w:rsidRDefault="003E7F4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3C528" w14:textId="77777777" w:rsidR="006D68E2" w:rsidRDefault="006D68E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I3MjEyNDUyMDe3MDJR0lEKTi0uzszPAykwqwUAfwF1CCwAAAA="/>
  </w:docVars>
  <w:rsids>
    <w:rsidRoot w:val="000D4CEE"/>
    <w:rsid w:val="000D4CEE"/>
    <w:rsid w:val="00157D7E"/>
    <w:rsid w:val="00186C39"/>
    <w:rsid w:val="001B0239"/>
    <w:rsid w:val="0022052C"/>
    <w:rsid w:val="002A2EB8"/>
    <w:rsid w:val="002B7D43"/>
    <w:rsid w:val="003C19FB"/>
    <w:rsid w:val="003D0A0C"/>
    <w:rsid w:val="003E7F4D"/>
    <w:rsid w:val="00594BFA"/>
    <w:rsid w:val="006307DD"/>
    <w:rsid w:val="006A5D29"/>
    <w:rsid w:val="006D68E2"/>
    <w:rsid w:val="00756952"/>
    <w:rsid w:val="00783596"/>
    <w:rsid w:val="00797548"/>
    <w:rsid w:val="007E2EB8"/>
    <w:rsid w:val="00834A44"/>
    <w:rsid w:val="008D5543"/>
    <w:rsid w:val="009A6B0D"/>
    <w:rsid w:val="009B010C"/>
    <w:rsid w:val="00AC048F"/>
    <w:rsid w:val="00B31106"/>
    <w:rsid w:val="00CE30DD"/>
    <w:rsid w:val="00EE51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7AF0E"/>
  <w15:docId w15:val="{C2F24790-7CC8-49D4-877C-62B4D3ADA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paragraph" w:styleId="Bibliography">
    <w:name w:val="Bibliography"/>
    <w:basedOn w:val="Normal"/>
    <w:next w:val="Normal"/>
    <w:uiPriority w:val="37"/>
    <w:unhideWhenUsed/>
    <w:rsid w:val="003C19FB"/>
    <w:pPr>
      <w:spacing w:after="240" w:line="240" w:lineRule="auto"/>
      <w:ind w:left="720" w:hanging="720"/>
    </w:pPr>
  </w:style>
  <w:style w:type="character" w:styleId="Hyperlink">
    <w:name w:val="Hyperlink"/>
    <w:basedOn w:val="DefaultParagraphFont"/>
    <w:uiPriority w:val="99"/>
    <w:unhideWhenUsed/>
    <w:rsid w:val="003D0A0C"/>
    <w:rPr>
      <w:color w:val="0000FF" w:themeColor="hyperlink"/>
      <w:u w:val="single"/>
    </w:rPr>
  </w:style>
  <w:style w:type="character" w:styleId="UnresolvedMention">
    <w:name w:val="Unresolved Mention"/>
    <w:basedOn w:val="DefaultParagraphFont"/>
    <w:uiPriority w:val="99"/>
    <w:semiHidden/>
    <w:unhideWhenUsed/>
    <w:rsid w:val="003D0A0C"/>
    <w:rPr>
      <w:color w:val="605E5C"/>
      <w:shd w:val="clear" w:color="auto" w:fill="E1DFDD"/>
    </w:rPr>
  </w:style>
  <w:style w:type="paragraph" w:styleId="NoSpacing">
    <w:name w:val="No Spacing"/>
    <w:uiPriority w:val="1"/>
    <w:qFormat/>
    <w:rsid w:val="00CE30DD"/>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5DDD0E-449A-4CBE-83C9-CCA25D2B2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3859</Words>
  <Characters>22001</Characters>
  <Application>Microsoft Office Word</Application>
  <DocSecurity>0</DocSecurity>
  <Lines>183</Lines>
  <Paragraphs>51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25809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Charles Brophy</cp:lastModifiedBy>
  <cp:revision>12</cp:revision>
  <dcterms:created xsi:type="dcterms:W3CDTF">2021-04-12T18:03:00Z</dcterms:created>
  <dcterms:modified xsi:type="dcterms:W3CDTF">2021-07-13T07:55:00Z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id="KVPiax5H"/&gt;&lt;style id="http://www.zotero.org/styles/frontiers-in-neuroscience" hasBibliography="1" bibliographyStyleHasBeenSet="1"/&gt;&lt;prefs&gt;&lt;pref name="fieldType" value="Field"/&gt;&lt;/prefs&gt;&lt;/data&gt;</vt:lpwstr>
  </property>
</Properties>
</file>