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00" w:rsidRPr="00787F0D" w:rsidRDefault="00695E00" w:rsidP="00695E00">
      <w:pPr>
        <w:jc w:val="left"/>
        <w:rPr>
          <w:rFonts w:ascii="Times New Roman" w:eastAsia="仿宋_GB2312" w:hAnsi="Times New Roman"/>
          <w:b/>
          <w:sz w:val="24"/>
          <w:szCs w:val="24"/>
        </w:rPr>
      </w:pPr>
      <w:bookmarkStart w:id="0" w:name="_GoBack"/>
      <w:r w:rsidRPr="00787F0D">
        <w:rPr>
          <w:rFonts w:ascii="Times New Roman" w:eastAsia="仿宋_GB2312" w:hAnsi="Times New Roman"/>
          <w:b/>
          <w:sz w:val="24"/>
          <w:szCs w:val="24"/>
        </w:rPr>
        <w:t>Supplementary tables</w:t>
      </w:r>
    </w:p>
    <w:p w:rsidR="00695E00" w:rsidRPr="00787F0D" w:rsidRDefault="00695E00" w:rsidP="00695E00">
      <w:pPr>
        <w:jc w:val="left"/>
        <w:rPr>
          <w:rFonts w:ascii="Times New Roman" w:eastAsia="仿宋_GB2312" w:hAnsi="Times New Roman"/>
          <w:b/>
          <w:sz w:val="24"/>
          <w:szCs w:val="24"/>
        </w:rPr>
      </w:pPr>
    </w:p>
    <w:p w:rsidR="00F805EC" w:rsidRPr="00787F0D" w:rsidRDefault="00F805EC" w:rsidP="00F805EC">
      <w:pPr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787F0D">
        <w:rPr>
          <w:rFonts w:ascii="Times New Roman" w:eastAsia="仿宋_GB2312" w:hAnsi="Times New Roman" w:hint="eastAsia"/>
          <w:b/>
          <w:sz w:val="24"/>
          <w:szCs w:val="24"/>
        </w:rPr>
        <w:t>Table 1 Analysis of risk factors of poor ovarian response</w:t>
      </w:r>
    </w:p>
    <w:tbl>
      <w:tblPr>
        <w:tblW w:w="5465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485"/>
        <w:gridCol w:w="1661"/>
        <w:gridCol w:w="2794"/>
        <w:gridCol w:w="911"/>
      </w:tblGrid>
      <w:tr w:rsidR="00787F0D" w:rsidRPr="00787F0D" w:rsidTr="00BD331C">
        <w:trPr>
          <w:trHeight w:val="288"/>
          <w:tblHeader/>
          <w:jc w:val="center"/>
        </w:trPr>
        <w:tc>
          <w:tcPr>
            <w:tcW w:w="1225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Grouping</w:t>
            </w:r>
          </w:p>
        </w:tc>
        <w:tc>
          <w:tcPr>
            <w:tcW w:w="818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>Poor</w:t>
            </w:r>
          </w:p>
          <w:p w:rsidR="00BD4CBE" w:rsidRPr="00787F0D" w:rsidRDefault="00BD4CBE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hAnsi="宋体"/>
                <w:kern w:val="0"/>
                <w:szCs w:val="21"/>
              </w:rPr>
              <w:t>(n=166)</w:t>
            </w:r>
          </w:p>
        </w:tc>
        <w:tc>
          <w:tcPr>
            <w:tcW w:w="914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>Normal</w:t>
            </w:r>
          </w:p>
          <w:p w:rsidR="00BD4CBE" w:rsidRPr="00787F0D" w:rsidRDefault="00BD4CBE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hAnsi="宋体"/>
                <w:kern w:val="0"/>
                <w:szCs w:val="21"/>
              </w:rPr>
              <w:t>(n=409)</w:t>
            </w:r>
          </w:p>
        </w:tc>
        <w:tc>
          <w:tcPr>
            <w:tcW w:w="1538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Odds ratio</w:t>
            </w: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 xml:space="preserve"> 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 xml:space="preserve">(OR) </w:t>
            </w:r>
          </w:p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>(95%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 xml:space="preserve"> confidence interval</w:t>
            </w: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>)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i/>
                <w:kern w:val="0"/>
                <w:szCs w:val="21"/>
              </w:rPr>
              <w:t>P</w:t>
            </w:r>
            <w:r w:rsidRPr="00787F0D">
              <w:rPr>
                <w:rFonts w:ascii="Times New Roman" w:eastAsia="仿宋_GB2312" w:hAnsi="Times New Roman" w:hint="eastAsia"/>
                <w:b/>
                <w:i/>
                <w:kern w:val="0"/>
                <w:szCs w:val="21"/>
              </w:rPr>
              <w:t xml:space="preserve"> 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value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Age</w:t>
            </w:r>
          </w:p>
        </w:tc>
        <w:tc>
          <w:tcPr>
            <w:tcW w:w="818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&lt;35years old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49.4%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316(77.3%)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≥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35years old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50.6%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93(22.7%)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right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3.481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2.375, 5.101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01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IVF cycles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97(58.5%)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252(60.9%)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51(30.7%)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123(30.1%)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1.064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0.712, 1.591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0.76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10(6.0%)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32(7.8%)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0.802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0.380, 1.695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0.56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or more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8(4.8%)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5(1.2%)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4.107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1.311, 12.864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Weight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normal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107(55.73%)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244(59.3%)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underweight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17(8.85%)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19(4.6%)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1.360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0.593, 3.120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0.46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overweight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40(20.83%)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79(19.3%)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1.235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0.771, 1.980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0.38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obese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28(14.59%)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67(16.4)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1.628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1.019, 2.601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0.04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Endometriosis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Not observed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86.8%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385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94.1%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Endometriosis Stage I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5(3.0%)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2.4%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1.337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0.449, 3.978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0.60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szCs w:val="21"/>
              </w:rPr>
              <w:t>Endometriosis Stage II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0.000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szCs w:val="21"/>
              </w:rPr>
              <w:t>Endometriosis Stage III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6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3.6%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2.659 (1.116, 14.418)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0.03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szCs w:val="21"/>
              </w:rPr>
              <w:t>Endometriosis Stage IV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11(6.6%)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3.676 (1.450)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PCOS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98.8%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380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92.9%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29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7.1%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0.160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0.038,0.678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Surgery history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57.2%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275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67.2%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42.8%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134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32.8%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1.534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1.059,2.221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0.02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Allergy history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150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90.4%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371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90.7%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9.6%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9.3%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1.041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0.564,1.925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Sexually transmitted diseases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99.4%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409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0.6%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4.004e9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Smoking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99.4%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405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99%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0.614(0.068,5.531)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0.66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1(0.6%)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Alcohol abuse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409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Drug abuse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2283" w:type="dxa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409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2283" w:type="dxa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Menarche time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12-15 years old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89.2%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358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87.5%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&lt;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years old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-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&gt;15 years old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10.8%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0.854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0.483,1.510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0.58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Menstrual cycles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regular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147(88.6%)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332(81.2%)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irregular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19(11.4%)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77(18.8%)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0.557(0.325,0.955)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0.03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Dysmenorrhea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117(70.5%)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267(65.3%)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49(29.5%)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142(34.7%)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0.787(0.533,1.164)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0.23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Times of abortion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84(50.6%)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198(48.4%)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40(24.1%)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123(30.1%)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0.767(0.494,1.189)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0.371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21(12.7%)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54(13.2%)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0.917(0.521,1.613)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0.538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14(8.4%)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29(7.1%)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1.138(0.572,2.262)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3.64</w:t>
            </w:r>
          </w:p>
        </w:tc>
      </w:tr>
      <w:tr w:rsidR="00F805EC" w:rsidRPr="00787F0D" w:rsidTr="00BD331C">
        <w:trPr>
          <w:trHeight w:val="197"/>
          <w:jc w:val="center"/>
        </w:trPr>
        <w:tc>
          <w:tcPr>
            <w:tcW w:w="1225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or more</w:t>
            </w:r>
          </w:p>
        </w:tc>
        <w:tc>
          <w:tcPr>
            <w:tcW w:w="81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7(4.2%)</w:t>
            </w:r>
          </w:p>
        </w:tc>
        <w:tc>
          <w:tcPr>
            <w:tcW w:w="91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5(1.2%)</w:t>
            </w:r>
          </w:p>
        </w:tc>
        <w:tc>
          <w:tcPr>
            <w:tcW w:w="1538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3.30(1.018,10.69)</w:t>
            </w:r>
          </w:p>
        </w:tc>
        <w:tc>
          <w:tcPr>
            <w:tcW w:w="502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0.47</w:t>
            </w:r>
          </w:p>
        </w:tc>
      </w:tr>
    </w:tbl>
    <w:p w:rsidR="00F805EC" w:rsidRPr="00787F0D" w:rsidRDefault="00F805EC" w:rsidP="00F805EC"/>
    <w:p w:rsidR="00F805EC" w:rsidRPr="00787F0D" w:rsidRDefault="00F805EC" w:rsidP="00F805EC"/>
    <w:p w:rsidR="00F805EC" w:rsidRPr="00787F0D" w:rsidRDefault="00F805EC" w:rsidP="00F805EC"/>
    <w:p w:rsidR="00F805EC" w:rsidRPr="00787F0D" w:rsidRDefault="00F805EC" w:rsidP="00F805EC"/>
    <w:p w:rsidR="00F805EC" w:rsidRPr="00787F0D" w:rsidRDefault="00F805EC" w:rsidP="00F805EC">
      <w:pPr>
        <w:spacing w:line="360" w:lineRule="auto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787F0D">
        <w:rPr>
          <w:rFonts w:ascii="Times New Roman" w:eastAsia="仿宋_GB2312" w:hAnsi="Times New Roman" w:hint="eastAsia"/>
          <w:b/>
          <w:sz w:val="24"/>
          <w:szCs w:val="24"/>
        </w:rPr>
        <w:lastRenderedPageBreak/>
        <w:t xml:space="preserve">Table </w:t>
      </w:r>
      <w:r w:rsidRPr="00787F0D">
        <w:rPr>
          <w:rFonts w:ascii="Times New Roman" w:eastAsia="仿宋_GB2312" w:hAnsi="Times New Roman"/>
          <w:b/>
          <w:sz w:val="24"/>
          <w:szCs w:val="24"/>
        </w:rPr>
        <w:t>2</w:t>
      </w:r>
      <w:r w:rsidRPr="00787F0D">
        <w:rPr>
          <w:rFonts w:ascii="Times New Roman" w:eastAsia="仿宋_GB2312" w:hAnsi="Times New Roman" w:hint="eastAsia"/>
          <w:b/>
          <w:sz w:val="24"/>
          <w:szCs w:val="24"/>
        </w:rPr>
        <w:t xml:space="preserve"> Analysis of risk factors of hyper ovarian response</w:t>
      </w:r>
    </w:p>
    <w:tbl>
      <w:tblPr>
        <w:tblW w:w="5318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9"/>
        <w:gridCol w:w="1560"/>
        <w:gridCol w:w="3065"/>
        <w:gridCol w:w="804"/>
      </w:tblGrid>
      <w:tr w:rsidR="00787F0D" w:rsidRPr="00787F0D" w:rsidTr="00BD331C">
        <w:trPr>
          <w:trHeight w:val="288"/>
          <w:tblHeader/>
          <w:jc w:val="center"/>
        </w:trPr>
        <w:tc>
          <w:tcPr>
            <w:tcW w:w="1124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 w:val="22"/>
              </w:rPr>
              <w:t>Grouping</w:t>
            </w:r>
          </w:p>
        </w:tc>
        <w:tc>
          <w:tcPr>
            <w:tcW w:w="803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 w:val="22"/>
              </w:rPr>
              <w:t>Hyper</w:t>
            </w:r>
          </w:p>
          <w:p w:rsidR="00BD4CBE" w:rsidRPr="00787F0D" w:rsidRDefault="00BD4CBE" w:rsidP="00BD331C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hAnsi="宋体"/>
                <w:kern w:val="0"/>
                <w:szCs w:val="21"/>
              </w:rPr>
              <w:t>(n=192)</w:t>
            </w:r>
          </w:p>
        </w:tc>
        <w:tc>
          <w:tcPr>
            <w:tcW w:w="883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 w:val="22"/>
              </w:rPr>
              <w:t>Normal</w:t>
            </w:r>
          </w:p>
          <w:p w:rsidR="00BD4CBE" w:rsidRPr="00787F0D" w:rsidRDefault="00BD4CBE" w:rsidP="00BD331C">
            <w:pPr>
              <w:widowControl/>
              <w:spacing w:line="44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hAnsi="宋体"/>
                <w:kern w:val="0"/>
                <w:szCs w:val="21"/>
              </w:rPr>
              <w:t>(n=409)</w:t>
            </w:r>
          </w:p>
        </w:tc>
        <w:tc>
          <w:tcPr>
            <w:tcW w:w="1735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 w:val="22"/>
              </w:rPr>
              <w:t>Odds ratio</w:t>
            </w:r>
            <w:r w:rsidRPr="00787F0D">
              <w:rPr>
                <w:rFonts w:ascii="Times New Roman" w:eastAsia="仿宋_GB2312" w:hAnsi="Times New Roman"/>
                <w:b/>
                <w:kern w:val="0"/>
                <w:sz w:val="22"/>
              </w:rPr>
              <w:t xml:space="preserve"> 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 w:val="22"/>
              </w:rPr>
              <w:t xml:space="preserve">(OR) </w:t>
            </w:r>
          </w:p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 w:val="22"/>
              </w:rPr>
              <w:t>(95%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 w:val="22"/>
              </w:rPr>
              <w:t xml:space="preserve"> confidence interval</w:t>
            </w:r>
            <w:r w:rsidRPr="00787F0D">
              <w:rPr>
                <w:rFonts w:ascii="Times New Roman" w:eastAsia="仿宋_GB2312" w:hAnsi="Times New Roman"/>
                <w:b/>
                <w:kern w:val="0"/>
                <w:sz w:val="22"/>
              </w:rPr>
              <w:t>)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jc w:val="center"/>
              <w:rPr>
                <w:rFonts w:ascii="Times New Roman" w:eastAsia="仿宋_GB2312" w:hAnsi="Times New Roman"/>
                <w:b/>
                <w:kern w:val="0"/>
                <w:sz w:val="22"/>
              </w:rPr>
            </w:pPr>
            <w:r w:rsidRPr="00787F0D">
              <w:rPr>
                <w:rFonts w:ascii="Times New Roman" w:eastAsia="仿宋_GB2312" w:hAnsi="Times New Roman"/>
                <w:b/>
                <w:i/>
                <w:kern w:val="0"/>
                <w:sz w:val="22"/>
              </w:rPr>
              <w:t>P</w:t>
            </w:r>
            <w:r w:rsidRPr="00787F0D">
              <w:rPr>
                <w:rFonts w:ascii="Times New Roman" w:eastAsia="仿宋_GB2312" w:hAnsi="Times New Roman" w:hint="eastAsia"/>
                <w:b/>
                <w:i/>
                <w:kern w:val="0"/>
                <w:sz w:val="22"/>
              </w:rPr>
              <w:t xml:space="preserve"> 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 w:val="22"/>
              </w:rPr>
              <w:t>value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Age</w:t>
            </w:r>
          </w:p>
        </w:tc>
        <w:tc>
          <w:tcPr>
            <w:tcW w:w="803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tcBorders>
              <w:top w:val="single" w:sz="6" w:space="0" w:color="auto"/>
            </w:tcBorders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&lt;35years old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167(86.98%)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316(77.3%)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≥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35years old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25(13.02%)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93(22.7%)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ind w:right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0.509(0.315,0.822)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0.006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IVF cycles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114(59.4%)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252(60.9%)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64(33.33%)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123(30.1%)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1.136(0.781,1.653)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0.503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13(6.77%)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32(7.8%)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0.887(0.449,1.754)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0.731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or more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1(0.50%)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5(1.2%)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0.437(0.050,3.782)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0.452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Weight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normal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107(55.73%)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244(59.3%)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underweight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17(8.85%)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19(4.6%)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2.04(1.021,4.079)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0.044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overweight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40(20.83%)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79(19.3%)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1.155(0.741,1.798)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0.525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obese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28(14.59%)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67(16.4)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0.953(0.580,1.565)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0.849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Endometriosis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Not observed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181(94.27%)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385(94.1%)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Endometriosis Stage I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4(2.1%)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10(2.4%)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0.852(0.263,2.749)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0.787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szCs w:val="21"/>
              </w:rPr>
              <w:t>Endometriosis Stage II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2(1%)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2.127(0.297,15.221)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0.452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szCs w:val="21"/>
              </w:rPr>
              <w:t>Endometriosis Stage III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5(2.6%)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4(1%)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2.659(0.706,10.019)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0.149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szCs w:val="21"/>
              </w:rPr>
              <w:t>Endometriosis Stage IV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8(2%)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0.999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PCOS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164(85.4%)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380(92.9%)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28(14.6)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29(7.1%)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2.237(1.290,3.880)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0.004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Surgery history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120(62.5%)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275(67.2%)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37.5%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134(32.8%)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1.231(0.861,1.761)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0.254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lastRenderedPageBreak/>
              <w:t>Allergy history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171(89.1%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371(90.7%)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21(10.9)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38(9.3%)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1.199(0.683,2.105)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0.527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Sexually transmitted diseases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191(99.5%)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409(100%)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1(0.5%)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3.46E+09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Smoking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192(100%)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405(99%)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4(1%)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0.999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Alcohol abuse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409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Drug abuse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409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100%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Menarche time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12-15 years old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162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84.4%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358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87.5%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&lt;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years old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3.57E+09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0.999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&gt;15 years old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28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14.6%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51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12.5%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1.213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（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0.738,1.994</w:t>
            </w: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）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0.446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Menstrual cycles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regular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138(71.9%)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332(81.2%)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irregular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54(28.1%)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77(18.8%)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1.687(1.130,2.518)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0.01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Dysmenorrhea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No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113(58.9%)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267(65.3%)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Yes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79(41.1%)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142(34.7%)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1.315(0.924,1.870)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0.128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bCs/>
                <w:kern w:val="0"/>
                <w:szCs w:val="21"/>
              </w:rPr>
              <w:t>Times of abortion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97(50.6%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198(48.4%)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1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50(26%)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123(30.1%)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0.83(0.551,1.249)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0.371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31(16.1%)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54(13.2%)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1.172(0.708,1.940)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0.538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10(5.2%)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29(7.1%)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0.704(0.330,1.503)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0.364</w:t>
            </w:r>
          </w:p>
        </w:tc>
      </w:tr>
      <w:tr w:rsidR="00F805EC" w:rsidRPr="00787F0D" w:rsidTr="00BD331C">
        <w:trPr>
          <w:trHeight w:val="197"/>
          <w:jc w:val="center"/>
        </w:trPr>
        <w:tc>
          <w:tcPr>
            <w:tcW w:w="1124" w:type="pct"/>
            <w:noWrap/>
            <w:vAlign w:val="bottom"/>
          </w:tcPr>
          <w:p w:rsidR="00F805EC" w:rsidRPr="00787F0D" w:rsidRDefault="00F805EC" w:rsidP="00BD331C">
            <w:pPr>
              <w:widowControl/>
              <w:spacing w:line="390" w:lineRule="exact"/>
              <w:ind w:firstLineChars="100" w:firstLine="21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or more</w:t>
            </w:r>
          </w:p>
        </w:tc>
        <w:tc>
          <w:tcPr>
            <w:tcW w:w="80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4(2.1%)</w:t>
            </w:r>
          </w:p>
        </w:tc>
        <w:tc>
          <w:tcPr>
            <w:tcW w:w="883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5(1.2%)</w:t>
            </w:r>
          </w:p>
        </w:tc>
        <w:tc>
          <w:tcPr>
            <w:tcW w:w="1735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1.633(0.429,6.218)</w:t>
            </w:r>
          </w:p>
        </w:tc>
        <w:tc>
          <w:tcPr>
            <w:tcW w:w="456" w:type="pct"/>
            <w:noWrap/>
            <w:vAlign w:val="center"/>
          </w:tcPr>
          <w:p w:rsidR="00F805EC" w:rsidRPr="00787F0D" w:rsidRDefault="00F805EC" w:rsidP="00BD331C">
            <w:pPr>
              <w:widowControl/>
              <w:spacing w:line="44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0.472</w:t>
            </w:r>
          </w:p>
        </w:tc>
      </w:tr>
    </w:tbl>
    <w:p w:rsidR="006F5363" w:rsidRPr="00787F0D" w:rsidRDefault="006F5363"/>
    <w:p w:rsidR="0090129A" w:rsidRPr="00787F0D" w:rsidRDefault="0090129A" w:rsidP="0090129A">
      <w:pPr>
        <w:spacing w:line="360" w:lineRule="auto"/>
        <w:jc w:val="center"/>
        <w:rPr>
          <w:rFonts w:ascii="Times New Roman" w:eastAsia="仿宋_GB2312" w:hAnsi="Times New Roman"/>
          <w:b/>
          <w:sz w:val="24"/>
          <w:szCs w:val="24"/>
        </w:rPr>
      </w:pPr>
      <w:r w:rsidRPr="00787F0D">
        <w:rPr>
          <w:rFonts w:ascii="Times New Roman" w:eastAsia="仿宋_GB2312" w:hAnsi="Times New Roman" w:hint="eastAsia"/>
          <w:b/>
          <w:sz w:val="24"/>
          <w:szCs w:val="24"/>
        </w:rPr>
        <w:t>Table3 Measurement Data Comparison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2700"/>
        <w:gridCol w:w="779"/>
        <w:gridCol w:w="1327"/>
        <w:gridCol w:w="808"/>
        <w:gridCol w:w="1380"/>
      </w:tblGrid>
      <w:tr w:rsidR="00787F0D" w:rsidRPr="00787F0D" w:rsidTr="00BD331C">
        <w:trPr>
          <w:trHeight w:val="288"/>
          <w:jc w:val="center"/>
        </w:trPr>
        <w:tc>
          <w:tcPr>
            <w:tcW w:w="609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Items</w:t>
            </w:r>
          </w:p>
        </w:tc>
        <w:tc>
          <w:tcPr>
            <w:tcW w:w="2131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Null hypothesis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Poor respond and normal respond</w:t>
            </w:r>
          </w:p>
        </w:tc>
        <w:tc>
          <w:tcPr>
            <w:tcW w:w="1130" w:type="pct"/>
            <w:gridSpan w:val="2"/>
            <w:tcBorders>
              <w:top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ind w:left="211" w:hangingChars="100" w:hanging="211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H</w:t>
            </w:r>
            <w:r w:rsidR="00C14976"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yper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 xml:space="preserve"> respond and normal respond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609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</w:p>
        </w:tc>
        <w:tc>
          <w:tcPr>
            <w:tcW w:w="2131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>P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 xml:space="preserve"> value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conclusion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b/>
                <w:kern w:val="0"/>
                <w:szCs w:val="21"/>
              </w:rPr>
              <w:t>P</w:t>
            </w: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 xml:space="preserve"> value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b/>
                <w:kern w:val="0"/>
                <w:szCs w:val="21"/>
              </w:rPr>
              <w:t>conclusion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609" w:type="pct"/>
            <w:vMerge w:val="restart"/>
            <w:tcBorders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Menstrual period days</w:t>
            </w:r>
          </w:p>
        </w:tc>
        <w:tc>
          <w:tcPr>
            <w:tcW w:w="2131" w:type="pct"/>
            <w:tcBorders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Distribution of menstrual days is the same in two</w:t>
            </w:r>
          </w:p>
        </w:tc>
        <w:tc>
          <w:tcPr>
            <w:tcW w:w="404" w:type="pct"/>
            <w:tcBorders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0.151</w:t>
            </w:r>
          </w:p>
        </w:tc>
        <w:tc>
          <w:tcPr>
            <w:tcW w:w="726" w:type="pct"/>
            <w:tcBorders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  <w:tc>
          <w:tcPr>
            <w:tcW w:w="404" w:type="pct"/>
            <w:tcBorders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0.976</w:t>
            </w:r>
          </w:p>
        </w:tc>
        <w:tc>
          <w:tcPr>
            <w:tcW w:w="726" w:type="pct"/>
            <w:tcBorders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609" w:type="pct"/>
            <w:vMerge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31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Medium time of menstrual days is the same in two</w:t>
            </w:r>
          </w:p>
        </w:tc>
        <w:tc>
          <w:tcPr>
            <w:tcW w:w="404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0.18</w:t>
            </w:r>
          </w:p>
        </w:tc>
        <w:tc>
          <w:tcPr>
            <w:tcW w:w="726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  <w:tc>
          <w:tcPr>
            <w:tcW w:w="404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0.966</w:t>
            </w:r>
          </w:p>
        </w:tc>
        <w:tc>
          <w:tcPr>
            <w:tcW w:w="726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</w:tr>
      <w:tr w:rsidR="00787F0D" w:rsidRPr="00787F0D" w:rsidTr="00BD331C">
        <w:trPr>
          <w:trHeight w:val="288"/>
          <w:jc w:val="center"/>
        </w:trPr>
        <w:tc>
          <w:tcPr>
            <w:tcW w:w="609" w:type="pct"/>
            <w:vMerge w:val="restar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Years of infertility</w:t>
            </w:r>
          </w:p>
        </w:tc>
        <w:tc>
          <w:tcPr>
            <w:tcW w:w="2131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Distribution of infertility time is the same in two</w:t>
            </w:r>
          </w:p>
        </w:tc>
        <w:tc>
          <w:tcPr>
            <w:tcW w:w="404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0.287</w:t>
            </w:r>
          </w:p>
        </w:tc>
        <w:tc>
          <w:tcPr>
            <w:tcW w:w="726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  <w:tc>
          <w:tcPr>
            <w:tcW w:w="404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0.234</w:t>
            </w:r>
          </w:p>
        </w:tc>
        <w:tc>
          <w:tcPr>
            <w:tcW w:w="726" w:type="pct"/>
            <w:tcBorders>
              <w:top w:val="nil"/>
              <w:bottom w:val="nil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</w:tr>
      <w:tr w:rsidR="0090129A" w:rsidRPr="00787F0D" w:rsidTr="00BD331C">
        <w:trPr>
          <w:trHeight w:val="288"/>
          <w:jc w:val="center"/>
        </w:trPr>
        <w:tc>
          <w:tcPr>
            <w:tcW w:w="609" w:type="pct"/>
            <w:vMerge/>
            <w:tcBorders>
              <w:top w:val="nil"/>
              <w:bottom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131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Medium time of infertility is the same in two</w:t>
            </w:r>
          </w:p>
        </w:tc>
        <w:tc>
          <w:tcPr>
            <w:tcW w:w="404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0.451</w:t>
            </w:r>
          </w:p>
        </w:tc>
        <w:tc>
          <w:tcPr>
            <w:tcW w:w="726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  <w:tc>
          <w:tcPr>
            <w:tcW w:w="404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/>
                <w:kern w:val="0"/>
                <w:szCs w:val="21"/>
              </w:rPr>
              <w:t>0.229</w:t>
            </w:r>
          </w:p>
        </w:tc>
        <w:tc>
          <w:tcPr>
            <w:tcW w:w="726" w:type="pct"/>
            <w:tcBorders>
              <w:top w:val="nil"/>
              <w:bottom w:val="single" w:sz="12" w:space="0" w:color="auto"/>
            </w:tcBorders>
            <w:noWrap/>
            <w:vAlign w:val="center"/>
          </w:tcPr>
          <w:p w:rsidR="0090129A" w:rsidRPr="00787F0D" w:rsidRDefault="0090129A" w:rsidP="00BD331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787F0D">
              <w:rPr>
                <w:rFonts w:ascii="Times New Roman" w:eastAsia="仿宋_GB2312" w:hAnsi="Times New Roman" w:hint="eastAsia"/>
                <w:kern w:val="0"/>
                <w:szCs w:val="21"/>
              </w:rPr>
              <w:t>accept</w:t>
            </w:r>
          </w:p>
        </w:tc>
      </w:tr>
      <w:bookmarkEnd w:id="0"/>
    </w:tbl>
    <w:p w:rsidR="0090129A" w:rsidRPr="00787F0D" w:rsidRDefault="0090129A"/>
    <w:sectPr w:rsidR="0090129A" w:rsidRPr="0078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5DB" w:rsidRDefault="00F945DB" w:rsidP="00F805EC">
      <w:r>
        <w:separator/>
      </w:r>
    </w:p>
  </w:endnote>
  <w:endnote w:type="continuationSeparator" w:id="0">
    <w:p w:rsidR="00F945DB" w:rsidRDefault="00F945DB" w:rsidP="00F8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5DB" w:rsidRDefault="00F945DB" w:rsidP="00F805EC">
      <w:r>
        <w:separator/>
      </w:r>
    </w:p>
  </w:footnote>
  <w:footnote w:type="continuationSeparator" w:id="0">
    <w:p w:rsidR="00F945DB" w:rsidRDefault="00F945DB" w:rsidP="00F80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98"/>
    <w:rsid w:val="00153E24"/>
    <w:rsid w:val="00531656"/>
    <w:rsid w:val="00695E00"/>
    <w:rsid w:val="006F5363"/>
    <w:rsid w:val="00787F0D"/>
    <w:rsid w:val="0090129A"/>
    <w:rsid w:val="00B12298"/>
    <w:rsid w:val="00BC5D6F"/>
    <w:rsid w:val="00BD4CBE"/>
    <w:rsid w:val="00C14976"/>
    <w:rsid w:val="00EA393B"/>
    <w:rsid w:val="00ED4540"/>
    <w:rsid w:val="00F805EC"/>
    <w:rsid w:val="00F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67E94-9B15-4764-B52A-86D40268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710</Words>
  <Characters>4052</Characters>
  <Application>Microsoft Office Word</Application>
  <DocSecurity>0</DocSecurity>
  <Lines>33</Lines>
  <Paragraphs>9</Paragraphs>
  <ScaleCrop>false</ScaleCrop>
  <Company>HP Inc.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3</cp:revision>
  <dcterms:created xsi:type="dcterms:W3CDTF">2021-09-20T06:53:00Z</dcterms:created>
  <dcterms:modified xsi:type="dcterms:W3CDTF">2021-09-20T06:53:00Z</dcterms:modified>
</cp:coreProperties>
</file>