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332EC39F" w:rsidR="00654E8F" w:rsidRDefault="00654E8F" w:rsidP="0001436A">
      <w:pPr>
        <w:pStyle w:val="SupplementaryMaterial"/>
      </w:pPr>
      <w:r w:rsidRPr="001549D3">
        <w:t>Supplementary Material</w:t>
      </w:r>
      <w:r w:rsidR="004A28CC">
        <w:t xml:space="preserve"> and Methods</w:t>
      </w:r>
    </w:p>
    <w:p w14:paraId="24138401" w14:textId="77777777" w:rsidR="004A28CC" w:rsidRPr="004A28CC" w:rsidRDefault="004A28CC" w:rsidP="004A28CC">
      <w:pPr>
        <w:pStyle w:val="Titolo"/>
      </w:pPr>
    </w:p>
    <w:p w14:paraId="58235B90" w14:textId="77777777" w:rsidR="004A28CC" w:rsidRPr="004A28CC" w:rsidRDefault="004A28CC" w:rsidP="004A28CC">
      <w:pPr>
        <w:spacing w:before="100" w:beforeAutospacing="1" w:after="100" w:afterAutospacing="1"/>
        <w:jc w:val="both"/>
        <w:rPr>
          <w:rFonts w:eastAsia="Calibri"/>
          <w:b/>
          <w:bCs/>
          <w:szCs w:val="24"/>
        </w:rPr>
      </w:pPr>
      <w:r w:rsidRPr="004A28CC">
        <w:rPr>
          <w:rFonts w:eastAsia="Calibri"/>
          <w:b/>
          <w:bCs/>
          <w:szCs w:val="24"/>
        </w:rPr>
        <w:t>Litter incubation procedure</w:t>
      </w:r>
    </w:p>
    <w:p w14:paraId="5F7C955A" w14:textId="09D9AEB2" w:rsidR="004A28CC" w:rsidRPr="00956EE5" w:rsidRDefault="004A28CC" w:rsidP="004A28CC">
      <w:pPr>
        <w:spacing w:before="100" w:beforeAutospacing="1" w:after="100" w:afterAutospacing="1"/>
        <w:jc w:val="both"/>
        <w:rPr>
          <w:rFonts w:eastAsia="Calibri"/>
          <w:szCs w:val="24"/>
          <w:lang w:val="en-GB"/>
        </w:rPr>
      </w:pPr>
      <w:r w:rsidRPr="00945F67">
        <w:rPr>
          <w:rFonts w:eastAsia="Calibri"/>
          <w:szCs w:val="24"/>
        </w:rPr>
        <w:t xml:space="preserve">Two types of tea with distinct qualities were used: green tea (Lipton, Unilever - </w:t>
      </w:r>
      <w:r w:rsidRPr="00945F67">
        <w:rPr>
          <w:color w:val="000000" w:themeColor="text1"/>
          <w:szCs w:val="24"/>
          <w:shd w:val="clear" w:color="auto" w:fill="FFFFFF"/>
          <w:lang w:val="en-GB"/>
        </w:rPr>
        <w:t>EAN 87 22700 05552 5</w:t>
      </w:r>
      <w:r w:rsidRPr="00945F67">
        <w:rPr>
          <w:rFonts w:eastAsia="Calibri"/>
          <w:color w:val="000000" w:themeColor="text1"/>
          <w:szCs w:val="24"/>
        </w:rPr>
        <w:t>) with a high content of cellulose and expected faster decomposition (higher TBIk), and rooibos (Lipton, Unilever -</w:t>
      </w:r>
      <w:r w:rsidRPr="00945F67">
        <w:rPr>
          <w:color w:val="000000" w:themeColor="text1"/>
          <w:szCs w:val="24"/>
          <w:shd w:val="clear" w:color="auto" w:fill="FFFFFF"/>
          <w:lang w:val="en-GB"/>
        </w:rPr>
        <w:t xml:space="preserve"> EAN 87 22700 18843 8</w:t>
      </w:r>
      <w:r w:rsidRPr="00945F67">
        <w:rPr>
          <w:rFonts w:eastAsia="Calibri"/>
          <w:szCs w:val="24"/>
        </w:rPr>
        <w:t xml:space="preserve">) with a high content of lignin and expected slower decomposition (lower TBIk) </w:t>
      </w:r>
      <w:r w:rsidRPr="00945F67">
        <w:rPr>
          <w:rFonts w:eastAsia="Calibri"/>
          <w:szCs w:val="24"/>
        </w:rPr>
        <w:fldChar w:fldCharType="begin" w:fldLock="1"/>
      </w:r>
      <w:r w:rsidR="00E3483D">
        <w:rPr>
          <w:rFonts w:eastAsia="Calibri"/>
          <w:szCs w:val="24"/>
        </w:rPr>
        <w:instrText>ADDIN CSL_CITATION {"citationItems":[{"id":"ITEM-1","itemData":{"DOI":"10.1111/2041-210X.12097","ISSN":"2041-210X","abstract":"Summary Changes in the balance between soil carbon storage and release can significantly amplify or attenuate global warming. Although a lot of progress has been made in determining potential drivers of carbon release through large-scale decomposition experiments, climate predictions are still hampered by data limitation at a global scale as a result of high effort and measurement costs of comparative litter decomposition studies. We introduce an innovative, cost-effective, well-standardised method to gather data on decomposition rate and litter stabilisation using commercially available tea bags as standardised test kits. By using two tea types with contrasting decomposability, we can construct a decomposition curve using a single measurement in time. The acquired Tea Bag Index (TBI) consists of two parameters describing decomposition rate (k) and litter stabilisation factor (S). The method was tested for its sensitivity and robustness in contrasting ecosystems and biomes, confirming that the TBI is sensitive enough to discriminate between these systems. Within an ecosystem, TBI is responsive to differences in abiotic circumstances such as soil temperature and moisture content. The collected k and S values are in accordance with expectations based on decomposition process literature. They are therefore interpretable within the current knowledge framework. Tea Bag Index is a unique, multifunctional method requiring few resources and minimal prior knowledge. The standardisation and simplicity of the method make it possible to collect comparable, globally distributed data through crowdsourcing. TBI can further provide an excellent decomposition reference and has the potential to increase reliability of soil carbon flux estimates based on extrapolations of decomposition data.","author":[{"dropping-particle":"","family":"Keuskamp","given":"Joost A","non-dropping-particle":"","parse-names":false,"suffix":""},{"dropping-particle":"","family":"Dingemans","given":"Bas J J","non-dropping-particle":"","parse-names":false,"suffix":""},{"dropping-particle":"","family":"Lehtinen","given":"Taru","non-dropping-particle":"","parse-names":false,"suffix":""},{"dropping-particle":"","family":"Sarneel","given":"Judith M","non-dropping-particle":"","parse-names":false,"suffix":""},{"dropping-particle":"","family":"Hefting","given":"Mariet M","non-dropping-particle":"","parse-names":false,"suffix":""}],"container-title":"Methods in Ecology and Evolution","id":"ITEM-1","issue":"11","issued":{"date-parts":[["2013","7"]]},"page":"1070-1075","publisher":"John Wiley &amp; Sons, Ltd (10.1111)","title":"Tea Bag Index: a novel approach to collect uniform decomposition data across ecosystems","type":"article-journal","volume":"4"},"uris":["http://www.mendeley.com/documents/?uuid=37f90894-5a26-4444-bd31-1bfd4cb387c5"]}],"mendeley":{"formattedCitation":"(Keuskamp et al., 2013)","plainTextFormattedCitation":"(Keuskamp et al., 2013)","previouslyFormattedCitation":"(Keuskamp et al., 2013)"},"properties":{"noteIndex":0},"schema":"https://github.com/citation-style-language/schema/raw/master/csl-citation.json"}</w:instrText>
      </w:r>
      <w:r w:rsidRPr="00945F67">
        <w:rPr>
          <w:rFonts w:eastAsia="Calibri"/>
          <w:szCs w:val="24"/>
        </w:rPr>
        <w:fldChar w:fldCharType="separate"/>
      </w:r>
      <w:r w:rsidRPr="00945F67">
        <w:rPr>
          <w:rFonts w:eastAsia="Calibri"/>
          <w:noProof/>
          <w:szCs w:val="24"/>
        </w:rPr>
        <w:t>(Keuskamp et al., 2013)</w:t>
      </w:r>
      <w:r w:rsidRPr="00945F67">
        <w:rPr>
          <w:rFonts w:eastAsia="Calibri"/>
          <w:szCs w:val="24"/>
        </w:rPr>
        <w:fldChar w:fldCharType="end"/>
      </w:r>
      <w:r w:rsidRPr="00945F67">
        <w:rPr>
          <w:rFonts w:eastAsia="Calibri"/>
          <w:szCs w:val="24"/>
        </w:rPr>
        <w:t>. The mesh size of 0.25 mm allowed access of microfauna</w:t>
      </w:r>
      <w:r>
        <w:rPr>
          <w:rFonts w:eastAsia="Calibri"/>
          <w:szCs w:val="24"/>
        </w:rPr>
        <w:t xml:space="preserve"> </w:t>
      </w:r>
      <w:r>
        <w:rPr>
          <w:rFonts w:eastAsia="Calibri"/>
          <w:szCs w:val="24"/>
        </w:rPr>
        <w:fldChar w:fldCharType="begin" w:fldLock="1"/>
      </w:r>
      <w:r w:rsidR="00E3483D">
        <w:rPr>
          <w:rFonts w:eastAsia="Calibri"/>
          <w:szCs w:val="24"/>
        </w:rPr>
        <w:instrText>ADDIN CSL_CITATION {"citationItems":[{"id":"ITEM-1","itemData":{"DOI":"10.1016/S0038-0717(96)00252-0","ISSN":"00380717","author":[{"dropping-particle":"","family":"Setälä","given":"Heikki","non-dropping-particle":"","parse-names":false,"suffix":""},{"dropping-particle":"","family":"Marshall","given":"Valin G.","non-dropping-particle":"","parse-names":false,"suffix":""},{"dropping-particle":"","family":"Trofymow","given":"J.A.","non-dropping-particle":"","parse-names":false,"suffix":""}],"container-title":"Soil Biology and Biochemistry","id":"ITEM-1","issue":"12","issued":{"date-parts":[["1996","12"]]},"page":"1661-1675","title":"Influence of body size of soil fauna on litter decomposition and 15N uptake by poplar in a pot trial","type":"article-journal","volume":"28"},"uris":["http://www.mendeley.com/documents/?uuid=9fe819b9-18bd-452e-9fc3-5ddaaaf232e0","http://www.mendeley.com/documents/?uuid=460b623f-b224-47d2-92e8-931e32fb7e83"]}],"mendeley":{"formattedCitation":"(Setälä et al., 1996)","plainTextFormattedCitation":"(Setälä et al., 1996)","previouslyFormattedCitation":"(Setälä et al., 1996)"},"properties":{"noteIndex":0},"schema":"https://github.com/citation-style-language/schema/raw/master/csl-citation.json"}</w:instrText>
      </w:r>
      <w:r>
        <w:rPr>
          <w:rFonts w:eastAsia="Calibri"/>
          <w:szCs w:val="24"/>
        </w:rPr>
        <w:fldChar w:fldCharType="separate"/>
      </w:r>
      <w:r w:rsidRPr="00003F8D">
        <w:rPr>
          <w:rFonts w:eastAsia="Calibri"/>
          <w:noProof/>
          <w:szCs w:val="24"/>
        </w:rPr>
        <w:t>(Setälä et al., 1996)</w:t>
      </w:r>
      <w:r>
        <w:rPr>
          <w:rFonts w:eastAsia="Calibri"/>
          <w:szCs w:val="24"/>
        </w:rPr>
        <w:fldChar w:fldCharType="end"/>
      </w:r>
      <w:r w:rsidRPr="00945F67">
        <w:rPr>
          <w:rFonts w:eastAsia="Calibri"/>
          <w:szCs w:val="24"/>
        </w:rPr>
        <w:t>. All tea bags were oven-dried at 70 °C for 48 hours and then weighed prior to installation.</w:t>
      </w:r>
    </w:p>
    <w:p w14:paraId="497A8911" w14:textId="635C0E91" w:rsidR="004A28CC" w:rsidRPr="004A28CC" w:rsidRDefault="004A28CC" w:rsidP="004A28CC">
      <w:pPr>
        <w:spacing w:before="100" w:beforeAutospacing="1" w:after="100" w:afterAutospacing="1"/>
        <w:rPr>
          <w:rFonts w:eastAsia="Calibri"/>
          <w:b/>
          <w:bCs/>
          <w:iCs/>
          <w:szCs w:val="24"/>
        </w:rPr>
      </w:pPr>
      <w:bookmarkStart w:id="0" w:name="_Hlk36047008"/>
      <w:r w:rsidRPr="004A28CC">
        <w:rPr>
          <w:rFonts w:eastAsia="Calibri"/>
          <w:b/>
          <w:bCs/>
          <w:iCs/>
          <w:szCs w:val="24"/>
        </w:rPr>
        <w:t>Soil</w:t>
      </w:r>
      <w:r w:rsidR="0068509B">
        <w:rPr>
          <w:rFonts w:eastAsia="Calibri"/>
          <w:b/>
          <w:bCs/>
          <w:iCs/>
          <w:szCs w:val="24"/>
        </w:rPr>
        <w:t xml:space="preserve"> </w:t>
      </w:r>
      <w:r w:rsidR="0068509B" w:rsidRPr="0068509B">
        <w:rPr>
          <w:rFonts w:eastAsia="Calibri"/>
          <w:b/>
          <w:bCs/>
          <w:iCs/>
          <w:szCs w:val="24"/>
          <w:lang w:val="en-GB"/>
        </w:rPr>
        <w:t>physical-chemical</w:t>
      </w:r>
      <w:r w:rsidRPr="004A28CC">
        <w:rPr>
          <w:rFonts w:eastAsia="Calibri"/>
          <w:b/>
          <w:bCs/>
          <w:iCs/>
          <w:szCs w:val="24"/>
        </w:rPr>
        <w:t xml:space="preserve"> analyses</w:t>
      </w:r>
    </w:p>
    <w:p w14:paraId="7CE9362D" w14:textId="1CD8696B" w:rsidR="004A28CC" w:rsidRDefault="004A28CC" w:rsidP="004A28CC">
      <w:pPr>
        <w:spacing w:before="100" w:beforeAutospacing="1" w:after="100" w:afterAutospacing="1"/>
        <w:jc w:val="both"/>
        <w:rPr>
          <w:rFonts w:eastAsia="Calibri"/>
          <w:szCs w:val="24"/>
        </w:rPr>
      </w:pPr>
      <w:bookmarkStart w:id="1" w:name="_Hlk36635326"/>
      <w:bookmarkEnd w:id="0"/>
      <w:r w:rsidRPr="000D090E">
        <w:rPr>
          <w:rFonts w:eastAsia="Calibri"/>
          <w:szCs w:val="24"/>
        </w:rPr>
        <w:t>Soil pH was determined with a pH meter (1:5 soil:deionized water slurry). Soil</w:t>
      </w:r>
      <w:r w:rsidRPr="000D090E">
        <w:rPr>
          <w:rFonts w:eastAsia="Calibri"/>
          <w:szCs w:val="24"/>
          <w:lang w:val="en-GB"/>
        </w:rPr>
        <w:t xml:space="preserve"> organic C content was determined through an extraction with </w:t>
      </w:r>
      <w:r w:rsidRPr="000D090E">
        <w:rPr>
          <w:rFonts w:eastAsia="Calibri"/>
          <w:bCs/>
          <w:szCs w:val="24"/>
          <w:lang w:val="en-GB"/>
        </w:rPr>
        <w:t xml:space="preserve">potassium dichromate </w:t>
      </w:r>
      <w:r w:rsidRPr="000D090E">
        <w:rPr>
          <w:rFonts w:eastAsia="Calibri"/>
          <w:szCs w:val="24"/>
          <w:lang w:val="en-GB"/>
        </w:rPr>
        <w:t>(K</w:t>
      </w:r>
      <w:r w:rsidRPr="000D090E">
        <w:rPr>
          <w:rFonts w:eastAsia="Calibri"/>
          <w:szCs w:val="24"/>
          <w:vertAlign w:val="subscript"/>
          <w:lang w:val="en-GB"/>
        </w:rPr>
        <w:t>2</w:t>
      </w:r>
      <w:r w:rsidRPr="000D090E">
        <w:rPr>
          <w:rFonts w:eastAsia="Calibri"/>
          <w:szCs w:val="24"/>
          <w:lang w:val="en-GB"/>
        </w:rPr>
        <w:t>Cr</w:t>
      </w:r>
      <w:r w:rsidRPr="000D090E">
        <w:rPr>
          <w:rFonts w:eastAsia="Calibri"/>
          <w:szCs w:val="24"/>
          <w:vertAlign w:val="subscript"/>
          <w:lang w:val="en-GB"/>
        </w:rPr>
        <w:t>2</w:t>
      </w:r>
      <w:r w:rsidRPr="000D090E">
        <w:rPr>
          <w:rFonts w:eastAsia="Calibri"/>
          <w:szCs w:val="24"/>
          <w:lang w:val="en-GB"/>
        </w:rPr>
        <w:t>O</w:t>
      </w:r>
      <w:r w:rsidRPr="000D090E">
        <w:rPr>
          <w:rFonts w:eastAsia="Calibri"/>
          <w:szCs w:val="24"/>
          <w:vertAlign w:val="subscript"/>
          <w:lang w:val="en-GB"/>
        </w:rPr>
        <w:t>7</w:t>
      </w:r>
      <w:r w:rsidRPr="000D090E">
        <w:rPr>
          <w:rFonts w:eastAsia="Calibri"/>
          <w:szCs w:val="24"/>
          <w:lang w:val="en-GB"/>
        </w:rPr>
        <w:t xml:space="preserve">); the solution was centrifuged </w:t>
      </w:r>
      <w:r w:rsidRPr="000D090E">
        <w:rPr>
          <w:rFonts w:eastAsia="Calibri"/>
          <w:szCs w:val="24"/>
        </w:rPr>
        <w:t xml:space="preserve">and then analyzed by spectrophotometry at 600 nm </w:t>
      </w:r>
      <w:r w:rsidRPr="000D090E">
        <w:rPr>
          <w:rFonts w:eastAsia="Calibri"/>
          <w:szCs w:val="24"/>
        </w:rPr>
        <w:fldChar w:fldCharType="begin" w:fldLock="1"/>
      </w:r>
      <w:r w:rsidR="00E3483D">
        <w:rPr>
          <w:rFonts w:eastAsia="Calibri"/>
          <w:szCs w:val="24"/>
        </w:rPr>
        <w:instrText>ADDIN CSL_CITATION {"citationItems":[{"id":"ITEM-1","itemData":{"DOI":"10.1097/00010694-193401000-00003","ISSN":"0038-075X","author":[{"dropping-particle":"","family":"Walkley","given":"A.","non-dropping-particle":"","parse-names":false,"suffix":""},{"dropping-particle":"","family":"Black","given":"I. Armstrong","non-dropping-particle":"","parse-names":false,"suffix":""}],"container-title":"Soil Science","id":"ITEM-1","issue":"1","issued":{"date-parts":[["1934","1"]]},"page":"29-38","title":"An examination of the Degtjareff method for determining soil organic matter and a proposed modification of the chromic acid titration method.","type":"article-journal","volume":"37"},"uris":["http://www.mendeley.com/documents/?uuid=d786d078-1ca9-4e70-84c4-745ab5a181e8"]}],"mendeley":{"formattedCitation":"(Walkley and Black, 1934)","plainTextFormattedCitation":"(Walkley and Black, 1934)","previouslyFormattedCitation":"(Walkley and Black, 1934)"},"properties":{"noteIndex":0},"schema":"https://github.com/citation-style-language/schema/raw/master/csl-citation.json"}</w:instrText>
      </w:r>
      <w:r w:rsidRPr="000D090E">
        <w:rPr>
          <w:rFonts w:eastAsia="Calibri"/>
          <w:szCs w:val="24"/>
        </w:rPr>
        <w:fldChar w:fldCharType="separate"/>
      </w:r>
      <w:r w:rsidRPr="000D090E">
        <w:rPr>
          <w:rFonts w:eastAsia="Calibri"/>
          <w:noProof/>
          <w:szCs w:val="24"/>
        </w:rPr>
        <w:t>(Walkley and Black, 1934)</w:t>
      </w:r>
      <w:r w:rsidRPr="000D090E">
        <w:rPr>
          <w:rFonts w:eastAsia="Calibri"/>
          <w:szCs w:val="24"/>
        </w:rPr>
        <w:fldChar w:fldCharType="end"/>
      </w:r>
      <w:r w:rsidRPr="000D090E">
        <w:rPr>
          <w:rFonts w:eastAsia="Calibri"/>
          <w:szCs w:val="24"/>
        </w:rPr>
        <w:t>. Total N and total phosphorous (P) were determined following a Kjeldahl acid digestion with sulfuric acid (H</w:t>
      </w:r>
      <w:r w:rsidRPr="000D090E">
        <w:rPr>
          <w:rFonts w:eastAsia="Calibri"/>
          <w:szCs w:val="24"/>
          <w:vertAlign w:val="subscript"/>
        </w:rPr>
        <w:t>2</w:t>
      </w:r>
      <w:r w:rsidRPr="000D090E">
        <w:rPr>
          <w:rFonts w:eastAsia="Calibri"/>
          <w:szCs w:val="24"/>
        </w:rPr>
        <w:t>SO</w:t>
      </w:r>
      <w:r w:rsidRPr="000D090E">
        <w:rPr>
          <w:rFonts w:eastAsia="Calibri"/>
          <w:szCs w:val="24"/>
          <w:vertAlign w:val="subscript"/>
        </w:rPr>
        <w:t>4</w:t>
      </w:r>
      <w:r w:rsidRPr="000D090E">
        <w:rPr>
          <w:rFonts w:eastAsia="Calibri"/>
          <w:szCs w:val="24"/>
        </w:rPr>
        <w:t>) and potassium sulfate (K</w:t>
      </w:r>
      <w:r w:rsidRPr="000D090E">
        <w:rPr>
          <w:rFonts w:eastAsia="Calibri"/>
          <w:szCs w:val="24"/>
          <w:vertAlign w:val="subscript"/>
        </w:rPr>
        <w:t>2</w:t>
      </w:r>
      <w:r w:rsidRPr="000D090E">
        <w:rPr>
          <w:rFonts w:eastAsia="Calibri"/>
          <w:szCs w:val="24"/>
        </w:rPr>
        <w:t>SO</w:t>
      </w:r>
      <w:r w:rsidRPr="000D090E">
        <w:rPr>
          <w:rFonts w:eastAsia="Calibri"/>
          <w:szCs w:val="24"/>
          <w:vertAlign w:val="subscript"/>
        </w:rPr>
        <w:t>4</w:t>
      </w:r>
      <w:r w:rsidRPr="000D090E">
        <w:rPr>
          <w:rFonts w:eastAsia="Calibri"/>
          <w:szCs w:val="24"/>
        </w:rPr>
        <w:t xml:space="preserve">) as catalysts. The resulting solutions from the digestions were analyzed using a </w:t>
      </w:r>
      <w:r w:rsidRPr="000D090E">
        <w:rPr>
          <w:rFonts w:eastAsia="Calibri"/>
          <w:bCs/>
          <w:szCs w:val="24"/>
        </w:rPr>
        <w:t>SAN</w:t>
      </w:r>
      <w:r w:rsidRPr="000D090E">
        <w:rPr>
          <w:rFonts w:eastAsia="Calibri"/>
          <w:b/>
          <w:bCs/>
          <w:szCs w:val="24"/>
        </w:rPr>
        <w:t xml:space="preserve">++ </w:t>
      </w:r>
      <w:r w:rsidRPr="000D090E">
        <w:rPr>
          <w:rFonts w:eastAsia="Calibri"/>
          <w:bCs/>
          <w:szCs w:val="24"/>
        </w:rPr>
        <w:t>a</w:t>
      </w:r>
      <w:r w:rsidRPr="000D090E">
        <w:rPr>
          <w:rFonts w:eastAsia="Calibri"/>
          <w:szCs w:val="24"/>
        </w:rPr>
        <w:t>nalyzer (Skalar, The Netherlands). Soil inorganic N was extracted adding 0.5 M K</w:t>
      </w:r>
      <w:r w:rsidRPr="000D090E">
        <w:rPr>
          <w:rFonts w:eastAsia="Calibri"/>
          <w:szCs w:val="24"/>
          <w:vertAlign w:val="subscript"/>
        </w:rPr>
        <w:t>2</w:t>
      </w:r>
      <w:r w:rsidRPr="000D090E">
        <w:rPr>
          <w:rFonts w:eastAsia="Calibri"/>
          <w:szCs w:val="24"/>
        </w:rPr>
        <w:t>SO</w:t>
      </w:r>
      <w:r w:rsidRPr="000D090E">
        <w:rPr>
          <w:rFonts w:eastAsia="Calibri"/>
          <w:szCs w:val="24"/>
          <w:vertAlign w:val="subscript"/>
        </w:rPr>
        <w:t>4</w:t>
      </w:r>
      <w:r w:rsidRPr="000D090E">
        <w:rPr>
          <w:rFonts w:eastAsia="Calibri"/>
          <w:szCs w:val="24"/>
        </w:rPr>
        <w:t xml:space="preserve"> at a ratio of 1:5, followed by shaking for 1 h at 200 rpm at 20 ºC and then filtered through a 0.45 mm Millipore filter </w:t>
      </w:r>
      <w:r w:rsidRPr="000D090E">
        <w:rPr>
          <w:rFonts w:eastAsia="Calibri"/>
          <w:szCs w:val="24"/>
        </w:rPr>
        <w:fldChar w:fldCharType="begin" w:fldLock="1"/>
      </w:r>
      <w:r w:rsidR="00E3483D">
        <w:rPr>
          <w:rFonts w:eastAsia="Calibri"/>
          <w:szCs w:val="24"/>
        </w:rPr>
        <w:instrText>ADDIN CSL_CITATION {"citationItems":[{"id":"ITEM-1","itemData":{"DOI":"10.1016/j.soilbio.2005.08.012","ISSN":"00380717 (ISSN)","author":[{"dropping-particle":"","family":"Jones","given":"D L","non-dropping-particle":"","parse-names":false,"suffix":""},{"dropping-particle":"","family":"Willett","given":"V B","non-dropping-particle":"","parse-names":false,"suffix":""}],"container-title":"Soil Biology and Biochemistry","id":"ITEM-1","issue":"5","issued":{"date-parts":[["2006"]]},"language":"English","page":"991-999","publisher-place":"School of Agricultural and Forest Sciences, University of Wales, Bangor, Gwynedd LL57 2UW, United Kingdom","title":"Experimental evaluation of methods to quantify dissolved organic nitrogen (DON) and dissolved organic carbon (DOC) in soil","type":"article-journal","volume":"38"},"uris":["http://www.mendeley.com/documents/?uuid=eabc898a-ee08-4841-a326-fe0f311360cf","http://www.mendeley.com/documents/?uuid=5ae12093-df30-4920-a108-13da525a5a8c"]}],"mendeley":{"formattedCitation":"(Jones and Willett, 2006)","plainTextFormattedCitation":"(Jones and Willett, 2006)","previouslyFormattedCitation":"(Jones and Willett, 2006)"},"properties":{"noteIndex":0},"schema":"https://github.com/citation-style-language/schema/raw/master/csl-citation.json"}</w:instrText>
      </w:r>
      <w:r w:rsidRPr="000D090E">
        <w:rPr>
          <w:rFonts w:eastAsia="Calibri"/>
          <w:szCs w:val="24"/>
        </w:rPr>
        <w:fldChar w:fldCharType="separate"/>
      </w:r>
      <w:r w:rsidRPr="000D090E">
        <w:rPr>
          <w:rFonts w:eastAsia="Calibri"/>
          <w:noProof/>
          <w:szCs w:val="24"/>
        </w:rPr>
        <w:t>(Jones and Willett, 2006)</w:t>
      </w:r>
      <w:r w:rsidRPr="000D090E">
        <w:rPr>
          <w:rFonts w:eastAsia="Calibri"/>
          <w:szCs w:val="24"/>
        </w:rPr>
        <w:fldChar w:fldCharType="end"/>
      </w:r>
      <w:r w:rsidRPr="000D090E">
        <w:rPr>
          <w:rFonts w:eastAsia="Calibri"/>
          <w:szCs w:val="24"/>
        </w:rPr>
        <w:t>. The inorganic N content was first reduced to NH</w:t>
      </w:r>
      <w:r w:rsidRPr="000D090E">
        <w:rPr>
          <w:rFonts w:eastAsia="Calibri"/>
          <w:szCs w:val="24"/>
          <w:vertAlign w:val="subscript"/>
        </w:rPr>
        <w:t>4</w:t>
      </w:r>
      <w:r w:rsidRPr="000D090E">
        <w:rPr>
          <w:rFonts w:eastAsia="Calibri"/>
          <w:szCs w:val="24"/>
          <w:vertAlign w:val="superscript"/>
        </w:rPr>
        <w:t>+</w:t>
      </w:r>
      <w:r w:rsidRPr="000D090E">
        <w:rPr>
          <w:rFonts w:eastAsia="Calibri"/>
          <w:szCs w:val="24"/>
        </w:rPr>
        <w:t xml:space="preserve">-N with Devarda alloy and its concentration was analyzed via the indophenol blue method using a microplate reader </w:t>
      </w:r>
      <w:r w:rsidRPr="000D090E">
        <w:rPr>
          <w:rFonts w:eastAsia="Calibri"/>
          <w:szCs w:val="24"/>
        </w:rPr>
        <w:fldChar w:fldCharType="begin" w:fldLock="1"/>
      </w:r>
      <w:r w:rsidR="00E3483D">
        <w:rPr>
          <w:rFonts w:eastAsia="Calibri"/>
          <w:szCs w:val="24"/>
        </w:rPr>
        <w:instrText>ADDIN CSL_CITATION {"citationItems":[{"id":"ITEM-1","itemData":{"DOI":"10.1080/00103629509369298","ISSN":"0010-3624","author":[{"dropping-particle":"","family":"Sims","given":"G. K.","non-dropping-particle":"","parse-names":false,"suffix":""},{"dropping-particle":"","family":"Ellsworth","given":"T. R.","non-dropping-particle":"","parse-names":false,"suffix":""},{"dropping-particle":"","family":"Mulvaney","given":"R. L.","non-dropping-particle":"","parse-names":false,"suffix":""}],"container-title":"Communications in Soil Science and Plant Analysis","id":"ITEM-1","issue":"1-2","issued":{"date-parts":[["1995","1"]]},"page":"303-316","title":"Microscale determination of inorganic nitrogen in water and soil extracts","type":"article-journal","volume":"26"},"uris":["http://www.mendeley.com/documents/?uuid=83fa3ee9-2f46-3893-a079-a5584f452a5f"]}],"mendeley":{"formattedCitation":"(Sims et al., 1995)","plainTextFormattedCitation":"(Sims et al., 1995)","previouslyFormattedCitation":"(Sims et al., 1995)"},"properties":{"noteIndex":0},"schema":"https://github.com/citation-style-language/schema/raw/master/csl-citation.json"}</w:instrText>
      </w:r>
      <w:r w:rsidRPr="000D090E">
        <w:rPr>
          <w:rFonts w:eastAsia="Calibri"/>
          <w:szCs w:val="24"/>
        </w:rPr>
        <w:fldChar w:fldCharType="separate"/>
      </w:r>
      <w:r w:rsidRPr="000D090E">
        <w:rPr>
          <w:rFonts w:eastAsia="Calibri"/>
          <w:noProof/>
          <w:szCs w:val="24"/>
        </w:rPr>
        <w:t>(Sims et al., 1995)</w:t>
      </w:r>
      <w:r w:rsidRPr="000D090E">
        <w:rPr>
          <w:rFonts w:eastAsia="Calibri"/>
          <w:szCs w:val="24"/>
        </w:rPr>
        <w:fldChar w:fldCharType="end"/>
      </w:r>
      <w:bookmarkEnd w:id="1"/>
      <w:r w:rsidRPr="000D090E">
        <w:rPr>
          <w:rFonts w:eastAsia="Calibri"/>
          <w:szCs w:val="24"/>
        </w:rPr>
        <w:t>.</w:t>
      </w:r>
    </w:p>
    <w:p w14:paraId="19D056DC" w14:textId="77777777" w:rsidR="004A28CC" w:rsidRPr="004A28CC" w:rsidRDefault="004A28CC" w:rsidP="004A28CC">
      <w:pPr>
        <w:spacing w:before="100" w:beforeAutospacing="1" w:after="100" w:afterAutospacing="1"/>
        <w:jc w:val="both"/>
        <w:rPr>
          <w:rFonts w:eastAsia="Calibri"/>
          <w:b/>
          <w:bCs/>
          <w:szCs w:val="24"/>
        </w:rPr>
      </w:pPr>
      <w:r w:rsidRPr="004A28CC">
        <w:rPr>
          <w:rFonts w:eastAsia="Calibri"/>
          <w:b/>
          <w:bCs/>
          <w:szCs w:val="24"/>
        </w:rPr>
        <w:t>Soil extracellular enzyme activity measurements</w:t>
      </w:r>
    </w:p>
    <w:p w14:paraId="68A0E8CC" w14:textId="77777777" w:rsidR="004A28CC" w:rsidRPr="006B5295" w:rsidRDefault="004A28CC" w:rsidP="004A28CC">
      <w:pPr>
        <w:spacing w:before="100" w:beforeAutospacing="1" w:after="100" w:afterAutospacing="1"/>
        <w:jc w:val="both"/>
        <w:rPr>
          <w:rFonts w:eastAsia="Calibri"/>
          <w:szCs w:val="24"/>
        </w:rPr>
      </w:pPr>
      <w:r w:rsidRPr="006B5295">
        <w:rPr>
          <w:rFonts w:eastAsia="Calibri"/>
          <w:szCs w:val="24"/>
        </w:rPr>
        <w:t>The fluorescence assays were performed at 364 (±10) nm excitation and 450 (±10) nm emission in a fluorescence microplate reader, while the 2,2'-azino-bis 3-ethylbenzothiazoline-6-sulfonic acid absorption was measured at 420 (± 5) nm.</w:t>
      </w:r>
    </w:p>
    <w:p w14:paraId="000FC0C4" w14:textId="77777777" w:rsidR="004A28CC" w:rsidRPr="004A28CC" w:rsidRDefault="004A28CC" w:rsidP="004A28CC">
      <w:pPr>
        <w:spacing w:before="100" w:beforeAutospacing="1" w:after="100" w:afterAutospacing="1"/>
        <w:jc w:val="both"/>
        <w:rPr>
          <w:rFonts w:eastAsia="Calibri"/>
          <w:b/>
          <w:bCs/>
          <w:iCs/>
          <w:szCs w:val="24"/>
        </w:rPr>
      </w:pPr>
      <w:r w:rsidRPr="004A28CC">
        <w:rPr>
          <w:rFonts w:eastAsia="Calibri"/>
          <w:b/>
          <w:bCs/>
          <w:iCs/>
          <w:szCs w:val="24"/>
        </w:rPr>
        <w:t>Soil microbial analyses</w:t>
      </w:r>
    </w:p>
    <w:p w14:paraId="7762CCD5" w14:textId="77CC15F4" w:rsidR="00CA5486" w:rsidRDefault="004A28CC" w:rsidP="004A28CC">
      <w:pPr>
        <w:spacing w:before="100" w:beforeAutospacing="1" w:after="100" w:afterAutospacing="1"/>
        <w:jc w:val="both"/>
        <w:rPr>
          <w:rFonts w:eastAsia="Calibri"/>
          <w:szCs w:val="24"/>
        </w:rPr>
      </w:pPr>
      <w:r w:rsidRPr="00945F67">
        <w:rPr>
          <w:rFonts w:eastAsia="Calibri"/>
          <w:szCs w:val="24"/>
        </w:rPr>
        <w:t>Soil DNA was extracted from 0.25 g of air-dry soil using the MoBioPowersoil</w:t>
      </w:r>
      <w:r w:rsidRPr="00945F67">
        <w:rPr>
          <w:rFonts w:eastAsia="Calibri"/>
          <w:szCs w:val="24"/>
          <w:vertAlign w:val="superscript"/>
        </w:rPr>
        <w:t>®</w:t>
      </w:r>
      <w:r w:rsidRPr="00945F67">
        <w:rPr>
          <w:rFonts w:eastAsia="Calibri"/>
          <w:szCs w:val="24"/>
        </w:rPr>
        <w:t xml:space="preserve"> DNA Isolation Kit (Carlsbad, USA). We performed qPCR reactions in triplicate using 96-well plates on a AB 7300 Real-Time PCR (Life Sciences Technologies, Carlsbad, California, USA). The Bacterial 16S, fungal ITS, AOB and AOA genes were amplified with the Eub 338-Eub 518, ITS 1-5.8S </w:t>
      </w:r>
      <w:r w:rsidRPr="00945F67">
        <w:rPr>
          <w:rFonts w:eastAsia="Calibri"/>
          <w:szCs w:val="24"/>
        </w:rPr>
        <w:fldChar w:fldCharType="begin" w:fldLock="1"/>
      </w:r>
      <w:r w:rsidR="00E3483D">
        <w:rPr>
          <w:rFonts w:eastAsia="Calibri"/>
          <w:szCs w:val="24"/>
        </w:rPr>
        <w:instrText>ADDIN CSL_CITATION {"citationItems":[{"id":"ITEM-1","itemData":{"DOI":"10.1007/s10533-011-9638-3","ISBN":"0168-2563","ISSN":"0168-2563","abstract":"Climate models project that precipitation patterns will likely intensify in the future, resulting in increased duration of droughts and increased frequency of large soil rewetting events, which are stressful to the microorganisms that drive soil biogeochemical cycling. Historical conditions can affect contemporary microbial responses to environmental factors through the persistence of abiotic changes or through the selection of a more tolerant microbial community. We examined how a history of intensified rainfall would alter microbial functional response to drying and rewetting events, whether this historical legacy was mediated through altered microbial community composition, and how long community and functional legacies persisted under similar conditions. We collected soils from a long-term field manipulation (Rainfall Manipulation Plot Study) in Kansas, USA, where rainfall variability was experimentally amplified. We measured respiration, microbial biomass, fungal:bacterial ratios and bacterial community composition after collecting soils from the field experiment, and after subjecting them to a series of drying–rewetting pulses in the lab. Although rainfall history affected respiration and microbial biomass, the differences between field treatments did not persist throughout our 115-day drying–rewetting incubation. However, soils accustomed to more extreme rainfall did change less in response to lab moisture pulses. In contrast, bacterial community composition did not differ between rainfall manipulation treatments, but became more dissimilar in response to drying–rewetting pulses depending on their previous field conditions. Our results suggest that environmental history can affect contemporary rates of biogeochemical processes both through changes in abiotic drivers and through changes in microbial community structure. However, the extremity of the disturbance and the mechanism through which historical legacies occur may influence how long they persist, which determines the importance of these effects for biogeochemical cycling.","author":[{"dropping-particle":"","family":"Evans","given":"Sarah E.","non-dropping-particle":"","parse-names":false,"suffix":""},{"dropping-particle":"","family":"Wallenstein","given":"Matthew D.","non-dropping-particle":"","parse-names":false,"suffix":""}],"container-title":"Biogeochemistry","id":"ITEM-1","issue":"1-3","issued":{"date-parts":[["2012"]]},"page":"101-116","title":"Soil microbial community response to drying and rewetting stress: Does historical precipitation regime matter?","type":"article-journal","volume":"109"},"uris":["http://www.mendeley.com/documents/?uuid=cf8d6adb-90ea-49d8-bbdf-12ccda04fb63"]}],"mendeley":{"formattedCitation":"(Evans and Wallenstein, 2012)","plainTextFormattedCitation":"(Evans and Wallenstein, 2012)","previouslyFormattedCitation":"(Evans and Wallenstein, 2012)"},"properties":{"noteIndex":0},"schema":"https://github.com/citation-style-language/schema/raw/master/csl-citation.json"}</w:instrText>
      </w:r>
      <w:r w:rsidRPr="00945F67">
        <w:rPr>
          <w:rFonts w:eastAsia="Calibri"/>
          <w:szCs w:val="24"/>
        </w:rPr>
        <w:fldChar w:fldCharType="separate"/>
      </w:r>
      <w:r w:rsidRPr="00945F67">
        <w:rPr>
          <w:rFonts w:eastAsia="Calibri"/>
          <w:noProof/>
          <w:szCs w:val="24"/>
        </w:rPr>
        <w:t>(Evans and Wallenstein, 2012)</w:t>
      </w:r>
      <w:r w:rsidRPr="00945F67">
        <w:rPr>
          <w:rFonts w:eastAsia="Calibri"/>
          <w:szCs w:val="24"/>
        </w:rPr>
        <w:fldChar w:fldCharType="end"/>
      </w:r>
      <w:r w:rsidRPr="00945F67">
        <w:rPr>
          <w:rFonts w:eastAsia="Calibri"/>
          <w:szCs w:val="24"/>
        </w:rPr>
        <w:t>.</w:t>
      </w:r>
    </w:p>
    <w:p w14:paraId="6B732494" w14:textId="77777777" w:rsidR="00CA5486" w:rsidRDefault="00CA5486">
      <w:pPr>
        <w:spacing w:before="0" w:after="200" w:line="276" w:lineRule="auto"/>
        <w:rPr>
          <w:rFonts w:eastAsia="Calibri"/>
          <w:szCs w:val="24"/>
        </w:rPr>
      </w:pPr>
      <w:r>
        <w:rPr>
          <w:rFonts w:eastAsia="Calibri"/>
          <w:szCs w:val="24"/>
        </w:rPr>
        <w:br w:type="page"/>
      </w:r>
    </w:p>
    <w:p w14:paraId="0AC826A7" w14:textId="3B4F342F" w:rsidR="002E369C" w:rsidRDefault="002E369C" w:rsidP="004A28CC">
      <w:pPr>
        <w:spacing w:before="100" w:beforeAutospacing="1" w:after="100" w:afterAutospacing="1"/>
        <w:jc w:val="both"/>
        <w:rPr>
          <w:rFonts w:eastAsia="Calibri"/>
          <w:b/>
          <w:bCs/>
          <w:szCs w:val="24"/>
        </w:rPr>
      </w:pPr>
      <w:r w:rsidRPr="00AF2B90">
        <w:rPr>
          <w:rFonts w:eastAsia="Calibri"/>
          <w:b/>
          <w:bCs/>
          <w:szCs w:val="24"/>
        </w:rPr>
        <w:lastRenderedPageBreak/>
        <w:t>Figure supplementary material</w:t>
      </w:r>
    </w:p>
    <w:p w14:paraId="6891B0A2" w14:textId="77777777" w:rsidR="00CA5486" w:rsidRPr="00AF2B90" w:rsidRDefault="00CA5486" w:rsidP="004A28CC">
      <w:pPr>
        <w:spacing w:before="100" w:beforeAutospacing="1" w:after="100" w:afterAutospacing="1"/>
        <w:jc w:val="both"/>
        <w:rPr>
          <w:rFonts w:eastAsia="Calibri"/>
          <w:b/>
          <w:bCs/>
          <w:szCs w:val="24"/>
        </w:rPr>
      </w:pPr>
    </w:p>
    <w:p w14:paraId="7893546C" w14:textId="3CAF3340" w:rsidR="00930585" w:rsidRDefault="00930585" w:rsidP="00AF2B90">
      <w:pPr>
        <w:spacing w:before="100" w:beforeAutospacing="1" w:after="100" w:afterAutospacing="1"/>
        <w:jc w:val="center"/>
        <w:rPr>
          <w:rFonts w:eastAsia="Calibri"/>
          <w:noProof/>
          <w:szCs w:val="24"/>
        </w:rPr>
      </w:pPr>
      <w:r>
        <w:rPr>
          <w:rFonts w:eastAsia="Calibri"/>
          <w:noProof/>
          <w:szCs w:val="24"/>
        </w:rPr>
        <w:drawing>
          <wp:inline distT="0" distB="0" distL="0" distR="0" wp14:anchorId="7DB8C13E" wp14:editId="07C5446A">
            <wp:extent cx="6507480" cy="4638251"/>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6143" cy="4644425"/>
                    </a:xfrm>
                    <a:prstGeom prst="rect">
                      <a:avLst/>
                    </a:prstGeom>
                    <a:noFill/>
                    <a:ln>
                      <a:noFill/>
                    </a:ln>
                  </pic:spPr>
                </pic:pic>
              </a:graphicData>
            </a:graphic>
          </wp:inline>
        </w:drawing>
      </w:r>
    </w:p>
    <w:p w14:paraId="27011DB2" w14:textId="77777777" w:rsidR="00AF2B90" w:rsidRDefault="00AF2B90" w:rsidP="00AF2B90">
      <w:pPr>
        <w:autoSpaceDE w:val="0"/>
        <w:autoSpaceDN w:val="0"/>
        <w:adjustRightInd w:val="0"/>
        <w:spacing w:before="0" w:after="0"/>
        <w:rPr>
          <w:rFonts w:ascii="AdvMINION-B" w:hAnsi="AdvMINION-B" w:cs="AdvMINION-B"/>
          <w:sz w:val="18"/>
          <w:szCs w:val="18"/>
        </w:rPr>
      </w:pPr>
    </w:p>
    <w:p w14:paraId="000C3F0A" w14:textId="6784DB36" w:rsidR="00A46E6E" w:rsidRDefault="00A46E6E" w:rsidP="000C02DC">
      <w:pPr>
        <w:autoSpaceDE w:val="0"/>
        <w:autoSpaceDN w:val="0"/>
        <w:adjustRightInd w:val="0"/>
        <w:spacing w:before="0" w:after="0"/>
        <w:jc w:val="both"/>
        <w:rPr>
          <w:rFonts w:eastAsia="Calibri" w:cs="Times New Roman"/>
          <w:szCs w:val="24"/>
          <w:lang w:val="en-GB"/>
        </w:rPr>
      </w:pPr>
      <w:r w:rsidRPr="002E369C">
        <w:rPr>
          <w:rFonts w:eastAsia="Calibri"/>
          <w:b/>
          <w:bCs/>
          <w:szCs w:val="24"/>
        </w:rPr>
        <w:t>FIGURE 1S</w:t>
      </w:r>
      <w:r>
        <w:rPr>
          <w:rFonts w:eastAsia="Calibri"/>
          <w:szCs w:val="24"/>
        </w:rPr>
        <w:t xml:space="preserve">: </w:t>
      </w:r>
      <w:r w:rsidRPr="00A46E6E">
        <w:rPr>
          <w:rFonts w:cs="Times New Roman"/>
          <w:szCs w:val="24"/>
        </w:rPr>
        <w:t xml:space="preserve">PCA factor loadings for each soil </w:t>
      </w:r>
      <w:r w:rsidR="00EC2EA4">
        <w:rPr>
          <w:rFonts w:eastAsia="Calibri"/>
          <w:color w:val="131413"/>
          <w:szCs w:val="24"/>
          <w:lang w:val="en-GB"/>
        </w:rPr>
        <w:t>soil extracellular enzyme activity (EEA)</w:t>
      </w:r>
      <w:r w:rsidRPr="00A46E6E">
        <w:rPr>
          <w:rFonts w:cs="Times New Roman"/>
          <w:szCs w:val="24"/>
        </w:rPr>
        <w:t>.</w:t>
      </w:r>
      <w:r w:rsidRPr="00A46E6E">
        <w:rPr>
          <w:rFonts w:cs="Times New Roman"/>
          <w:color w:val="000000"/>
          <w:szCs w:val="24"/>
        </w:rPr>
        <w:t xml:space="preserve"> Dimension (DIM) 1 accounted for 65% of the variance, DIM 2 accounted for 24%. </w:t>
      </w:r>
      <w:r w:rsidRPr="00A46E6E">
        <w:rPr>
          <w:rFonts w:eastAsia="Calibri" w:cs="Times New Roman"/>
          <w:szCs w:val="24"/>
        </w:rPr>
        <w:t xml:space="preserve">Soil EEA showed are respectively: Cellobiohydrolase (Cell), Glucosidase (Glus), Glucoronidase (Glur), Xilosidase (Xilo), N-acetyl Glucosaminidase (NaGl), </w:t>
      </w:r>
      <w:r w:rsidRPr="00A46E6E">
        <w:rPr>
          <w:rFonts w:eastAsia="Calibri" w:cs="Times New Roman"/>
          <w:szCs w:val="24"/>
          <w:lang w:val="en-GB"/>
        </w:rPr>
        <w:t>Leucine Aminopeptidase (LeAm), , Phosphatase (Phos).</w:t>
      </w:r>
    </w:p>
    <w:p w14:paraId="6743FD40" w14:textId="77777777" w:rsidR="00A46E6E" w:rsidRDefault="00A46E6E">
      <w:pPr>
        <w:spacing w:before="0" w:after="200" w:line="276" w:lineRule="auto"/>
        <w:rPr>
          <w:rFonts w:eastAsia="Calibri" w:cs="Times New Roman"/>
          <w:szCs w:val="24"/>
          <w:lang w:val="en-GB"/>
        </w:rPr>
      </w:pPr>
      <w:r>
        <w:rPr>
          <w:rFonts w:eastAsia="Calibri" w:cs="Times New Roman"/>
          <w:szCs w:val="24"/>
          <w:lang w:val="en-GB"/>
        </w:rPr>
        <w:br w:type="page"/>
      </w:r>
    </w:p>
    <w:p w14:paraId="5F64CB7E" w14:textId="77777777" w:rsidR="00A46E6E" w:rsidRPr="00AF2B90" w:rsidRDefault="00A46E6E" w:rsidP="00A46E6E">
      <w:pPr>
        <w:spacing w:before="100" w:beforeAutospacing="1" w:after="100" w:afterAutospacing="1"/>
        <w:jc w:val="both"/>
        <w:rPr>
          <w:rFonts w:eastAsia="Calibri"/>
          <w:b/>
          <w:bCs/>
          <w:szCs w:val="24"/>
        </w:rPr>
      </w:pPr>
      <w:r>
        <w:rPr>
          <w:rFonts w:eastAsia="Calibri"/>
          <w:b/>
          <w:bCs/>
          <w:szCs w:val="24"/>
        </w:rPr>
        <w:lastRenderedPageBreak/>
        <w:t>Table</w:t>
      </w:r>
      <w:r w:rsidRPr="00AF2B90">
        <w:rPr>
          <w:rFonts w:eastAsia="Calibri"/>
          <w:b/>
          <w:bCs/>
          <w:szCs w:val="24"/>
        </w:rPr>
        <w:t xml:space="preserve"> supplementary material</w:t>
      </w:r>
    </w:p>
    <w:p w14:paraId="04C647E3" w14:textId="4E3DC4FB" w:rsidR="00AF2B90" w:rsidRPr="002E369C" w:rsidRDefault="00A46E6E" w:rsidP="00A46E6E">
      <w:pPr>
        <w:spacing w:before="100" w:beforeAutospacing="1" w:after="100" w:afterAutospacing="1"/>
        <w:jc w:val="both"/>
        <w:rPr>
          <w:rFonts w:eastAsia="Calibri"/>
          <w:szCs w:val="24"/>
          <w:lang w:val="en-GB"/>
        </w:rPr>
      </w:pPr>
      <w:r w:rsidRPr="00AF2B90">
        <w:rPr>
          <w:rFonts w:cs="Times New Roman"/>
          <w:b/>
          <w:bCs/>
          <w:szCs w:val="24"/>
        </w:rPr>
        <w:t>TABLE 1S</w:t>
      </w:r>
      <w:r w:rsidRPr="00AF2B90">
        <w:rPr>
          <w:rFonts w:cs="Times New Roman"/>
          <w:szCs w:val="24"/>
        </w:rPr>
        <w:t>: PCA factor loadings for each</w:t>
      </w:r>
      <w:r>
        <w:rPr>
          <w:rFonts w:cs="Times New Roman"/>
          <w:szCs w:val="24"/>
        </w:rPr>
        <w:t xml:space="preserve"> soil</w:t>
      </w:r>
      <w:r w:rsidRPr="00AF2B90">
        <w:rPr>
          <w:rFonts w:cs="Times New Roman"/>
          <w:szCs w:val="24"/>
        </w:rPr>
        <w:t xml:space="preserve"> </w:t>
      </w:r>
      <w:r w:rsidR="00EC2EA4" w:rsidRPr="00EC2EA4">
        <w:rPr>
          <w:rFonts w:cs="Times New Roman"/>
          <w:szCs w:val="24"/>
          <w:lang w:val="en-GB"/>
        </w:rPr>
        <w:t>soil extracellular enzyme activity</w:t>
      </w:r>
      <w:r w:rsidR="00EC2EA4" w:rsidRPr="00EC2EA4">
        <w:rPr>
          <w:rFonts w:cs="Times New Roman"/>
          <w:szCs w:val="24"/>
        </w:rPr>
        <w:t xml:space="preserve"> </w:t>
      </w:r>
      <w:r w:rsidR="00EC2EA4">
        <w:rPr>
          <w:rFonts w:cs="Times New Roman"/>
          <w:szCs w:val="24"/>
        </w:rPr>
        <w:t>(</w:t>
      </w:r>
      <w:r w:rsidRPr="00AF2B90">
        <w:rPr>
          <w:rFonts w:cs="Times New Roman"/>
          <w:szCs w:val="24"/>
        </w:rPr>
        <w:t>EEA</w:t>
      </w:r>
      <w:r w:rsidR="00EC2EA4">
        <w:rPr>
          <w:rFonts w:cs="Times New Roman"/>
          <w:szCs w:val="24"/>
        </w:rPr>
        <w:t>)</w:t>
      </w:r>
      <w:r>
        <w:rPr>
          <w:rFonts w:cs="Times New Roman"/>
          <w:szCs w:val="24"/>
        </w:rPr>
        <w:t xml:space="preserve">. </w:t>
      </w:r>
      <w:r w:rsidRPr="002E369C">
        <w:rPr>
          <w:rFonts w:eastAsia="Calibri"/>
          <w:szCs w:val="24"/>
        </w:rPr>
        <w:t xml:space="preserve">Soil EEA showed are respectively: Cellobiohydrolase (Cell), Glucosidase (Glus), Glucoronidase (Glur), Xilosidase (Xilo), N-acetyl Glucosaminidase (NaGl), </w:t>
      </w:r>
      <w:r w:rsidRPr="002E369C">
        <w:rPr>
          <w:rFonts w:eastAsia="Calibri"/>
          <w:szCs w:val="24"/>
          <w:lang w:val="en-GB"/>
        </w:rPr>
        <w:t>Leucine Aminopeptidase (LeAm), Phosphatase (Phos).</w:t>
      </w:r>
    </w:p>
    <w:tbl>
      <w:tblPr>
        <w:tblW w:w="0" w:type="auto"/>
        <w:jc w:val="center"/>
        <w:tblCellMar>
          <w:left w:w="70" w:type="dxa"/>
          <w:right w:w="70" w:type="dxa"/>
        </w:tblCellMar>
        <w:tblLook w:val="04A0" w:firstRow="1" w:lastRow="0" w:firstColumn="1" w:lastColumn="0" w:noHBand="0" w:noVBand="1"/>
      </w:tblPr>
      <w:tblGrid>
        <w:gridCol w:w="1060"/>
        <w:gridCol w:w="200"/>
        <w:gridCol w:w="760"/>
        <w:gridCol w:w="200"/>
        <w:gridCol w:w="880"/>
      </w:tblGrid>
      <w:tr w:rsidR="001A2D65" w:rsidRPr="001A2D65" w14:paraId="49F0C6A7" w14:textId="77777777" w:rsidTr="00A46E6E">
        <w:trPr>
          <w:trHeight w:val="441"/>
          <w:jc w:val="center"/>
        </w:trPr>
        <w:tc>
          <w:tcPr>
            <w:tcW w:w="0" w:type="auto"/>
            <w:tcBorders>
              <w:top w:val="single" w:sz="4" w:space="0" w:color="auto"/>
              <w:left w:val="nil"/>
              <w:bottom w:val="single" w:sz="8" w:space="0" w:color="auto"/>
              <w:right w:val="nil"/>
            </w:tcBorders>
            <w:shd w:val="clear" w:color="000000" w:fill="FFFFFF"/>
            <w:noWrap/>
            <w:vAlign w:val="bottom"/>
            <w:hideMark/>
          </w:tcPr>
          <w:p w14:paraId="2619F33B" w14:textId="477D50C4" w:rsidR="001A2D65" w:rsidRPr="00F35F22" w:rsidRDefault="00A46E6E" w:rsidP="001A2D65">
            <w:pPr>
              <w:spacing w:before="0" w:after="0"/>
              <w:jc w:val="center"/>
              <w:rPr>
                <w:rFonts w:eastAsia="Times New Roman" w:cs="Times New Roman"/>
                <w:b/>
                <w:bCs/>
                <w:color w:val="000000"/>
                <w:szCs w:val="24"/>
                <w:lang w:val="it-IT" w:eastAsia="it-IT"/>
              </w:rPr>
            </w:pPr>
            <w:r w:rsidRPr="00F35F22">
              <w:rPr>
                <w:rFonts w:eastAsia="Times New Roman" w:cs="Times New Roman"/>
                <w:b/>
                <w:bCs/>
                <w:color w:val="000000"/>
                <w:szCs w:val="24"/>
                <w:lang w:val="it-IT" w:eastAsia="it-IT"/>
              </w:rPr>
              <w:t>Enzymes</w:t>
            </w:r>
          </w:p>
        </w:tc>
        <w:tc>
          <w:tcPr>
            <w:tcW w:w="0" w:type="auto"/>
            <w:tcBorders>
              <w:top w:val="single" w:sz="4" w:space="0" w:color="auto"/>
              <w:left w:val="nil"/>
              <w:bottom w:val="single" w:sz="8" w:space="0" w:color="auto"/>
              <w:right w:val="nil"/>
            </w:tcBorders>
            <w:shd w:val="clear" w:color="000000" w:fill="FFFFFF"/>
            <w:noWrap/>
            <w:vAlign w:val="bottom"/>
            <w:hideMark/>
          </w:tcPr>
          <w:p w14:paraId="4C94D85A" w14:textId="77777777" w:rsidR="001A2D65" w:rsidRPr="00F35F22" w:rsidRDefault="001A2D65" w:rsidP="001A2D65">
            <w:pPr>
              <w:spacing w:before="0" w:after="0"/>
              <w:jc w:val="center"/>
              <w:rPr>
                <w:rFonts w:eastAsia="Times New Roman" w:cs="Times New Roman"/>
                <w:b/>
                <w:bCs/>
                <w:color w:val="000000"/>
                <w:szCs w:val="24"/>
                <w:lang w:val="it-IT" w:eastAsia="it-IT"/>
              </w:rPr>
            </w:pPr>
            <w:r w:rsidRPr="00F35F22">
              <w:rPr>
                <w:rFonts w:eastAsia="Times New Roman" w:cs="Times New Roman"/>
                <w:b/>
                <w:bCs/>
                <w:color w:val="000000"/>
                <w:szCs w:val="24"/>
                <w:lang w:val="it-IT" w:eastAsia="it-IT"/>
              </w:rPr>
              <w:t> </w:t>
            </w:r>
          </w:p>
        </w:tc>
        <w:tc>
          <w:tcPr>
            <w:tcW w:w="0" w:type="auto"/>
            <w:tcBorders>
              <w:top w:val="single" w:sz="4" w:space="0" w:color="auto"/>
              <w:left w:val="nil"/>
              <w:bottom w:val="single" w:sz="8" w:space="0" w:color="auto"/>
              <w:right w:val="nil"/>
            </w:tcBorders>
            <w:shd w:val="clear" w:color="000000" w:fill="FFFFFF"/>
            <w:noWrap/>
            <w:vAlign w:val="bottom"/>
            <w:hideMark/>
          </w:tcPr>
          <w:p w14:paraId="053CDE33" w14:textId="77777777" w:rsidR="001A2D65" w:rsidRPr="00F35F22" w:rsidRDefault="001A2D65" w:rsidP="001A2D65">
            <w:pPr>
              <w:spacing w:before="0" w:after="0"/>
              <w:jc w:val="center"/>
              <w:rPr>
                <w:rFonts w:eastAsia="Times New Roman" w:cs="Times New Roman"/>
                <w:b/>
                <w:bCs/>
                <w:color w:val="000000"/>
                <w:szCs w:val="24"/>
                <w:lang w:val="it-IT" w:eastAsia="it-IT"/>
              </w:rPr>
            </w:pPr>
            <w:r w:rsidRPr="00F35F22">
              <w:rPr>
                <w:rFonts w:eastAsia="Times New Roman" w:cs="Times New Roman"/>
                <w:b/>
                <w:bCs/>
                <w:color w:val="000000"/>
                <w:szCs w:val="24"/>
                <w:lang w:val="it-IT" w:eastAsia="it-IT"/>
              </w:rPr>
              <w:t>Dim 1</w:t>
            </w:r>
          </w:p>
        </w:tc>
        <w:tc>
          <w:tcPr>
            <w:tcW w:w="0" w:type="auto"/>
            <w:tcBorders>
              <w:top w:val="single" w:sz="4" w:space="0" w:color="auto"/>
              <w:left w:val="nil"/>
              <w:bottom w:val="single" w:sz="8" w:space="0" w:color="auto"/>
              <w:right w:val="nil"/>
            </w:tcBorders>
            <w:shd w:val="clear" w:color="000000" w:fill="FFFFFF"/>
            <w:noWrap/>
            <w:vAlign w:val="bottom"/>
            <w:hideMark/>
          </w:tcPr>
          <w:p w14:paraId="0B24F46A" w14:textId="77777777" w:rsidR="001A2D65" w:rsidRPr="00F35F22" w:rsidRDefault="001A2D65" w:rsidP="001A2D65">
            <w:pPr>
              <w:spacing w:before="0" w:after="0"/>
              <w:jc w:val="center"/>
              <w:rPr>
                <w:rFonts w:eastAsia="Times New Roman" w:cs="Times New Roman"/>
                <w:b/>
                <w:bCs/>
                <w:color w:val="000000"/>
                <w:szCs w:val="24"/>
                <w:lang w:val="it-IT" w:eastAsia="it-IT"/>
              </w:rPr>
            </w:pPr>
            <w:r w:rsidRPr="00F35F22">
              <w:rPr>
                <w:rFonts w:eastAsia="Times New Roman" w:cs="Times New Roman"/>
                <w:b/>
                <w:bCs/>
                <w:color w:val="000000"/>
                <w:szCs w:val="24"/>
                <w:lang w:val="it-IT" w:eastAsia="it-IT"/>
              </w:rPr>
              <w:t> </w:t>
            </w:r>
          </w:p>
        </w:tc>
        <w:tc>
          <w:tcPr>
            <w:tcW w:w="0" w:type="auto"/>
            <w:tcBorders>
              <w:top w:val="single" w:sz="4" w:space="0" w:color="auto"/>
              <w:left w:val="nil"/>
              <w:bottom w:val="single" w:sz="8" w:space="0" w:color="auto"/>
              <w:right w:val="nil"/>
            </w:tcBorders>
            <w:shd w:val="clear" w:color="000000" w:fill="FFFFFF"/>
            <w:noWrap/>
            <w:vAlign w:val="bottom"/>
            <w:hideMark/>
          </w:tcPr>
          <w:p w14:paraId="23C14E97" w14:textId="77777777" w:rsidR="001A2D65" w:rsidRPr="00F35F22" w:rsidRDefault="001A2D65" w:rsidP="001A2D65">
            <w:pPr>
              <w:spacing w:before="0" w:after="0"/>
              <w:jc w:val="center"/>
              <w:rPr>
                <w:rFonts w:eastAsia="Times New Roman" w:cs="Times New Roman"/>
                <w:b/>
                <w:bCs/>
                <w:color w:val="000000"/>
                <w:szCs w:val="24"/>
                <w:lang w:val="it-IT" w:eastAsia="it-IT"/>
              </w:rPr>
            </w:pPr>
            <w:r w:rsidRPr="00F35F22">
              <w:rPr>
                <w:rFonts w:eastAsia="Times New Roman" w:cs="Times New Roman"/>
                <w:b/>
                <w:bCs/>
                <w:color w:val="000000"/>
                <w:szCs w:val="24"/>
                <w:lang w:val="it-IT" w:eastAsia="it-IT"/>
              </w:rPr>
              <w:t>Dim 2</w:t>
            </w:r>
          </w:p>
        </w:tc>
      </w:tr>
      <w:tr w:rsidR="00AF2B90" w:rsidRPr="001A2D65" w14:paraId="658574EE"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3501DFAB"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Cell</w:t>
            </w:r>
          </w:p>
        </w:tc>
        <w:tc>
          <w:tcPr>
            <w:tcW w:w="0" w:type="auto"/>
            <w:tcBorders>
              <w:top w:val="nil"/>
              <w:left w:val="nil"/>
              <w:bottom w:val="nil"/>
              <w:right w:val="nil"/>
            </w:tcBorders>
            <w:shd w:val="clear" w:color="000000" w:fill="FFFFFF"/>
            <w:noWrap/>
            <w:vAlign w:val="bottom"/>
            <w:hideMark/>
          </w:tcPr>
          <w:p w14:paraId="23EE6549"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0BB063E9" w14:textId="0FC774B1"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0.9</w:t>
            </w:r>
            <w:r w:rsidR="00EF4A33" w:rsidRPr="00F35F22">
              <w:rPr>
                <w:rFonts w:eastAsia="Times New Roman" w:cs="Times New Roman"/>
                <w:color w:val="000000"/>
                <w:szCs w:val="24"/>
                <w:lang w:val="it-IT" w:eastAsia="it-IT"/>
              </w:rPr>
              <w:t>4</w:t>
            </w:r>
          </w:p>
        </w:tc>
        <w:tc>
          <w:tcPr>
            <w:tcW w:w="0" w:type="auto"/>
            <w:tcBorders>
              <w:top w:val="nil"/>
              <w:left w:val="nil"/>
              <w:bottom w:val="nil"/>
              <w:right w:val="dotted" w:sz="4" w:space="0" w:color="auto"/>
            </w:tcBorders>
            <w:shd w:val="clear" w:color="000000" w:fill="FFFFFF"/>
            <w:noWrap/>
            <w:vAlign w:val="bottom"/>
            <w:hideMark/>
          </w:tcPr>
          <w:p w14:paraId="08F59294"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5004DC54"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0.18</w:t>
            </w:r>
          </w:p>
        </w:tc>
      </w:tr>
      <w:tr w:rsidR="00AF2B90" w:rsidRPr="001A2D65" w14:paraId="22C02FCC"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4BE3B650"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Glus</w:t>
            </w:r>
          </w:p>
        </w:tc>
        <w:tc>
          <w:tcPr>
            <w:tcW w:w="0" w:type="auto"/>
            <w:tcBorders>
              <w:top w:val="nil"/>
              <w:left w:val="nil"/>
              <w:bottom w:val="nil"/>
              <w:right w:val="nil"/>
            </w:tcBorders>
            <w:shd w:val="clear" w:color="000000" w:fill="FFFFFF"/>
            <w:noWrap/>
            <w:vAlign w:val="bottom"/>
            <w:hideMark/>
          </w:tcPr>
          <w:p w14:paraId="79D5EB75"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1EB6E3E3"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0.85</w:t>
            </w:r>
          </w:p>
        </w:tc>
        <w:tc>
          <w:tcPr>
            <w:tcW w:w="0" w:type="auto"/>
            <w:tcBorders>
              <w:top w:val="nil"/>
              <w:left w:val="nil"/>
              <w:bottom w:val="nil"/>
              <w:right w:val="dotted" w:sz="4" w:space="0" w:color="auto"/>
            </w:tcBorders>
            <w:shd w:val="clear" w:color="000000" w:fill="FFFFFF"/>
            <w:noWrap/>
            <w:vAlign w:val="bottom"/>
            <w:hideMark/>
          </w:tcPr>
          <w:p w14:paraId="69514305"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6D850290"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0.2</w:t>
            </w:r>
          </w:p>
        </w:tc>
      </w:tr>
      <w:tr w:rsidR="00AF2B90" w:rsidRPr="001A2D65" w14:paraId="742476B6"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41F664B9"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Glur</w:t>
            </w:r>
          </w:p>
        </w:tc>
        <w:tc>
          <w:tcPr>
            <w:tcW w:w="0" w:type="auto"/>
            <w:tcBorders>
              <w:top w:val="nil"/>
              <w:left w:val="nil"/>
              <w:bottom w:val="nil"/>
              <w:right w:val="nil"/>
            </w:tcBorders>
            <w:shd w:val="clear" w:color="000000" w:fill="FFFFFF"/>
            <w:noWrap/>
            <w:vAlign w:val="bottom"/>
            <w:hideMark/>
          </w:tcPr>
          <w:p w14:paraId="2482EF37"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4E1FDAEF"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0.97</w:t>
            </w:r>
          </w:p>
        </w:tc>
        <w:tc>
          <w:tcPr>
            <w:tcW w:w="0" w:type="auto"/>
            <w:tcBorders>
              <w:top w:val="nil"/>
              <w:left w:val="nil"/>
              <w:bottom w:val="nil"/>
              <w:right w:val="dotted" w:sz="4" w:space="0" w:color="auto"/>
            </w:tcBorders>
            <w:shd w:val="clear" w:color="000000" w:fill="FFFFFF"/>
            <w:noWrap/>
            <w:vAlign w:val="bottom"/>
            <w:hideMark/>
          </w:tcPr>
          <w:p w14:paraId="371EE761"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379F44F0"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-0.03</w:t>
            </w:r>
          </w:p>
        </w:tc>
      </w:tr>
      <w:tr w:rsidR="00AF2B90" w:rsidRPr="001A2D65" w14:paraId="12422FCD"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35EB27EB"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Xilo</w:t>
            </w:r>
          </w:p>
        </w:tc>
        <w:tc>
          <w:tcPr>
            <w:tcW w:w="0" w:type="auto"/>
            <w:tcBorders>
              <w:top w:val="nil"/>
              <w:left w:val="nil"/>
              <w:bottom w:val="nil"/>
              <w:right w:val="nil"/>
            </w:tcBorders>
            <w:shd w:val="clear" w:color="000000" w:fill="FFFFFF"/>
            <w:noWrap/>
            <w:vAlign w:val="bottom"/>
            <w:hideMark/>
          </w:tcPr>
          <w:p w14:paraId="19672955"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25A955E2"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0.95</w:t>
            </w:r>
          </w:p>
        </w:tc>
        <w:tc>
          <w:tcPr>
            <w:tcW w:w="0" w:type="auto"/>
            <w:tcBorders>
              <w:top w:val="nil"/>
              <w:left w:val="nil"/>
              <w:bottom w:val="nil"/>
              <w:right w:val="dotted" w:sz="4" w:space="0" w:color="auto"/>
            </w:tcBorders>
            <w:shd w:val="clear" w:color="000000" w:fill="FFFFFF"/>
            <w:noWrap/>
            <w:vAlign w:val="bottom"/>
            <w:hideMark/>
          </w:tcPr>
          <w:p w14:paraId="6C5074D3"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659EA58E"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-0.19</w:t>
            </w:r>
          </w:p>
        </w:tc>
      </w:tr>
      <w:tr w:rsidR="00AF2B90" w:rsidRPr="001A2D65" w14:paraId="09A6A171"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10307E94"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NaGL</w:t>
            </w:r>
          </w:p>
        </w:tc>
        <w:tc>
          <w:tcPr>
            <w:tcW w:w="0" w:type="auto"/>
            <w:tcBorders>
              <w:top w:val="nil"/>
              <w:left w:val="nil"/>
              <w:bottom w:val="nil"/>
              <w:right w:val="nil"/>
            </w:tcBorders>
            <w:shd w:val="clear" w:color="000000" w:fill="FFFFFF"/>
            <w:noWrap/>
            <w:vAlign w:val="bottom"/>
            <w:hideMark/>
          </w:tcPr>
          <w:p w14:paraId="2F74A299"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288E8F37"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0.54</w:t>
            </w:r>
          </w:p>
        </w:tc>
        <w:tc>
          <w:tcPr>
            <w:tcW w:w="0" w:type="auto"/>
            <w:tcBorders>
              <w:top w:val="nil"/>
              <w:left w:val="nil"/>
              <w:bottom w:val="nil"/>
              <w:right w:val="dotted" w:sz="4" w:space="0" w:color="auto"/>
            </w:tcBorders>
            <w:shd w:val="clear" w:color="000000" w:fill="FFFFFF"/>
            <w:noWrap/>
            <w:vAlign w:val="bottom"/>
            <w:hideMark/>
          </w:tcPr>
          <w:p w14:paraId="0018FD56"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59BB833D"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0.77</w:t>
            </w:r>
          </w:p>
        </w:tc>
      </w:tr>
      <w:tr w:rsidR="00AF2B90" w:rsidRPr="001A2D65" w14:paraId="274FBFDC"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588C2AD7"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LeAm</w:t>
            </w:r>
          </w:p>
        </w:tc>
        <w:tc>
          <w:tcPr>
            <w:tcW w:w="0" w:type="auto"/>
            <w:tcBorders>
              <w:top w:val="nil"/>
              <w:left w:val="nil"/>
              <w:bottom w:val="nil"/>
              <w:right w:val="nil"/>
            </w:tcBorders>
            <w:shd w:val="clear" w:color="000000" w:fill="FFFFFF"/>
            <w:noWrap/>
            <w:vAlign w:val="bottom"/>
            <w:hideMark/>
          </w:tcPr>
          <w:p w14:paraId="14545C31"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03616E5D"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0.82</w:t>
            </w:r>
          </w:p>
        </w:tc>
        <w:tc>
          <w:tcPr>
            <w:tcW w:w="0" w:type="auto"/>
            <w:tcBorders>
              <w:top w:val="nil"/>
              <w:left w:val="nil"/>
              <w:bottom w:val="nil"/>
              <w:right w:val="dotted" w:sz="4" w:space="0" w:color="auto"/>
            </w:tcBorders>
            <w:shd w:val="clear" w:color="000000" w:fill="FFFFFF"/>
            <w:noWrap/>
            <w:vAlign w:val="bottom"/>
            <w:hideMark/>
          </w:tcPr>
          <w:p w14:paraId="4BD39FDB"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10A865A2"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-0.34</w:t>
            </w:r>
          </w:p>
        </w:tc>
      </w:tr>
      <w:tr w:rsidR="00AF2B90" w:rsidRPr="001A2D65" w14:paraId="6CA8ADC4" w14:textId="77777777" w:rsidTr="00A46E6E">
        <w:trPr>
          <w:trHeight w:val="424"/>
          <w:jc w:val="center"/>
        </w:trPr>
        <w:tc>
          <w:tcPr>
            <w:tcW w:w="0" w:type="auto"/>
            <w:tcBorders>
              <w:top w:val="nil"/>
              <w:left w:val="nil"/>
              <w:bottom w:val="single" w:sz="4" w:space="0" w:color="auto"/>
              <w:right w:val="nil"/>
            </w:tcBorders>
            <w:shd w:val="clear" w:color="000000" w:fill="FFFFFF"/>
            <w:noWrap/>
            <w:vAlign w:val="bottom"/>
            <w:hideMark/>
          </w:tcPr>
          <w:p w14:paraId="398023C1"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Phos</w:t>
            </w:r>
          </w:p>
        </w:tc>
        <w:tc>
          <w:tcPr>
            <w:tcW w:w="0" w:type="auto"/>
            <w:tcBorders>
              <w:top w:val="nil"/>
              <w:left w:val="nil"/>
              <w:bottom w:val="single" w:sz="4" w:space="0" w:color="auto"/>
              <w:right w:val="nil"/>
            </w:tcBorders>
            <w:shd w:val="clear" w:color="000000" w:fill="FFFFFF"/>
            <w:noWrap/>
            <w:vAlign w:val="bottom"/>
            <w:hideMark/>
          </w:tcPr>
          <w:p w14:paraId="03E86BDF"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single" w:sz="4" w:space="0" w:color="auto"/>
              <w:right w:val="nil"/>
            </w:tcBorders>
            <w:shd w:val="clear" w:color="000000" w:fill="FFFFFF"/>
            <w:noWrap/>
            <w:vAlign w:val="bottom"/>
            <w:hideMark/>
          </w:tcPr>
          <w:p w14:paraId="067F0BCD"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-0.32</w:t>
            </w:r>
          </w:p>
        </w:tc>
        <w:tc>
          <w:tcPr>
            <w:tcW w:w="0" w:type="auto"/>
            <w:tcBorders>
              <w:top w:val="nil"/>
              <w:left w:val="nil"/>
              <w:bottom w:val="single" w:sz="4" w:space="0" w:color="auto"/>
              <w:right w:val="dotted" w:sz="4" w:space="0" w:color="auto"/>
            </w:tcBorders>
            <w:shd w:val="clear" w:color="000000" w:fill="FFFFFF"/>
            <w:noWrap/>
            <w:vAlign w:val="bottom"/>
            <w:hideMark/>
          </w:tcPr>
          <w:p w14:paraId="52F47D61"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single" w:sz="4" w:space="0" w:color="auto"/>
              <w:right w:val="nil"/>
            </w:tcBorders>
            <w:shd w:val="clear" w:color="000000" w:fill="FFFFFF"/>
            <w:noWrap/>
            <w:vAlign w:val="bottom"/>
            <w:hideMark/>
          </w:tcPr>
          <w:p w14:paraId="087ADE24"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0.86</w:t>
            </w:r>
          </w:p>
        </w:tc>
      </w:tr>
      <w:tr w:rsidR="00AF2B90" w:rsidRPr="001A2D65" w14:paraId="66009040" w14:textId="77777777" w:rsidTr="00A46E6E">
        <w:trPr>
          <w:trHeight w:val="424"/>
          <w:jc w:val="center"/>
        </w:trPr>
        <w:tc>
          <w:tcPr>
            <w:tcW w:w="0" w:type="auto"/>
            <w:tcBorders>
              <w:top w:val="nil"/>
              <w:left w:val="nil"/>
              <w:bottom w:val="nil"/>
              <w:right w:val="nil"/>
            </w:tcBorders>
            <w:shd w:val="clear" w:color="000000" w:fill="FFFFFF"/>
            <w:noWrap/>
            <w:vAlign w:val="bottom"/>
            <w:hideMark/>
          </w:tcPr>
          <w:p w14:paraId="1E1F3C3B"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Variance</w:t>
            </w:r>
          </w:p>
        </w:tc>
        <w:tc>
          <w:tcPr>
            <w:tcW w:w="0" w:type="auto"/>
            <w:tcBorders>
              <w:top w:val="nil"/>
              <w:left w:val="nil"/>
              <w:bottom w:val="nil"/>
              <w:right w:val="nil"/>
            </w:tcBorders>
            <w:shd w:val="clear" w:color="000000" w:fill="FFFFFF"/>
            <w:noWrap/>
            <w:vAlign w:val="bottom"/>
            <w:hideMark/>
          </w:tcPr>
          <w:p w14:paraId="2F565902"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1EA176B3"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65%</w:t>
            </w:r>
          </w:p>
        </w:tc>
        <w:tc>
          <w:tcPr>
            <w:tcW w:w="0" w:type="auto"/>
            <w:tcBorders>
              <w:top w:val="nil"/>
              <w:left w:val="nil"/>
              <w:bottom w:val="nil"/>
              <w:right w:val="dotted" w:sz="4" w:space="0" w:color="auto"/>
            </w:tcBorders>
            <w:shd w:val="clear" w:color="000000" w:fill="FFFFFF"/>
            <w:noWrap/>
            <w:vAlign w:val="bottom"/>
            <w:hideMark/>
          </w:tcPr>
          <w:p w14:paraId="335363C1"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 </w:t>
            </w:r>
          </w:p>
        </w:tc>
        <w:tc>
          <w:tcPr>
            <w:tcW w:w="0" w:type="auto"/>
            <w:tcBorders>
              <w:top w:val="nil"/>
              <w:left w:val="nil"/>
              <w:bottom w:val="nil"/>
              <w:right w:val="nil"/>
            </w:tcBorders>
            <w:shd w:val="clear" w:color="000000" w:fill="FFFFFF"/>
            <w:noWrap/>
            <w:vAlign w:val="bottom"/>
            <w:hideMark/>
          </w:tcPr>
          <w:p w14:paraId="2126BBD5" w14:textId="77777777" w:rsidR="001A2D65" w:rsidRPr="00F35F22" w:rsidRDefault="001A2D65" w:rsidP="001A2D65">
            <w:pPr>
              <w:spacing w:before="0" w:after="0"/>
              <w:jc w:val="center"/>
              <w:rPr>
                <w:rFonts w:eastAsia="Times New Roman" w:cs="Times New Roman"/>
                <w:color w:val="000000"/>
                <w:szCs w:val="24"/>
                <w:lang w:val="it-IT" w:eastAsia="it-IT"/>
              </w:rPr>
            </w:pPr>
            <w:r w:rsidRPr="00F35F22">
              <w:rPr>
                <w:rFonts w:eastAsia="Times New Roman" w:cs="Times New Roman"/>
                <w:color w:val="000000"/>
                <w:szCs w:val="24"/>
                <w:lang w:val="it-IT" w:eastAsia="it-IT"/>
              </w:rPr>
              <w:t>22.40%</w:t>
            </w:r>
          </w:p>
        </w:tc>
      </w:tr>
    </w:tbl>
    <w:p w14:paraId="4C5EC8C8" w14:textId="6728FDDA" w:rsidR="00F35F22" w:rsidRDefault="00F35F22">
      <w:pPr>
        <w:spacing w:before="0" w:after="200" w:line="276" w:lineRule="auto"/>
        <w:rPr>
          <w:rFonts w:eastAsia="Calibri"/>
          <w:szCs w:val="24"/>
        </w:rPr>
      </w:pPr>
    </w:p>
    <w:p w14:paraId="2A9F8317" w14:textId="77777777" w:rsidR="00F35F22" w:rsidRDefault="00F35F22">
      <w:pPr>
        <w:spacing w:before="0" w:after="200" w:line="276" w:lineRule="auto"/>
        <w:rPr>
          <w:rFonts w:eastAsia="Calibri"/>
          <w:szCs w:val="24"/>
        </w:rPr>
      </w:pPr>
      <w:r>
        <w:rPr>
          <w:rFonts w:eastAsia="Calibri"/>
          <w:szCs w:val="24"/>
        </w:rPr>
        <w:br w:type="page"/>
      </w:r>
    </w:p>
    <w:p w14:paraId="3EA6B46B" w14:textId="77777777" w:rsidR="00EC2EA4" w:rsidRPr="00EC2EA4" w:rsidRDefault="00EC2EA4" w:rsidP="00EC2EA4">
      <w:pPr>
        <w:spacing w:before="0" w:after="200" w:line="276" w:lineRule="auto"/>
        <w:jc w:val="both"/>
        <w:rPr>
          <w:rFonts w:eastAsia="Calibri"/>
          <w:color w:val="131413"/>
          <w:szCs w:val="24"/>
        </w:rPr>
      </w:pPr>
    </w:p>
    <w:p w14:paraId="285417F0" w14:textId="2A1D50AF" w:rsidR="00F35F22" w:rsidRDefault="00EC2EA4" w:rsidP="00EC2EA4">
      <w:pPr>
        <w:spacing w:before="0" w:after="200" w:line="276" w:lineRule="auto"/>
        <w:jc w:val="both"/>
        <w:rPr>
          <w:rFonts w:eastAsia="Calibri"/>
          <w:color w:val="131413"/>
          <w:szCs w:val="24"/>
          <w:lang w:val="en-GB"/>
        </w:rPr>
      </w:pPr>
      <w:r w:rsidRPr="00EC2EA4">
        <w:rPr>
          <w:rFonts w:eastAsia="Calibri"/>
          <w:b/>
          <w:bCs/>
          <w:color w:val="131413"/>
          <w:szCs w:val="24"/>
        </w:rPr>
        <w:t>TABLE 2S:</w:t>
      </w:r>
      <w:r w:rsidRPr="00EC2EA4">
        <w:rPr>
          <w:rFonts w:eastAsia="Calibri"/>
          <w:color w:val="131413"/>
          <w:szCs w:val="24"/>
          <w:lang w:val="en-GB"/>
        </w:rPr>
        <w:t xml:space="preserve"> Results of the Spearman's rho tests between the pH and the</w:t>
      </w:r>
      <w:r>
        <w:rPr>
          <w:rFonts w:eastAsia="Calibri"/>
          <w:color w:val="131413"/>
          <w:szCs w:val="24"/>
          <w:lang w:val="en-GB"/>
        </w:rPr>
        <w:t xml:space="preserve"> </w:t>
      </w:r>
      <w:bookmarkStart w:id="2" w:name="_Hlk73896886"/>
      <w:r>
        <w:rPr>
          <w:rFonts w:eastAsia="Calibri"/>
          <w:color w:val="131413"/>
          <w:szCs w:val="24"/>
          <w:lang w:val="en-GB"/>
        </w:rPr>
        <w:t>soil extracellular enzyme activity</w:t>
      </w:r>
      <w:bookmarkEnd w:id="2"/>
      <w:r w:rsidRPr="00EC2EA4">
        <w:rPr>
          <w:rFonts w:eastAsia="Calibri"/>
          <w:color w:val="131413"/>
          <w:szCs w:val="24"/>
          <w:lang w:val="en-GB"/>
        </w:rPr>
        <w:t xml:space="preserve"> </w:t>
      </w:r>
      <w:r>
        <w:rPr>
          <w:rFonts w:eastAsia="Calibri"/>
          <w:color w:val="131413"/>
          <w:szCs w:val="24"/>
          <w:lang w:val="en-GB"/>
        </w:rPr>
        <w:t>(</w:t>
      </w:r>
      <w:r w:rsidRPr="00EC2EA4">
        <w:rPr>
          <w:rFonts w:eastAsia="Calibri"/>
          <w:color w:val="131413"/>
          <w:szCs w:val="24"/>
          <w:lang w:val="en-GB"/>
        </w:rPr>
        <w:t>EEA</w:t>
      </w:r>
      <w:r>
        <w:rPr>
          <w:rFonts w:eastAsia="Calibri"/>
          <w:color w:val="131413"/>
          <w:szCs w:val="24"/>
          <w:lang w:val="en-GB"/>
        </w:rPr>
        <w:t>)</w:t>
      </w:r>
      <w:r w:rsidRPr="00EC2EA4">
        <w:rPr>
          <w:rFonts w:eastAsia="Calibri"/>
          <w:color w:val="131413"/>
          <w:szCs w:val="24"/>
          <w:lang w:val="en-GB"/>
        </w:rPr>
        <w:t xml:space="preserve"> in El Regajal (Spain, n=24), Capo Caccia BS (Italy, n=8), Capo Caccia UC (Italy, n=8) and Arrábida (Portugal, n=9). </w:t>
      </w:r>
      <w:r w:rsidRPr="00EC2EA4">
        <w:rPr>
          <w:rFonts w:eastAsia="Calibri"/>
          <w:color w:val="131413"/>
          <w:szCs w:val="24"/>
          <w:lang w:val="it-IT"/>
        </w:rPr>
        <w:t xml:space="preserve">Capo Caccia BS and Capo Caccia UC indicate bare soil and under canopy microsites. </w:t>
      </w:r>
      <w:r w:rsidRPr="00EC2EA4">
        <w:rPr>
          <w:rFonts w:eastAsia="Calibri"/>
          <w:color w:val="131413"/>
          <w:szCs w:val="24"/>
          <w:lang w:val="en-GB"/>
        </w:rPr>
        <w:t>Statistical differences are highlighted in bold. The rho value (</w:t>
      </w:r>
      <w:r w:rsidRPr="00EC2EA4">
        <w:rPr>
          <w:rFonts w:eastAsia="Calibri"/>
          <w:color w:val="131413"/>
          <w:szCs w:val="24"/>
        </w:rPr>
        <w:t>ρ</w:t>
      </w:r>
      <w:r w:rsidRPr="00EC2EA4">
        <w:rPr>
          <w:rFonts w:eastAsia="Calibri"/>
          <w:color w:val="131413"/>
          <w:szCs w:val="24"/>
          <w:lang w:val="en-GB"/>
        </w:rPr>
        <w:t xml:space="preserve">) and the level of significance (p value) are shown for each correlation. </w:t>
      </w:r>
      <w:r w:rsidRPr="00EC2EA4">
        <w:rPr>
          <w:rFonts w:eastAsia="Calibri"/>
          <w:color w:val="131413"/>
          <w:szCs w:val="24"/>
        </w:rPr>
        <w:t xml:space="preserve">Soil EEA showed are respectively: Cellobiohydrolase (Cell), Glucosidase (Glus), Glucoronidase (Glur), Xilosidase (Xilo), N-acetyl Glucosaminidase (NaGl), </w:t>
      </w:r>
      <w:r w:rsidRPr="00EC2EA4">
        <w:rPr>
          <w:rFonts w:eastAsia="Calibri"/>
          <w:color w:val="131413"/>
          <w:szCs w:val="24"/>
          <w:lang w:val="en-GB"/>
        </w:rPr>
        <w:t>Leucine Aminopeptidase (LeAm), Phosphatase (Phos)</w:t>
      </w:r>
      <w:r>
        <w:rPr>
          <w:rFonts w:eastAsia="Calibri"/>
          <w:color w:val="131413"/>
          <w:szCs w:val="24"/>
          <w:lang w:val="en-GB"/>
        </w:rPr>
        <w:t>, first axes of PCA analysis (</w:t>
      </w:r>
      <w:r w:rsidRPr="00EC2EA4">
        <w:rPr>
          <w:rFonts w:eastAsia="Times New Roman" w:cs="Times New Roman"/>
          <w:color w:val="000000"/>
          <w:sz w:val="22"/>
          <w:lang w:val="en-GB" w:eastAsia="it-IT"/>
        </w:rPr>
        <w:t>EEA_PCA1</w:t>
      </w:r>
      <w:r>
        <w:rPr>
          <w:rFonts w:eastAsia="Times New Roman" w:cs="Times New Roman"/>
          <w:color w:val="000000"/>
          <w:sz w:val="22"/>
          <w:lang w:val="en-GB" w:eastAsia="it-IT"/>
        </w:rPr>
        <w:t>)</w:t>
      </w:r>
      <w:r w:rsidRPr="00EC2EA4">
        <w:rPr>
          <w:rFonts w:eastAsia="Calibri"/>
          <w:color w:val="131413"/>
          <w:szCs w:val="24"/>
          <w:lang w:val="en-GB"/>
        </w:rPr>
        <w:t>.</w:t>
      </w:r>
    </w:p>
    <w:tbl>
      <w:tblPr>
        <w:tblW w:w="0" w:type="auto"/>
        <w:jc w:val="center"/>
        <w:tblCellMar>
          <w:left w:w="70" w:type="dxa"/>
          <w:right w:w="70" w:type="dxa"/>
        </w:tblCellMar>
        <w:tblLook w:val="04A0" w:firstRow="1" w:lastRow="0" w:firstColumn="1" w:lastColumn="0" w:noHBand="0" w:noVBand="1"/>
      </w:tblPr>
      <w:tblGrid>
        <w:gridCol w:w="1216"/>
        <w:gridCol w:w="599"/>
        <w:gridCol w:w="855"/>
        <w:gridCol w:w="195"/>
        <w:gridCol w:w="682"/>
        <w:gridCol w:w="974"/>
        <w:gridCol w:w="195"/>
        <w:gridCol w:w="702"/>
        <w:gridCol w:w="1003"/>
        <w:gridCol w:w="195"/>
        <w:gridCol w:w="599"/>
        <w:gridCol w:w="855"/>
        <w:gridCol w:w="195"/>
        <w:tblGridChange w:id="3">
          <w:tblGrid>
            <w:gridCol w:w="1216"/>
            <w:gridCol w:w="599"/>
            <w:gridCol w:w="855"/>
            <w:gridCol w:w="195"/>
            <w:gridCol w:w="682"/>
            <w:gridCol w:w="974"/>
            <w:gridCol w:w="195"/>
            <w:gridCol w:w="702"/>
            <w:gridCol w:w="1003"/>
            <w:gridCol w:w="195"/>
            <w:gridCol w:w="599"/>
            <w:gridCol w:w="855"/>
            <w:gridCol w:w="195"/>
          </w:tblGrid>
        </w:tblGridChange>
      </w:tblGrid>
      <w:tr w:rsidR="00787EF4" w:rsidRPr="00C6615E" w14:paraId="0EA1D6B9" w14:textId="77777777" w:rsidTr="00787EF4">
        <w:trPr>
          <w:trHeight w:val="300"/>
          <w:jc w:val="center"/>
        </w:trPr>
        <w:tc>
          <w:tcPr>
            <w:tcW w:w="0" w:type="auto"/>
            <w:tcBorders>
              <w:top w:val="nil"/>
              <w:left w:val="nil"/>
              <w:bottom w:val="nil"/>
              <w:right w:val="nil"/>
            </w:tcBorders>
            <w:shd w:val="clear" w:color="000000" w:fill="FFFFFF"/>
            <w:noWrap/>
            <w:vAlign w:val="center"/>
            <w:hideMark/>
          </w:tcPr>
          <w:p w14:paraId="349D949A" w14:textId="77777777" w:rsidR="00787EF4" w:rsidRDefault="00787EF4" w:rsidP="00C6615E">
            <w:pPr>
              <w:spacing w:before="0" w:after="0"/>
              <w:jc w:val="center"/>
              <w:rPr>
                <w:rFonts w:eastAsia="Times New Roman" w:cs="Times New Roman"/>
                <w:color w:val="000000"/>
                <w:sz w:val="22"/>
                <w:szCs w:val="24"/>
                <w:lang w:eastAsia="it-IT"/>
              </w:rPr>
            </w:pPr>
          </w:p>
          <w:p w14:paraId="4B71249D" w14:textId="0AD55153" w:rsidR="00787EF4" w:rsidRPr="00C6615E" w:rsidRDefault="00787EF4" w:rsidP="00C6615E">
            <w:pPr>
              <w:spacing w:before="0" w:after="0"/>
              <w:jc w:val="center"/>
              <w:rPr>
                <w:rFonts w:eastAsia="Times New Roman" w:cs="Times New Roman"/>
                <w:color w:val="000000"/>
                <w:sz w:val="22"/>
                <w:lang w:eastAsia="it-IT"/>
              </w:rPr>
            </w:pPr>
            <w:r w:rsidRPr="00C6615E">
              <w:rPr>
                <w:rFonts w:eastAsia="Times New Roman" w:cs="Times New Roman"/>
                <w:color w:val="000000"/>
                <w:sz w:val="22"/>
                <w:szCs w:val="24"/>
                <w:lang w:eastAsia="it-IT"/>
              </w:rPr>
              <w:t> </w:t>
            </w:r>
          </w:p>
        </w:tc>
        <w:tc>
          <w:tcPr>
            <w:tcW w:w="0" w:type="auto"/>
            <w:gridSpan w:val="2"/>
            <w:tcBorders>
              <w:top w:val="nil"/>
              <w:left w:val="nil"/>
              <w:bottom w:val="single" w:sz="8" w:space="0" w:color="auto"/>
              <w:right w:val="nil"/>
            </w:tcBorders>
            <w:shd w:val="clear" w:color="000000" w:fill="FFFFFF"/>
            <w:noWrap/>
            <w:vAlign w:val="center"/>
            <w:hideMark/>
          </w:tcPr>
          <w:p w14:paraId="4E9678FF"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El Regajal</w:t>
            </w:r>
          </w:p>
        </w:tc>
        <w:tc>
          <w:tcPr>
            <w:tcW w:w="0" w:type="auto"/>
            <w:tcBorders>
              <w:top w:val="nil"/>
              <w:left w:val="nil"/>
              <w:bottom w:val="nil"/>
              <w:right w:val="nil"/>
            </w:tcBorders>
            <w:shd w:val="clear" w:color="000000" w:fill="FFFFFF"/>
            <w:noWrap/>
            <w:vAlign w:val="center"/>
            <w:hideMark/>
          </w:tcPr>
          <w:p w14:paraId="7DAC9FEE" w14:textId="77777777" w:rsidR="00787EF4" w:rsidRPr="00C6615E" w:rsidRDefault="00787EF4" w:rsidP="00C6615E">
            <w:pPr>
              <w:spacing w:before="0" w:after="0"/>
              <w:rPr>
                <w:rFonts w:ascii="Calibri" w:eastAsia="Times New Roman" w:hAnsi="Calibri" w:cs="Calibri"/>
                <w:color w:val="000000"/>
                <w:sz w:val="22"/>
                <w:lang w:val="it-IT" w:eastAsia="it-IT"/>
              </w:rPr>
            </w:pPr>
            <w:r w:rsidRPr="00C6615E">
              <w:rPr>
                <w:rFonts w:ascii="Calibri" w:eastAsia="Times New Roman" w:hAnsi="Calibri" w:cs="Calibri"/>
                <w:color w:val="000000"/>
                <w:sz w:val="22"/>
                <w:lang w:eastAsia="it-IT"/>
              </w:rPr>
              <w:t> </w:t>
            </w:r>
          </w:p>
        </w:tc>
        <w:tc>
          <w:tcPr>
            <w:tcW w:w="0" w:type="auto"/>
            <w:gridSpan w:val="2"/>
            <w:tcBorders>
              <w:top w:val="nil"/>
              <w:left w:val="nil"/>
              <w:bottom w:val="single" w:sz="8" w:space="0" w:color="auto"/>
              <w:right w:val="nil"/>
            </w:tcBorders>
            <w:shd w:val="clear" w:color="000000" w:fill="FFFFFF"/>
            <w:noWrap/>
            <w:vAlign w:val="center"/>
            <w:hideMark/>
          </w:tcPr>
          <w:p w14:paraId="628070BC"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Capo Caccia BS</w:t>
            </w:r>
          </w:p>
        </w:tc>
        <w:tc>
          <w:tcPr>
            <w:tcW w:w="0" w:type="auto"/>
            <w:tcBorders>
              <w:top w:val="nil"/>
              <w:left w:val="nil"/>
              <w:bottom w:val="single" w:sz="8" w:space="0" w:color="auto"/>
              <w:right w:val="nil"/>
            </w:tcBorders>
            <w:shd w:val="clear" w:color="000000" w:fill="FFFFFF"/>
            <w:noWrap/>
            <w:vAlign w:val="center"/>
            <w:hideMark/>
          </w:tcPr>
          <w:p w14:paraId="7471BF20" w14:textId="77777777" w:rsidR="00787EF4" w:rsidRPr="00C6615E" w:rsidRDefault="00787EF4" w:rsidP="00C6615E">
            <w:pPr>
              <w:spacing w:before="0" w:after="0"/>
              <w:rPr>
                <w:rFonts w:ascii="Calibri" w:eastAsia="Times New Roman" w:hAnsi="Calibri" w:cs="Calibri"/>
                <w:color w:val="000000"/>
                <w:sz w:val="22"/>
                <w:lang w:val="it-IT" w:eastAsia="it-IT"/>
              </w:rPr>
            </w:pPr>
            <w:r w:rsidRPr="00C6615E">
              <w:rPr>
                <w:rFonts w:ascii="Calibri" w:eastAsia="Times New Roman" w:hAnsi="Calibri" w:cs="Calibri"/>
                <w:color w:val="000000"/>
                <w:sz w:val="22"/>
                <w:lang w:eastAsia="it-IT"/>
              </w:rPr>
              <w:t> </w:t>
            </w:r>
          </w:p>
        </w:tc>
        <w:tc>
          <w:tcPr>
            <w:tcW w:w="0" w:type="auto"/>
            <w:gridSpan w:val="2"/>
            <w:tcBorders>
              <w:top w:val="nil"/>
              <w:left w:val="nil"/>
              <w:bottom w:val="single" w:sz="8" w:space="0" w:color="auto"/>
              <w:right w:val="nil"/>
            </w:tcBorders>
            <w:shd w:val="clear" w:color="000000" w:fill="FFFFFF"/>
            <w:noWrap/>
            <w:vAlign w:val="center"/>
            <w:hideMark/>
          </w:tcPr>
          <w:p w14:paraId="4ABE1EDE"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Capo Caccia UC</w:t>
            </w:r>
          </w:p>
        </w:tc>
        <w:tc>
          <w:tcPr>
            <w:tcW w:w="0" w:type="auto"/>
            <w:tcBorders>
              <w:top w:val="nil"/>
              <w:left w:val="nil"/>
              <w:bottom w:val="nil"/>
              <w:right w:val="nil"/>
            </w:tcBorders>
            <w:shd w:val="clear" w:color="000000" w:fill="FFFFFF"/>
            <w:noWrap/>
            <w:vAlign w:val="center"/>
            <w:hideMark/>
          </w:tcPr>
          <w:p w14:paraId="7AB30861" w14:textId="77777777" w:rsidR="00787EF4" w:rsidRPr="00C6615E" w:rsidRDefault="00787EF4" w:rsidP="00C6615E">
            <w:pPr>
              <w:spacing w:before="0" w:after="0"/>
              <w:rPr>
                <w:rFonts w:ascii="Calibri" w:eastAsia="Times New Roman" w:hAnsi="Calibri" w:cs="Calibri"/>
                <w:color w:val="000000"/>
                <w:sz w:val="22"/>
                <w:lang w:val="it-IT" w:eastAsia="it-IT"/>
              </w:rPr>
            </w:pPr>
            <w:r w:rsidRPr="00C6615E">
              <w:rPr>
                <w:rFonts w:ascii="Calibri" w:eastAsia="Times New Roman" w:hAnsi="Calibri" w:cs="Calibri"/>
                <w:color w:val="000000"/>
                <w:sz w:val="22"/>
                <w:lang w:eastAsia="it-IT"/>
              </w:rPr>
              <w:t> </w:t>
            </w:r>
          </w:p>
        </w:tc>
        <w:tc>
          <w:tcPr>
            <w:tcW w:w="0" w:type="auto"/>
            <w:gridSpan w:val="2"/>
            <w:tcBorders>
              <w:top w:val="nil"/>
              <w:left w:val="nil"/>
              <w:bottom w:val="single" w:sz="8" w:space="0" w:color="auto"/>
              <w:right w:val="nil"/>
            </w:tcBorders>
            <w:shd w:val="clear" w:color="000000" w:fill="FFFFFF"/>
            <w:noWrap/>
            <w:vAlign w:val="center"/>
            <w:hideMark/>
          </w:tcPr>
          <w:p w14:paraId="41557A5B"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Arrábida</w:t>
            </w:r>
          </w:p>
        </w:tc>
        <w:tc>
          <w:tcPr>
            <w:tcW w:w="0" w:type="auto"/>
            <w:tcBorders>
              <w:top w:val="nil"/>
              <w:left w:val="nil"/>
              <w:bottom w:val="nil"/>
              <w:right w:val="nil"/>
            </w:tcBorders>
            <w:shd w:val="clear" w:color="000000" w:fill="FFFFFF"/>
            <w:noWrap/>
            <w:vAlign w:val="center"/>
            <w:hideMark/>
          </w:tcPr>
          <w:p w14:paraId="0743DE7D"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lang w:val="it-IT" w:eastAsia="it-IT"/>
              </w:rPr>
              <w:t> </w:t>
            </w:r>
          </w:p>
        </w:tc>
      </w:tr>
      <w:tr w:rsidR="00787EF4" w:rsidRPr="00C6615E" w14:paraId="6546A20B" w14:textId="77777777" w:rsidTr="00787EF4">
        <w:trPr>
          <w:trHeight w:val="396"/>
          <w:jc w:val="center"/>
        </w:trPr>
        <w:tc>
          <w:tcPr>
            <w:tcW w:w="0" w:type="auto"/>
            <w:tcBorders>
              <w:top w:val="nil"/>
              <w:left w:val="nil"/>
              <w:bottom w:val="single" w:sz="8" w:space="0" w:color="auto"/>
              <w:right w:val="nil"/>
            </w:tcBorders>
            <w:shd w:val="clear" w:color="000000" w:fill="FFFFFF"/>
            <w:noWrap/>
            <w:vAlign w:val="center"/>
            <w:hideMark/>
          </w:tcPr>
          <w:p w14:paraId="71B72044" w14:textId="77777777" w:rsidR="00787EF4" w:rsidRPr="00C6615E" w:rsidRDefault="00787EF4" w:rsidP="00C6615E">
            <w:pPr>
              <w:spacing w:before="0" w:after="0"/>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 </w:t>
            </w:r>
          </w:p>
        </w:tc>
        <w:tc>
          <w:tcPr>
            <w:tcW w:w="0" w:type="auto"/>
            <w:tcBorders>
              <w:top w:val="nil"/>
              <w:left w:val="nil"/>
              <w:bottom w:val="single" w:sz="8" w:space="0" w:color="auto"/>
              <w:right w:val="nil"/>
            </w:tcBorders>
            <w:shd w:val="clear" w:color="000000" w:fill="FFFFFF"/>
            <w:noWrap/>
            <w:vAlign w:val="center"/>
            <w:hideMark/>
          </w:tcPr>
          <w:p w14:paraId="195DBF3A" w14:textId="77777777" w:rsidR="00787EF4" w:rsidRPr="00C6615E" w:rsidRDefault="00787EF4" w:rsidP="00C6615E">
            <w:pPr>
              <w:spacing w:before="0" w:after="0"/>
              <w:jc w:val="center"/>
              <w:rPr>
                <w:rFonts w:eastAsia="Times New Roman" w:cs="Times New Roman"/>
                <w:color w:val="222222"/>
                <w:sz w:val="22"/>
                <w:lang w:val="it-IT" w:eastAsia="it-IT"/>
              </w:rPr>
            </w:pPr>
            <w:r w:rsidRPr="00C6615E">
              <w:rPr>
                <w:rFonts w:eastAsia="Times New Roman" w:cs="Times New Roman"/>
                <w:color w:val="222222"/>
                <w:sz w:val="22"/>
                <w:szCs w:val="24"/>
                <w:lang w:eastAsia="it-IT"/>
              </w:rPr>
              <w:t>ρ</w:t>
            </w:r>
          </w:p>
        </w:tc>
        <w:tc>
          <w:tcPr>
            <w:tcW w:w="0" w:type="auto"/>
            <w:tcBorders>
              <w:top w:val="nil"/>
              <w:left w:val="nil"/>
              <w:bottom w:val="single" w:sz="8" w:space="0" w:color="auto"/>
              <w:right w:val="nil"/>
            </w:tcBorders>
            <w:shd w:val="clear" w:color="000000" w:fill="FFFFFF"/>
            <w:noWrap/>
            <w:vAlign w:val="center"/>
            <w:hideMark/>
          </w:tcPr>
          <w:p w14:paraId="3C7DC48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p- value</w:t>
            </w:r>
          </w:p>
        </w:tc>
        <w:tc>
          <w:tcPr>
            <w:tcW w:w="0" w:type="auto"/>
            <w:tcBorders>
              <w:top w:val="nil"/>
              <w:left w:val="nil"/>
              <w:bottom w:val="single" w:sz="8" w:space="0" w:color="auto"/>
              <w:right w:val="nil"/>
            </w:tcBorders>
            <w:shd w:val="clear" w:color="000000" w:fill="FFFFFF"/>
            <w:noWrap/>
            <w:vAlign w:val="center"/>
            <w:hideMark/>
          </w:tcPr>
          <w:p w14:paraId="3FEA1CB4" w14:textId="77777777" w:rsidR="00787EF4" w:rsidRPr="00C6615E" w:rsidRDefault="00787EF4" w:rsidP="00C6615E">
            <w:pPr>
              <w:spacing w:before="0" w:after="0"/>
              <w:jc w:val="center"/>
              <w:rPr>
                <w:rFonts w:ascii="Calibri" w:eastAsia="Times New Roman" w:hAnsi="Calibri" w:cs="Calibri"/>
                <w:b/>
                <w:bCs/>
                <w:color w:val="000000"/>
                <w:sz w:val="22"/>
                <w:lang w:val="it-IT" w:eastAsia="it-IT"/>
              </w:rPr>
            </w:pPr>
            <w:r w:rsidRPr="00C6615E">
              <w:rPr>
                <w:rFonts w:ascii="Calibri" w:eastAsia="Times New Roman" w:hAnsi="Calibri" w:cs="Calibri"/>
                <w:b/>
                <w:bCs/>
                <w:color w:val="000000"/>
                <w:sz w:val="22"/>
                <w:lang w:eastAsia="it-IT"/>
              </w:rPr>
              <w:t> </w:t>
            </w:r>
          </w:p>
        </w:tc>
        <w:tc>
          <w:tcPr>
            <w:tcW w:w="0" w:type="auto"/>
            <w:tcBorders>
              <w:top w:val="nil"/>
              <w:left w:val="nil"/>
              <w:bottom w:val="single" w:sz="8" w:space="0" w:color="auto"/>
              <w:right w:val="nil"/>
            </w:tcBorders>
            <w:shd w:val="clear" w:color="000000" w:fill="FFFFFF"/>
            <w:noWrap/>
            <w:vAlign w:val="center"/>
            <w:hideMark/>
          </w:tcPr>
          <w:p w14:paraId="135C0A2C" w14:textId="77777777" w:rsidR="00787EF4" w:rsidRPr="00C6615E" w:rsidRDefault="00787EF4" w:rsidP="00C6615E">
            <w:pPr>
              <w:spacing w:before="0" w:after="0"/>
              <w:jc w:val="center"/>
              <w:rPr>
                <w:rFonts w:eastAsia="Times New Roman" w:cs="Times New Roman"/>
                <w:color w:val="222222"/>
                <w:sz w:val="22"/>
                <w:lang w:val="it-IT" w:eastAsia="it-IT"/>
              </w:rPr>
            </w:pPr>
            <w:r w:rsidRPr="00C6615E">
              <w:rPr>
                <w:rFonts w:eastAsia="Times New Roman" w:cs="Times New Roman"/>
                <w:color w:val="222222"/>
                <w:sz w:val="22"/>
                <w:szCs w:val="24"/>
                <w:lang w:eastAsia="it-IT"/>
              </w:rPr>
              <w:t>ρ</w:t>
            </w:r>
          </w:p>
        </w:tc>
        <w:tc>
          <w:tcPr>
            <w:tcW w:w="0" w:type="auto"/>
            <w:tcBorders>
              <w:top w:val="nil"/>
              <w:left w:val="nil"/>
              <w:bottom w:val="single" w:sz="8" w:space="0" w:color="auto"/>
              <w:right w:val="nil"/>
            </w:tcBorders>
            <w:shd w:val="clear" w:color="000000" w:fill="FFFFFF"/>
            <w:noWrap/>
            <w:vAlign w:val="center"/>
            <w:hideMark/>
          </w:tcPr>
          <w:p w14:paraId="4CFEF93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p- value</w:t>
            </w:r>
          </w:p>
        </w:tc>
        <w:tc>
          <w:tcPr>
            <w:tcW w:w="0" w:type="auto"/>
            <w:tcBorders>
              <w:top w:val="nil"/>
              <w:left w:val="nil"/>
              <w:bottom w:val="single" w:sz="8" w:space="0" w:color="auto"/>
              <w:right w:val="nil"/>
            </w:tcBorders>
            <w:shd w:val="clear" w:color="000000" w:fill="FFFFFF"/>
            <w:noWrap/>
            <w:vAlign w:val="center"/>
            <w:hideMark/>
          </w:tcPr>
          <w:p w14:paraId="6CABE53C" w14:textId="77777777" w:rsidR="00787EF4" w:rsidRPr="00C6615E" w:rsidRDefault="00787EF4" w:rsidP="00C6615E">
            <w:pPr>
              <w:spacing w:before="0" w:after="0"/>
              <w:jc w:val="center"/>
              <w:rPr>
                <w:rFonts w:ascii="Calibri" w:eastAsia="Times New Roman" w:hAnsi="Calibri" w:cs="Calibri"/>
                <w:b/>
                <w:bCs/>
                <w:color w:val="000000"/>
                <w:sz w:val="22"/>
                <w:lang w:val="it-IT" w:eastAsia="it-IT"/>
              </w:rPr>
            </w:pPr>
            <w:r w:rsidRPr="00C6615E">
              <w:rPr>
                <w:rFonts w:ascii="Calibri" w:eastAsia="Times New Roman" w:hAnsi="Calibri" w:cs="Calibri"/>
                <w:b/>
                <w:bCs/>
                <w:color w:val="000000"/>
                <w:sz w:val="22"/>
                <w:lang w:eastAsia="it-IT"/>
              </w:rPr>
              <w:t> </w:t>
            </w:r>
          </w:p>
        </w:tc>
        <w:tc>
          <w:tcPr>
            <w:tcW w:w="0" w:type="auto"/>
            <w:tcBorders>
              <w:top w:val="nil"/>
              <w:left w:val="nil"/>
              <w:bottom w:val="single" w:sz="8" w:space="0" w:color="auto"/>
              <w:right w:val="nil"/>
            </w:tcBorders>
            <w:shd w:val="clear" w:color="000000" w:fill="FFFFFF"/>
            <w:noWrap/>
            <w:vAlign w:val="center"/>
            <w:hideMark/>
          </w:tcPr>
          <w:p w14:paraId="19860D5C" w14:textId="77777777" w:rsidR="00787EF4" w:rsidRPr="00C6615E" w:rsidRDefault="00787EF4" w:rsidP="00C6615E">
            <w:pPr>
              <w:spacing w:before="0" w:after="0"/>
              <w:jc w:val="center"/>
              <w:rPr>
                <w:rFonts w:eastAsia="Times New Roman" w:cs="Times New Roman"/>
                <w:color w:val="222222"/>
                <w:sz w:val="22"/>
                <w:lang w:val="it-IT" w:eastAsia="it-IT"/>
              </w:rPr>
            </w:pPr>
            <w:r w:rsidRPr="00C6615E">
              <w:rPr>
                <w:rFonts w:eastAsia="Times New Roman" w:cs="Times New Roman"/>
                <w:color w:val="222222"/>
                <w:sz w:val="22"/>
                <w:szCs w:val="24"/>
                <w:lang w:eastAsia="it-IT"/>
              </w:rPr>
              <w:t>ρ</w:t>
            </w:r>
          </w:p>
        </w:tc>
        <w:tc>
          <w:tcPr>
            <w:tcW w:w="0" w:type="auto"/>
            <w:tcBorders>
              <w:top w:val="nil"/>
              <w:left w:val="nil"/>
              <w:bottom w:val="single" w:sz="8" w:space="0" w:color="auto"/>
              <w:right w:val="nil"/>
            </w:tcBorders>
            <w:shd w:val="clear" w:color="000000" w:fill="FFFFFF"/>
            <w:noWrap/>
            <w:vAlign w:val="center"/>
            <w:hideMark/>
          </w:tcPr>
          <w:p w14:paraId="46BB3EE4"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p- value</w:t>
            </w:r>
          </w:p>
        </w:tc>
        <w:tc>
          <w:tcPr>
            <w:tcW w:w="0" w:type="auto"/>
            <w:tcBorders>
              <w:top w:val="nil"/>
              <w:left w:val="nil"/>
              <w:bottom w:val="single" w:sz="8" w:space="0" w:color="auto"/>
              <w:right w:val="nil"/>
            </w:tcBorders>
            <w:shd w:val="clear" w:color="000000" w:fill="FFFFFF"/>
            <w:noWrap/>
            <w:vAlign w:val="center"/>
            <w:hideMark/>
          </w:tcPr>
          <w:p w14:paraId="18687AB6" w14:textId="77777777" w:rsidR="00787EF4" w:rsidRPr="00C6615E" w:rsidRDefault="00787EF4" w:rsidP="00C6615E">
            <w:pPr>
              <w:spacing w:before="0" w:after="0"/>
              <w:jc w:val="center"/>
              <w:rPr>
                <w:rFonts w:ascii="Calibri" w:eastAsia="Times New Roman" w:hAnsi="Calibri" w:cs="Calibri"/>
                <w:b/>
                <w:bCs/>
                <w:color w:val="000000"/>
                <w:sz w:val="22"/>
                <w:lang w:val="it-IT" w:eastAsia="it-IT"/>
              </w:rPr>
            </w:pPr>
            <w:r w:rsidRPr="00C6615E">
              <w:rPr>
                <w:rFonts w:ascii="Calibri" w:eastAsia="Times New Roman" w:hAnsi="Calibri" w:cs="Calibri"/>
                <w:b/>
                <w:bCs/>
                <w:color w:val="000000"/>
                <w:sz w:val="22"/>
                <w:lang w:eastAsia="it-IT"/>
              </w:rPr>
              <w:t> </w:t>
            </w:r>
          </w:p>
        </w:tc>
        <w:tc>
          <w:tcPr>
            <w:tcW w:w="0" w:type="auto"/>
            <w:tcBorders>
              <w:top w:val="nil"/>
              <w:left w:val="nil"/>
              <w:bottom w:val="single" w:sz="8" w:space="0" w:color="auto"/>
              <w:right w:val="nil"/>
            </w:tcBorders>
            <w:shd w:val="clear" w:color="000000" w:fill="FFFFFF"/>
            <w:noWrap/>
            <w:vAlign w:val="center"/>
            <w:hideMark/>
          </w:tcPr>
          <w:p w14:paraId="7B384F56" w14:textId="77777777" w:rsidR="00787EF4" w:rsidRPr="00C6615E" w:rsidRDefault="00787EF4" w:rsidP="00C6615E">
            <w:pPr>
              <w:spacing w:before="0" w:after="0"/>
              <w:jc w:val="center"/>
              <w:rPr>
                <w:rFonts w:eastAsia="Times New Roman" w:cs="Times New Roman"/>
                <w:color w:val="222222"/>
                <w:sz w:val="22"/>
                <w:lang w:val="it-IT" w:eastAsia="it-IT"/>
              </w:rPr>
            </w:pPr>
            <w:r w:rsidRPr="00C6615E">
              <w:rPr>
                <w:rFonts w:eastAsia="Times New Roman" w:cs="Times New Roman"/>
                <w:color w:val="222222"/>
                <w:sz w:val="22"/>
                <w:szCs w:val="24"/>
                <w:lang w:eastAsia="it-IT"/>
              </w:rPr>
              <w:t>ρ</w:t>
            </w:r>
          </w:p>
        </w:tc>
        <w:tc>
          <w:tcPr>
            <w:tcW w:w="0" w:type="auto"/>
            <w:tcBorders>
              <w:top w:val="nil"/>
              <w:left w:val="nil"/>
              <w:bottom w:val="single" w:sz="8" w:space="0" w:color="auto"/>
              <w:right w:val="nil"/>
            </w:tcBorders>
            <w:shd w:val="clear" w:color="000000" w:fill="FFFFFF"/>
            <w:noWrap/>
            <w:vAlign w:val="center"/>
            <w:hideMark/>
          </w:tcPr>
          <w:p w14:paraId="3A48916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p- value</w:t>
            </w:r>
          </w:p>
        </w:tc>
        <w:tc>
          <w:tcPr>
            <w:tcW w:w="0" w:type="auto"/>
            <w:tcBorders>
              <w:top w:val="nil"/>
              <w:left w:val="nil"/>
              <w:bottom w:val="single" w:sz="8" w:space="0" w:color="auto"/>
              <w:right w:val="nil"/>
            </w:tcBorders>
            <w:shd w:val="clear" w:color="000000" w:fill="FFFFFF"/>
            <w:noWrap/>
            <w:vAlign w:val="center"/>
            <w:hideMark/>
          </w:tcPr>
          <w:p w14:paraId="0CFFCDC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670DBE57" w14:textId="77777777" w:rsidTr="00787EF4">
        <w:trPr>
          <w:trHeight w:val="396"/>
          <w:jc w:val="center"/>
        </w:trPr>
        <w:tc>
          <w:tcPr>
            <w:tcW w:w="0" w:type="auto"/>
            <w:tcBorders>
              <w:top w:val="nil"/>
              <w:left w:val="nil"/>
              <w:bottom w:val="single" w:sz="8" w:space="0" w:color="auto"/>
              <w:right w:val="nil"/>
            </w:tcBorders>
            <w:shd w:val="clear" w:color="000000" w:fill="FFFFFF"/>
            <w:noWrap/>
            <w:vAlign w:val="center"/>
            <w:hideMark/>
          </w:tcPr>
          <w:p w14:paraId="61C371CF" w14:textId="77777777" w:rsidR="00787EF4" w:rsidRPr="00C6615E" w:rsidRDefault="00787EF4" w:rsidP="00C6615E">
            <w:pPr>
              <w:spacing w:before="0" w:after="0"/>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pH vs.</w:t>
            </w:r>
          </w:p>
        </w:tc>
        <w:tc>
          <w:tcPr>
            <w:tcW w:w="0" w:type="auto"/>
            <w:tcBorders>
              <w:top w:val="nil"/>
              <w:left w:val="nil"/>
              <w:bottom w:val="nil"/>
              <w:right w:val="nil"/>
            </w:tcBorders>
            <w:shd w:val="clear" w:color="000000" w:fill="FFFFFF"/>
            <w:noWrap/>
            <w:vAlign w:val="center"/>
            <w:hideMark/>
          </w:tcPr>
          <w:p w14:paraId="21F20F08"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5E3770E8"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0FF36DAB"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08C2F67E"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3A76EA2F"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7F02DF9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2C47BD5B"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57381350"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1D49DA4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35488794"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3A85F6CF"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405A25F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784D456D" w14:textId="77777777" w:rsidTr="00787EF4">
        <w:trPr>
          <w:trHeight w:val="288"/>
          <w:jc w:val="center"/>
        </w:trPr>
        <w:tc>
          <w:tcPr>
            <w:tcW w:w="0" w:type="auto"/>
            <w:tcBorders>
              <w:top w:val="nil"/>
              <w:left w:val="nil"/>
              <w:bottom w:val="nil"/>
              <w:right w:val="nil"/>
            </w:tcBorders>
            <w:shd w:val="clear" w:color="000000" w:fill="FFFFFF"/>
            <w:noWrap/>
            <w:vAlign w:val="center"/>
            <w:hideMark/>
          </w:tcPr>
          <w:p w14:paraId="154C0C37"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Cell</w:t>
            </w:r>
          </w:p>
        </w:tc>
        <w:tc>
          <w:tcPr>
            <w:tcW w:w="0" w:type="auto"/>
            <w:tcBorders>
              <w:top w:val="nil"/>
              <w:left w:val="nil"/>
              <w:bottom w:val="nil"/>
              <w:right w:val="nil"/>
            </w:tcBorders>
            <w:shd w:val="clear" w:color="000000" w:fill="FFFFFF"/>
            <w:noWrap/>
            <w:vAlign w:val="center"/>
            <w:hideMark/>
          </w:tcPr>
          <w:p w14:paraId="217D501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0.05</w:t>
            </w:r>
          </w:p>
        </w:tc>
        <w:tc>
          <w:tcPr>
            <w:tcW w:w="0" w:type="auto"/>
            <w:tcBorders>
              <w:top w:val="nil"/>
              <w:left w:val="nil"/>
              <w:bottom w:val="nil"/>
              <w:right w:val="nil"/>
            </w:tcBorders>
            <w:shd w:val="clear" w:color="000000" w:fill="FFFFFF"/>
            <w:noWrap/>
            <w:vAlign w:val="center"/>
            <w:hideMark/>
          </w:tcPr>
          <w:p w14:paraId="5F75EEA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0.41</w:t>
            </w:r>
          </w:p>
        </w:tc>
        <w:tc>
          <w:tcPr>
            <w:tcW w:w="0" w:type="auto"/>
            <w:tcBorders>
              <w:top w:val="nil"/>
              <w:left w:val="nil"/>
              <w:bottom w:val="nil"/>
              <w:right w:val="nil"/>
            </w:tcBorders>
            <w:shd w:val="clear" w:color="000000" w:fill="FFFFFF"/>
            <w:noWrap/>
            <w:vAlign w:val="center"/>
            <w:hideMark/>
          </w:tcPr>
          <w:p w14:paraId="4A5138E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c>
          <w:tcPr>
            <w:tcW w:w="0" w:type="auto"/>
            <w:tcBorders>
              <w:top w:val="nil"/>
              <w:left w:val="nil"/>
              <w:bottom w:val="nil"/>
              <w:right w:val="nil"/>
            </w:tcBorders>
            <w:shd w:val="clear" w:color="000000" w:fill="FFFFFF"/>
            <w:noWrap/>
            <w:vAlign w:val="center"/>
            <w:hideMark/>
          </w:tcPr>
          <w:p w14:paraId="29011DF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0.01</w:t>
            </w:r>
          </w:p>
        </w:tc>
        <w:tc>
          <w:tcPr>
            <w:tcW w:w="0" w:type="auto"/>
            <w:tcBorders>
              <w:top w:val="nil"/>
              <w:left w:val="nil"/>
              <w:bottom w:val="nil"/>
              <w:right w:val="nil"/>
            </w:tcBorders>
            <w:shd w:val="clear" w:color="000000" w:fill="FFFFFF"/>
            <w:noWrap/>
            <w:vAlign w:val="center"/>
            <w:hideMark/>
          </w:tcPr>
          <w:p w14:paraId="2AE8102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0.49</w:t>
            </w:r>
          </w:p>
        </w:tc>
        <w:tc>
          <w:tcPr>
            <w:tcW w:w="0" w:type="auto"/>
            <w:tcBorders>
              <w:top w:val="nil"/>
              <w:left w:val="nil"/>
              <w:bottom w:val="nil"/>
              <w:right w:val="nil"/>
            </w:tcBorders>
            <w:shd w:val="clear" w:color="000000" w:fill="FFFFFF"/>
            <w:noWrap/>
            <w:vAlign w:val="center"/>
            <w:hideMark/>
          </w:tcPr>
          <w:p w14:paraId="23BFBC0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c>
          <w:tcPr>
            <w:tcW w:w="0" w:type="auto"/>
            <w:tcBorders>
              <w:top w:val="nil"/>
              <w:left w:val="nil"/>
              <w:bottom w:val="nil"/>
              <w:right w:val="nil"/>
            </w:tcBorders>
            <w:shd w:val="clear" w:color="000000" w:fill="FFFFFF"/>
            <w:noWrap/>
            <w:vAlign w:val="center"/>
            <w:hideMark/>
          </w:tcPr>
          <w:p w14:paraId="0D9DEE1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0.38</w:t>
            </w:r>
          </w:p>
        </w:tc>
        <w:tc>
          <w:tcPr>
            <w:tcW w:w="0" w:type="auto"/>
            <w:tcBorders>
              <w:top w:val="nil"/>
              <w:left w:val="nil"/>
              <w:bottom w:val="nil"/>
              <w:right w:val="nil"/>
            </w:tcBorders>
            <w:shd w:val="clear" w:color="000000" w:fill="FFFFFF"/>
            <w:noWrap/>
            <w:vAlign w:val="center"/>
            <w:hideMark/>
          </w:tcPr>
          <w:p w14:paraId="7EC3474F"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0.35</w:t>
            </w:r>
          </w:p>
        </w:tc>
        <w:tc>
          <w:tcPr>
            <w:tcW w:w="0" w:type="auto"/>
            <w:tcBorders>
              <w:top w:val="nil"/>
              <w:left w:val="nil"/>
              <w:bottom w:val="nil"/>
              <w:right w:val="nil"/>
            </w:tcBorders>
            <w:shd w:val="clear" w:color="000000" w:fill="FFFFFF"/>
            <w:noWrap/>
            <w:vAlign w:val="center"/>
            <w:hideMark/>
          </w:tcPr>
          <w:p w14:paraId="24939DEF"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c>
          <w:tcPr>
            <w:tcW w:w="0" w:type="auto"/>
            <w:tcBorders>
              <w:top w:val="nil"/>
              <w:left w:val="nil"/>
              <w:bottom w:val="nil"/>
              <w:right w:val="nil"/>
            </w:tcBorders>
            <w:shd w:val="clear" w:color="000000" w:fill="FFFFFF"/>
            <w:noWrap/>
            <w:vAlign w:val="center"/>
            <w:hideMark/>
          </w:tcPr>
          <w:p w14:paraId="4E1E9398"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0.59</w:t>
            </w:r>
          </w:p>
        </w:tc>
        <w:tc>
          <w:tcPr>
            <w:tcW w:w="0" w:type="auto"/>
            <w:tcBorders>
              <w:top w:val="nil"/>
              <w:left w:val="nil"/>
              <w:bottom w:val="nil"/>
              <w:right w:val="nil"/>
            </w:tcBorders>
            <w:shd w:val="clear" w:color="000000" w:fill="FFFFFF"/>
            <w:noWrap/>
            <w:vAlign w:val="center"/>
            <w:hideMark/>
          </w:tcPr>
          <w:p w14:paraId="061109C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0.09</w:t>
            </w:r>
          </w:p>
        </w:tc>
        <w:tc>
          <w:tcPr>
            <w:tcW w:w="0" w:type="auto"/>
            <w:tcBorders>
              <w:top w:val="nil"/>
              <w:left w:val="nil"/>
              <w:bottom w:val="nil"/>
              <w:right w:val="nil"/>
            </w:tcBorders>
            <w:shd w:val="clear" w:color="000000" w:fill="FFFFFF"/>
            <w:noWrap/>
            <w:vAlign w:val="center"/>
            <w:hideMark/>
          </w:tcPr>
          <w:p w14:paraId="56B1162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2A9020AA" w14:textId="77777777" w:rsidTr="00787EF4">
        <w:trPr>
          <w:trHeight w:val="384"/>
          <w:jc w:val="center"/>
        </w:trPr>
        <w:tc>
          <w:tcPr>
            <w:tcW w:w="0" w:type="auto"/>
            <w:tcBorders>
              <w:top w:val="nil"/>
              <w:left w:val="nil"/>
              <w:bottom w:val="nil"/>
              <w:right w:val="nil"/>
            </w:tcBorders>
            <w:shd w:val="clear" w:color="000000" w:fill="FFFFFF"/>
            <w:noWrap/>
            <w:vAlign w:val="center"/>
            <w:hideMark/>
          </w:tcPr>
          <w:p w14:paraId="476D71B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Glus</w:t>
            </w:r>
          </w:p>
        </w:tc>
        <w:tc>
          <w:tcPr>
            <w:tcW w:w="0" w:type="auto"/>
            <w:tcBorders>
              <w:top w:val="nil"/>
              <w:left w:val="nil"/>
              <w:bottom w:val="nil"/>
              <w:right w:val="nil"/>
            </w:tcBorders>
            <w:shd w:val="clear" w:color="000000" w:fill="FFFFFF"/>
            <w:noWrap/>
            <w:vAlign w:val="center"/>
            <w:hideMark/>
          </w:tcPr>
          <w:p w14:paraId="4CB1455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-0.20</w:t>
            </w:r>
          </w:p>
        </w:tc>
        <w:tc>
          <w:tcPr>
            <w:tcW w:w="0" w:type="auto"/>
            <w:tcBorders>
              <w:top w:val="nil"/>
              <w:left w:val="nil"/>
              <w:bottom w:val="nil"/>
              <w:right w:val="nil"/>
            </w:tcBorders>
            <w:shd w:val="clear" w:color="000000" w:fill="FFFFFF"/>
            <w:noWrap/>
            <w:vAlign w:val="center"/>
            <w:hideMark/>
          </w:tcPr>
          <w:p w14:paraId="47BDE0B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0.18</w:t>
            </w:r>
          </w:p>
        </w:tc>
        <w:tc>
          <w:tcPr>
            <w:tcW w:w="0" w:type="auto"/>
            <w:tcBorders>
              <w:top w:val="nil"/>
              <w:left w:val="nil"/>
              <w:bottom w:val="nil"/>
              <w:right w:val="nil"/>
            </w:tcBorders>
            <w:shd w:val="clear" w:color="000000" w:fill="FFFFFF"/>
            <w:noWrap/>
            <w:vAlign w:val="center"/>
            <w:hideMark/>
          </w:tcPr>
          <w:p w14:paraId="5A638D1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3828DB23"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-0.09</w:t>
            </w:r>
          </w:p>
        </w:tc>
        <w:tc>
          <w:tcPr>
            <w:tcW w:w="0" w:type="auto"/>
            <w:tcBorders>
              <w:top w:val="nil"/>
              <w:left w:val="nil"/>
              <w:bottom w:val="nil"/>
              <w:right w:val="nil"/>
            </w:tcBorders>
            <w:shd w:val="clear" w:color="000000" w:fill="FFFFFF"/>
            <w:noWrap/>
            <w:vAlign w:val="center"/>
            <w:hideMark/>
          </w:tcPr>
          <w:p w14:paraId="126BAC8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0.41</w:t>
            </w:r>
          </w:p>
        </w:tc>
        <w:tc>
          <w:tcPr>
            <w:tcW w:w="0" w:type="auto"/>
            <w:tcBorders>
              <w:top w:val="nil"/>
              <w:left w:val="nil"/>
              <w:bottom w:val="nil"/>
              <w:right w:val="nil"/>
            </w:tcBorders>
            <w:shd w:val="clear" w:color="000000" w:fill="FFFFFF"/>
            <w:noWrap/>
            <w:vAlign w:val="center"/>
            <w:hideMark/>
          </w:tcPr>
          <w:p w14:paraId="47C57BB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7E283E2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0.52</w:t>
            </w:r>
          </w:p>
        </w:tc>
        <w:tc>
          <w:tcPr>
            <w:tcW w:w="0" w:type="auto"/>
            <w:tcBorders>
              <w:top w:val="nil"/>
              <w:left w:val="nil"/>
              <w:bottom w:val="nil"/>
              <w:right w:val="nil"/>
            </w:tcBorders>
            <w:shd w:val="clear" w:color="000000" w:fill="FFFFFF"/>
            <w:noWrap/>
            <w:vAlign w:val="center"/>
            <w:hideMark/>
          </w:tcPr>
          <w:p w14:paraId="68E51EC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0.19</w:t>
            </w:r>
          </w:p>
        </w:tc>
        <w:tc>
          <w:tcPr>
            <w:tcW w:w="0" w:type="auto"/>
            <w:tcBorders>
              <w:top w:val="nil"/>
              <w:left w:val="nil"/>
              <w:bottom w:val="nil"/>
              <w:right w:val="nil"/>
            </w:tcBorders>
            <w:shd w:val="clear" w:color="000000" w:fill="FFFFFF"/>
            <w:noWrap/>
            <w:vAlign w:val="center"/>
            <w:hideMark/>
          </w:tcPr>
          <w:p w14:paraId="38D9C22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14F95B0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0.25</w:t>
            </w:r>
          </w:p>
        </w:tc>
        <w:tc>
          <w:tcPr>
            <w:tcW w:w="0" w:type="auto"/>
            <w:tcBorders>
              <w:top w:val="nil"/>
              <w:left w:val="nil"/>
              <w:bottom w:val="nil"/>
              <w:right w:val="nil"/>
            </w:tcBorders>
            <w:shd w:val="clear" w:color="000000" w:fill="FFFFFF"/>
            <w:noWrap/>
            <w:vAlign w:val="center"/>
            <w:hideMark/>
          </w:tcPr>
          <w:p w14:paraId="3D262317"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0.52</w:t>
            </w:r>
          </w:p>
        </w:tc>
        <w:tc>
          <w:tcPr>
            <w:tcW w:w="0" w:type="auto"/>
            <w:tcBorders>
              <w:top w:val="nil"/>
              <w:left w:val="nil"/>
              <w:bottom w:val="nil"/>
              <w:right w:val="nil"/>
            </w:tcBorders>
            <w:shd w:val="clear" w:color="000000" w:fill="FFFFFF"/>
            <w:noWrap/>
            <w:vAlign w:val="center"/>
            <w:hideMark/>
          </w:tcPr>
          <w:p w14:paraId="7B1CF36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79505365" w14:textId="77777777" w:rsidTr="00787EF4">
        <w:trPr>
          <w:trHeight w:val="384"/>
          <w:jc w:val="center"/>
        </w:trPr>
        <w:tc>
          <w:tcPr>
            <w:tcW w:w="0" w:type="auto"/>
            <w:tcBorders>
              <w:top w:val="nil"/>
              <w:left w:val="nil"/>
              <w:bottom w:val="nil"/>
              <w:right w:val="nil"/>
            </w:tcBorders>
            <w:shd w:val="clear" w:color="000000" w:fill="FFFFFF"/>
            <w:noWrap/>
            <w:vAlign w:val="center"/>
            <w:hideMark/>
          </w:tcPr>
          <w:p w14:paraId="7641EF8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Glur</w:t>
            </w:r>
          </w:p>
        </w:tc>
        <w:tc>
          <w:tcPr>
            <w:tcW w:w="0" w:type="auto"/>
            <w:tcBorders>
              <w:top w:val="nil"/>
              <w:left w:val="nil"/>
              <w:bottom w:val="nil"/>
              <w:right w:val="nil"/>
            </w:tcBorders>
            <w:shd w:val="clear" w:color="000000" w:fill="FFFFFF"/>
            <w:noWrap/>
            <w:vAlign w:val="center"/>
            <w:hideMark/>
          </w:tcPr>
          <w:p w14:paraId="5A8FCD3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0.33</w:t>
            </w:r>
          </w:p>
        </w:tc>
        <w:tc>
          <w:tcPr>
            <w:tcW w:w="0" w:type="auto"/>
            <w:tcBorders>
              <w:top w:val="nil"/>
              <w:left w:val="nil"/>
              <w:bottom w:val="nil"/>
              <w:right w:val="nil"/>
            </w:tcBorders>
            <w:shd w:val="clear" w:color="000000" w:fill="FFFFFF"/>
            <w:noWrap/>
            <w:vAlign w:val="center"/>
            <w:hideMark/>
          </w:tcPr>
          <w:p w14:paraId="59C16EE8"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0.06</w:t>
            </w:r>
          </w:p>
        </w:tc>
        <w:tc>
          <w:tcPr>
            <w:tcW w:w="0" w:type="auto"/>
            <w:tcBorders>
              <w:top w:val="nil"/>
              <w:left w:val="nil"/>
              <w:bottom w:val="nil"/>
              <w:right w:val="nil"/>
            </w:tcBorders>
            <w:shd w:val="clear" w:color="000000" w:fill="FFFFFF"/>
            <w:noWrap/>
            <w:vAlign w:val="center"/>
            <w:hideMark/>
          </w:tcPr>
          <w:p w14:paraId="6CC89AA3"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66E14FAE"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0.12</w:t>
            </w:r>
          </w:p>
        </w:tc>
        <w:tc>
          <w:tcPr>
            <w:tcW w:w="0" w:type="auto"/>
            <w:tcBorders>
              <w:top w:val="nil"/>
              <w:left w:val="nil"/>
              <w:bottom w:val="nil"/>
              <w:right w:val="nil"/>
            </w:tcBorders>
            <w:shd w:val="clear" w:color="000000" w:fill="FFFFFF"/>
            <w:noWrap/>
            <w:vAlign w:val="center"/>
            <w:hideMark/>
          </w:tcPr>
          <w:p w14:paraId="6CBAB8C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0.39</w:t>
            </w:r>
          </w:p>
        </w:tc>
        <w:tc>
          <w:tcPr>
            <w:tcW w:w="0" w:type="auto"/>
            <w:tcBorders>
              <w:top w:val="nil"/>
              <w:left w:val="nil"/>
              <w:bottom w:val="nil"/>
              <w:right w:val="nil"/>
            </w:tcBorders>
            <w:shd w:val="clear" w:color="000000" w:fill="FFFFFF"/>
            <w:noWrap/>
            <w:vAlign w:val="center"/>
            <w:hideMark/>
          </w:tcPr>
          <w:p w14:paraId="524F79B7"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4DFD5000"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-0.02</w:t>
            </w:r>
          </w:p>
        </w:tc>
        <w:tc>
          <w:tcPr>
            <w:tcW w:w="0" w:type="auto"/>
            <w:tcBorders>
              <w:top w:val="nil"/>
              <w:left w:val="nil"/>
              <w:bottom w:val="nil"/>
              <w:right w:val="nil"/>
            </w:tcBorders>
            <w:shd w:val="clear" w:color="000000" w:fill="FFFFFF"/>
            <w:noWrap/>
            <w:vAlign w:val="center"/>
            <w:hideMark/>
          </w:tcPr>
          <w:p w14:paraId="09F2E6C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0.96</w:t>
            </w:r>
          </w:p>
        </w:tc>
        <w:tc>
          <w:tcPr>
            <w:tcW w:w="0" w:type="auto"/>
            <w:tcBorders>
              <w:top w:val="nil"/>
              <w:left w:val="nil"/>
              <w:bottom w:val="nil"/>
              <w:right w:val="nil"/>
            </w:tcBorders>
            <w:shd w:val="clear" w:color="000000" w:fill="FFFFFF"/>
            <w:noWrap/>
            <w:vAlign w:val="center"/>
            <w:hideMark/>
          </w:tcPr>
          <w:p w14:paraId="468BD414"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7D53EC2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-0.35</w:t>
            </w:r>
          </w:p>
        </w:tc>
        <w:tc>
          <w:tcPr>
            <w:tcW w:w="0" w:type="auto"/>
            <w:tcBorders>
              <w:top w:val="nil"/>
              <w:left w:val="nil"/>
              <w:bottom w:val="nil"/>
              <w:right w:val="nil"/>
            </w:tcBorders>
            <w:shd w:val="clear" w:color="000000" w:fill="FFFFFF"/>
            <w:noWrap/>
            <w:vAlign w:val="center"/>
            <w:hideMark/>
          </w:tcPr>
          <w:p w14:paraId="1797EC7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0.35</w:t>
            </w:r>
          </w:p>
        </w:tc>
        <w:tc>
          <w:tcPr>
            <w:tcW w:w="0" w:type="auto"/>
            <w:tcBorders>
              <w:top w:val="nil"/>
              <w:left w:val="nil"/>
              <w:bottom w:val="nil"/>
              <w:right w:val="nil"/>
            </w:tcBorders>
            <w:shd w:val="clear" w:color="000000" w:fill="FFFFFF"/>
            <w:noWrap/>
            <w:vAlign w:val="center"/>
            <w:hideMark/>
          </w:tcPr>
          <w:p w14:paraId="3A583A2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4A334923" w14:textId="77777777" w:rsidTr="00787EF4">
        <w:trPr>
          <w:trHeight w:val="288"/>
          <w:jc w:val="center"/>
        </w:trPr>
        <w:tc>
          <w:tcPr>
            <w:tcW w:w="0" w:type="auto"/>
            <w:tcBorders>
              <w:top w:val="nil"/>
              <w:left w:val="nil"/>
              <w:bottom w:val="nil"/>
              <w:right w:val="nil"/>
            </w:tcBorders>
            <w:shd w:val="clear" w:color="000000" w:fill="FFFFFF"/>
            <w:noWrap/>
            <w:vAlign w:val="center"/>
            <w:hideMark/>
          </w:tcPr>
          <w:p w14:paraId="199C464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Xilo</w:t>
            </w:r>
          </w:p>
        </w:tc>
        <w:tc>
          <w:tcPr>
            <w:tcW w:w="0" w:type="auto"/>
            <w:tcBorders>
              <w:top w:val="nil"/>
              <w:left w:val="nil"/>
              <w:bottom w:val="nil"/>
              <w:right w:val="nil"/>
            </w:tcBorders>
            <w:shd w:val="clear" w:color="000000" w:fill="FFFFFF"/>
            <w:noWrap/>
            <w:vAlign w:val="center"/>
            <w:hideMark/>
          </w:tcPr>
          <w:p w14:paraId="1B41AE26"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lang w:val="it-IT" w:eastAsia="it-IT"/>
              </w:rPr>
              <w:t>0.45</w:t>
            </w:r>
          </w:p>
        </w:tc>
        <w:tc>
          <w:tcPr>
            <w:tcW w:w="0" w:type="auto"/>
            <w:tcBorders>
              <w:top w:val="nil"/>
              <w:left w:val="nil"/>
              <w:bottom w:val="nil"/>
              <w:right w:val="nil"/>
            </w:tcBorders>
            <w:shd w:val="clear" w:color="000000" w:fill="FFFFFF"/>
            <w:noWrap/>
            <w:vAlign w:val="center"/>
            <w:hideMark/>
          </w:tcPr>
          <w:p w14:paraId="41C2A7CB"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&lt;0.05</w:t>
            </w:r>
          </w:p>
        </w:tc>
        <w:tc>
          <w:tcPr>
            <w:tcW w:w="0" w:type="auto"/>
            <w:tcBorders>
              <w:top w:val="nil"/>
              <w:left w:val="nil"/>
              <w:bottom w:val="nil"/>
              <w:right w:val="nil"/>
            </w:tcBorders>
            <w:shd w:val="clear" w:color="000000" w:fill="FFFFFF"/>
            <w:noWrap/>
            <w:vAlign w:val="center"/>
            <w:hideMark/>
          </w:tcPr>
          <w:p w14:paraId="63ABF53B"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56EBB42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0.08</w:t>
            </w:r>
          </w:p>
        </w:tc>
        <w:tc>
          <w:tcPr>
            <w:tcW w:w="0" w:type="auto"/>
            <w:tcBorders>
              <w:top w:val="nil"/>
              <w:left w:val="nil"/>
              <w:bottom w:val="nil"/>
              <w:right w:val="nil"/>
            </w:tcBorders>
            <w:shd w:val="clear" w:color="000000" w:fill="FFFFFF"/>
            <w:noWrap/>
            <w:vAlign w:val="center"/>
            <w:hideMark/>
          </w:tcPr>
          <w:p w14:paraId="2B6AD5DF"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0.42</w:t>
            </w:r>
          </w:p>
        </w:tc>
        <w:tc>
          <w:tcPr>
            <w:tcW w:w="0" w:type="auto"/>
            <w:tcBorders>
              <w:top w:val="nil"/>
              <w:left w:val="nil"/>
              <w:bottom w:val="nil"/>
              <w:right w:val="nil"/>
            </w:tcBorders>
            <w:shd w:val="clear" w:color="000000" w:fill="FFFFFF"/>
            <w:noWrap/>
            <w:vAlign w:val="center"/>
            <w:hideMark/>
          </w:tcPr>
          <w:p w14:paraId="3C9B8B1A"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36343C0A"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0.15</w:t>
            </w:r>
          </w:p>
        </w:tc>
        <w:tc>
          <w:tcPr>
            <w:tcW w:w="0" w:type="auto"/>
            <w:tcBorders>
              <w:top w:val="nil"/>
              <w:left w:val="nil"/>
              <w:bottom w:val="nil"/>
              <w:right w:val="nil"/>
            </w:tcBorders>
            <w:shd w:val="clear" w:color="000000" w:fill="FFFFFF"/>
            <w:noWrap/>
            <w:vAlign w:val="center"/>
            <w:hideMark/>
          </w:tcPr>
          <w:p w14:paraId="0CF00C13"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0.72</w:t>
            </w:r>
          </w:p>
        </w:tc>
        <w:tc>
          <w:tcPr>
            <w:tcW w:w="0" w:type="auto"/>
            <w:tcBorders>
              <w:top w:val="nil"/>
              <w:left w:val="nil"/>
              <w:bottom w:val="nil"/>
              <w:right w:val="nil"/>
            </w:tcBorders>
            <w:shd w:val="clear" w:color="000000" w:fill="FFFFFF"/>
            <w:noWrap/>
            <w:vAlign w:val="center"/>
            <w:hideMark/>
          </w:tcPr>
          <w:p w14:paraId="700BF078"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151514F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0.03</w:t>
            </w:r>
          </w:p>
        </w:tc>
        <w:tc>
          <w:tcPr>
            <w:tcW w:w="0" w:type="auto"/>
            <w:tcBorders>
              <w:top w:val="nil"/>
              <w:left w:val="nil"/>
              <w:bottom w:val="nil"/>
              <w:right w:val="nil"/>
            </w:tcBorders>
            <w:shd w:val="clear" w:color="000000" w:fill="FFFFFF"/>
            <w:noWrap/>
            <w:vAlign w:val="center"/>
            <w:hideMark/>
          </w:tcPr>
          <w:p w14:paraId="64D14A60"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0.94</w:t>
            </w:r>
          </w:p>
        </w:tc>
        <w:tc>
          <w:tcPr>
            <w:tcW w:w="0" w:type="auto"/>
            <w:tcBorders>
              <w:top w:val="nil"/>
              <w:left w:val="nil"/>
              <w:bottom w:val="nil"/>
              <w:right w:val="nil"/>
            </w:tcBorders>
            <w:shd w:val="clear" w:color="000000" w:fill="FFFFFF"/>
            <w:noWrap/>
            <w:vAlign w:val="center"/>
            <w:hideMark/>
          </w:tcPr>
          <w:p w14:paraId="4C1F232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7E0F80E0" w14:textId="77777777" w:rsidTr="00787EF4">
        <w:trPr>
          <w:trHeight w:val="384"/>
          <w:jc w:val="center"/>
        </w:trPr>
        <w:tc>
          <w:tcPr>
            <w:tcW w:w="0" w:type="auto"/>
            <w:tcBorders>
              <w:top w:val="nil"/>
              <w:left w:val="nil"/>
              <w:bottom w:val="nil"/>
              <w:right w:val="nil"/>
            </w:tcBorders>
            <w:shd w:val="clear" w:color="000000" w:fill="FFFFFF"/>
            <w:noWrap/>
            <w:vAlign w:val="center"/>
            <w:hideMark/>
          </w:tcPr>
          <w:p w14:paraId="2C89A5F3"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NaGL</w:t>
            </w:r>
          </w:p>
        </w:tc>
        <w:tc>
          <w:tcPr>
            <w:tcW w:w="0" w:type="auto"/>
            <w:tcBorders>
              <w:top w:val="nil"/>
              <w:left w:val="nil"/>
              <w:bottom w:val="nil"/>
              <w:right w:val="nil"/>
            </w:tcBorders>
            <w:shd w:val="clear" w:color="000000" w:fill="FFFFFF"/>
            <w:noWrap/>
            <w:vAlign w:val="center"/>
            <w:hideMark/>
          </w:tcPr>
          <w:p w14:paraId="37B013C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-0.18</w:t>
            </w:r>
          </w:p>
        </w:tc>
        <w:tc>
          <w:tcPr>
            <w:tcW w:w="0" w:type="auto"/>
            <w:tcBorders>
              <w:top w:val="nil"/>
              <w:left w:val="nil"/>
              <w:bottom w:val="nil"/>
              <w:right w:val="nil"/>
            </w:tcBorders>
            <w:shd w:val="clear" w:color="000000" w:fill="FFFFFF"/>
            <w:noWrap/>
            <w:vAlign w:val="center"/>
            <w:hideMark/>
          </w:tcPr>
          <w:p w14:paraId="78F36B1E"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0.21</w:t>
            </w:r>
          </w:p>
        </w:tc>
        <w:tc>
          <w:tcPr>
            <w:tcW w:w="0" w:type="auto"/>
            <w:tcBorders>
              <w:top w:val="nil"/>
              <w:left w:val="nil"/>
              <w:bottom w:val="nil"/>
              <w:right w:val="nil"/>
            </w:tcBorders>
            <w:shd w:val="clear" w:color="000000" w:fill="FFFFFF"/>
            <w:noWrap/>
            <w:vAlign w:val="center"/>
            <w:hideMark/>
          </w:tcPr>
          <w:p w14:paraId="2D61561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0A304AF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-0.09</w:t>
            </w:r>
          </w:p>
        </w:tc>
        <w:tc>
          <w:tcPr>
            <w:tcW w:w="0" w:type="auto"/>
            <w:tcBorders>
              <w:top w:val="nil"/>
              <w:left w:val="nil"/>
              <w:bottom w:val="nil"/>
              <w:right w:val="nil"/>
            </w:tcBorders>
            <w:shd w:val="clear" w:color="000000" w:fill="FFFFFF"/>
            <w:noWrap/>
            <w:vAlign w:val="center"/>
            <w:hideMark/>
          </w:tcPr>
          <w:p w14:paraId="79B85EF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0.42</w:t>
            </w:r>
          </w:p>
        </w:tc>
        <w:tc>
          <w:tcPr>
            <w:tcW w:w="0" w:type="auto"/>
            <w:tcBorders>
              <w:top w:val="nil"/>
              <w:left w:val="nil"/>
              <w:bottom w:val="nil"/>
              <w:right w:val="nil"/>
            </w:tcBorders>
            <w:shd w:val="clear" w:color="000000" w:fill="FFFFFF"/>
            <w:noWrap/>
            <w:vAlign w:val="center"/>
            <w:hideMark/>
          </w:tcPr>
          <w:p w14:paraId="3120DC6A"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54B49384"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0.32</w:t>
            </w:r>
          </w:p>
        </w:tc>
        <w:tc>
          <w:tcPr>
            <w:tcW w:w="0" w:type="auto"/>
            <w:tcBorders>
              <w:top w:val="nil"/>
              <w:left w:val="nil"/>
              <w:bottom w:val="nil"/>
              <w:right w:val="nil"/>
            </w:tcBorders>
            <w:shd w:val="clear" w:color="000000" w:fill="FFFFFF"/>
            <w:noWrap/>
            <w:vAlign w:val="center"/>
            <w:hideMark/>
          </w:tcPr>
          <w:p w14:paraId="2E8C13F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0.44</w:t>
            </w:r>
          </w:p>
        </w:tc>
        <w:tc>
          <w:tcPr>
            <w:tcW w:w="0" w:type="auto"/>
            <w:tcBorders>
              <w:top w:val="nil"/>
              <w:left w:val="nil"/>
              <w:bottom w:val="nil"/>
              <w:right w:val="nil"/>
            </w:tcBorders>
            <w:shd w:val="clear" w:color="000000" w:fill="FFFFFF"/>
            <w:noWrap/>
            <w:vAlign w:val="center"/>
            <w:hideMark/>
          </w:tcPr>
          <w:p w14:paraId="4EE6722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79B5F4F7"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0.18</w:t>
            </w:r>
          </w:p>
        </w:tc>
        <w:tc>
          <w:tcPr>
            <w:tcW w:w="0" w:type="auto"/>
            <w:tcBorders>
              <w:top w:val="nil"/>
              <w:left w:val="nil"/>
              <w:bottom w:val="nil"/>
              <w:right w:val="nil"/>
            </w:tcBorders>
            <w:shd w:val="clear" w:color="000000" w:fill="FFFFFF"/>
            <w:noWrap/>
            <w:vAlign w:val="center"/>
            <w:hideMark/>
          </w:tcPr>
          <w:p w14:paraId="5483ADC7"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0.65</w:t>
            </w:r>
          </w:p>
        </w:tc>
        <w:tc>
          <w:tcPr>
            <w:tcW w:w="0" w:type="auto"/>
            <w:tcBorders>
              <w:top w:val="nil"/>
              <w:left w:val="nil"/>
              <w:bottom w:val="nil"/>
              <w:right w:val="nil"/>
            </w:tcBorders>
            <w:shd w:val="clear" w:color="000000" w:fill="FFFFFF"/>
            <w:noWrap/>
            <w:vAlign w:val="center"/>
            <w:hideMark/>
          </w:tcPr>
          <w:p w14:paraId="5AAE837B"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77F6D351" w14:textId="77777777" w:rsidTr="00787EF4">
        <w:trPr>
          <w:trHeight w:val="384"/>
          <w:jc w:val="center"/>
        </w:trPr>
        <w:tc>
          <w:tcPr>
            <w:tcW w:w="0" w:type="auto"/>
            <w:tcBorders>
              <w:top w:val="nil"/>
              <w:left w:val="nil"/>
              <w:bottom w:val="nil"/>
              <w:right w:val="nil"/>
            </w:tcBorders>
            <w:shd w:val="clear" w:color="000000" w:fill="FFFFFF"/>
            <w:noWrap/>
            <w:vAlign w:val="center"/>
            <w:hideMark/>
          </w:tcPr>
          <w:p w14:paraId="33D00B3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LeAm</w:t>
            </w:r>
          </w:p>
        </w:tc>
        <w:tc>
          <w:tcPr>
            <w:tcW w:w="0" w:type="auto"/>
            <w:tcBorders>
              <w:top w:val="nil"/>
              <w:left w:val="nil"/>
              <w:bottom w:val="nil"/>
              <w:right w:val="nil"/>
            </w:tcBorders>
            <w:shd w:val="clear" w:color="000000" w:fill="FFFFFF"/>
            <w:noWrap/>
            <w:vAlign w:val="center"/>
            <w:hideMark/>
          </w:tcPr>
          <w:p w14:paraId="4F4AD794"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lang w:eastAsia="it-IT"/>
              </w:rPr>
              <w:t>-0.65</w:t>
            </w:r>
          </w:p>
        </w:tc>
        <w:tc>
          <w:tcPr>
            <w:tcW w:w="0" w:type="auto"/>
            <w:tcBorders>
              <w:top w:val="nil"/>
              <w:left w:val="nil"/>
              <w:bottom w:val="nil"/>
              <w:right w:val="nil"/>
            </w:tcBorders>
            <w:shd w:val="clear" w:color="000000" w:fill="FFFFFF"/>
            <w:noWrap/>
            <w:vAlign w:val="center"/>
            <w:hideMark/>
          </w:tcPr>
          <w:p w14:paraId="053D351E"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&lt;0.01</w:t>
            </w:r>
          </w:p>
        </w:tc>
        <w:tc>
          <w:tcPr>
            <w:tcW w:w="0" w:type="auto"/>
            <w:tcBorders>
              <w:top w:val="nil"/>
              <w:left w:val="nil"/>
              <w:bottom w:val="nil"/>
              <w:right w:val="nil"/>
            </w:tcBorders>
            <w:shd w:val="clear" w:color="000000" w:fill="FFFFFF"/>
            <w:noWrap/>
            <w:vAlign w:val="center"/>
            <w:hideMark/>
          </w:tcPr>
          <w:p w14:paraId="182B660A"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53F6529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-0.18</w:t>
            </w:r>
          </w:p>
        </w:tc>
        <w:tc>
          <w:tcPr>
            <w:tcW w:w="0" w:type="auto"/>
            <w:tcBorders>
              <w:top w:val="nil"/>
              <w:left w:val="nil"/>
              <w:bottom w:val="nil"/>
              <w:right w:val="nil"/>
            </w:tcBorders>
            <w:shd w:val="clear" w:color="000000" w:fill="FFFFFF"/>
            <w:noWrap/>
            <w:vAlign w:val="center"/>
            <w:hideMark/>
          </w:tcPr>
          <w:p w14:paraId="2BCA62B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0.34</w:t>
            </w:r>
          </w:p>
        </w:tc>
        <w:tc>
          <w:tcPr>
            <w:tcW w:w="0" w:type="auto"/>
            <w:tcBorders>
              <w:top w:val="nil"/>
              <w:left w:val="nil"/>
              <w:bottom w:val="nil"/>
              <w:right w:val="nil"/>
            </w:tcBorders>
            <w:shd w:val="clear" w:color="000000" w:fill="FFFFFF"/>
            <w:noWrap/>
            <w:vAlign w:val="center"/>
            <w:hideMark/>
          </w:tcPr>
          <w:p w14:paraId="0E39B863"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57636064"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-0.03</w:t>
            </w:r>
          </w:p>
        </w:tc>
        <w:tc>
          <w:tcPr>
            <w:tcW w:w="0" w:type="auto"/>
            <w:tcBorders>
              <w:top w:val="nil"/>
              <w:left w:val="nil"/>
              <w:bottom w:val="nil"/>
              <w:right w:val="nil"/>
            </w:tcBorders>
            <w:shd w:val="clear" w:color="000000" w:fill="FFFFFF"/>
            <w:noWrap/>
            <w:vAlign w:val="center"/>
            <w:hideMark/>
          </w:tcPr>
          <w:p w14:paraId="1A75BF8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0.95</w:t>
            </w:r>
          </w:p>
        </w:tc>
        <w:tc>
          <w:tcPr>
            <w:tcW w:w="0" w:type="auto"/>
            <w:tcBorders>
              <w:top w:val="nil"/>
              <w:left w:val="nil"/>
              <w:bottom w:val="nil"/>
              <w:right w:val="nil"/>
            </w:tcBorders>
            <w:shd w:val="clear" w:color="000000" w:fill="FFFFFF"/>
            <w:noWrap/>
            <w:vAlign w:val="center"/>
            <w:hideMark/>
          </w:tcPr>
          <w:p w14:paraId="3241B12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nil"/>
              <w:right w:val="nil"/>
            </w:tcBorders>
            <w:shd w:val="clear" w:color="000000" w:fill="FFFFFF"/>
            <w:noWrap/>
            <w:vAlign w:val="center"/>
            <w:hideMark/>
          </w:tcPr>
          <w:p w14:paraId="1D3507F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-0.28</w:t>
            </w:r>
          </w:p>
        </w:tc>
        <w:tc>
          <w:tcPr>
            <w:tcW w:w="0" w:type="auto"/>
            <w:tcBorders>
              <w:top w:val="nil"/>
              <w:left w:val="nil"/>
              <w:bottom w:val="nil"/>
              <w:right w:val="nil"/>
            </w:tcBorders>
            <w:shd w:val="clear" w:color="000000" w:fill="FFFFFF"/>
            <w:noWrap/>
            <w:vAlign w:val="center"/>
            <w:hideMark/>
          </w:tcPr>
          <w:p w14:paraId="167F8BCA"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0.46</w:t>
            </w:r>
          </w:p>
        </w:tc>
        <w:tc>
          <w:tcPr>
            <w:tcW w:w="0" w:type="auto"/>
            <w:tcBorders>
              <w:top w:val="nil"/>
              <w:left w:val="nil"/>
              <w:bottom w:val="nil"/>
              <w:right w:val="nil"/>
            </w:tcBorders>
            <w:shd w:val="clear" w:color="000000" w:fill="FFFFFF"/>
            <w:noWrap/>
            <w:vAlign w:val="center"/>
            <w:hideMark/>
          </w:tcPr>
          <w:p w14:paraId="36227DEE"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10B2179A" w14:textId="77777777" w:rsidTr="00787EF4">
        <w:trPr>
          <w:trHeight w:val="288"/>
          <w:jc w:val="center"/>
        </w:trPr>
        <w:tc>
          <w:tcPr>
            <w:tcW w:w="0" w:type="auto"/>
            <w:tcBorders>
              <w:top w:val="nil"/>
              <w:left w:val="nil"/>
              <w:bottom w:val="dotDotDash" w:sz="4" w:space="0" w:color="auto"/>
              <w:right w:val="nil"/>
            </w:tcBorders>
            <w:shd w:val="clear" w:color="000000" w:fill="FFFFFF"/>
            <w:noWrap/>
            <w:vAlign w:val="center"/>
            <w:hideMark/>
          </w:tcPr>
          <w:p w14:paraId="5315D23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Phos</w:t>
            </w:r>
          </w:p>
        </w:tc>
        <w:tc>
          <w:tcPr>
            <w:tcW w:w="0" w:type="auto"/>
            <w:tcBorders>
              <w:top w:val="nil"/>
              <w:left w:val="nil"/>
              <w:bottom w:val="dotDotDash" w:sz="4" w:space="0" w:color="auto"/>
              <w:right w:val="nil"/>
            </w:tcBorders>
            <w:shd w:val="clear" w:color="000000" w:fill="FFFFFF"/>
            <w:noWrap/>
            <w:vAlign w:val="center"/>
            <w:hideMark/>
          </w:tcPr>
          <w:p w14:paraId="072DA71A"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lang w:val="it-IT" w:eastAsia="it-IT"/>
              </w:rPr>
              <w:t>-0.67</w:t>
            </w:r>
          </w:p>
        </w:tc>
        <w:tc>
          <w:tcPr>
            <w:tcW w:w="0" w:type="auto"/>
            <w:tcBorders>
              <w:top w:val="nil"/>
              <w:left w:val="nil"/>
              <w:bottom w:val="dotDotDash" w:sz="4" w:space="0" w:color="auto"/>
              <w:right w:val="nil"/>
            </w:tcBorders>
            <w:shd w:val="clear" w:color="000000" w:fill="FFFFFF"/>
            <w:noWrap/>
            <w:vAlign w:val="center"/>
            <w:hideMark/>
          </w:tcPr>
          <w:p w14:paraId="7D70493D" w14:textId="77777777" w:rsidR="00787EF4" w:rsidRPr="00C6615E" w:rsidRDefault="00787EF4" w:rsidP="00C6615E">
            <w:pPr>
              <w:spacing w:before="0" w:after="0"/>
              <w:jc w:val="center"/>
              <w:rPr>
                <w:rFonts w:eastAsia="Times New Roman" w:cs="Times New Roman"/>
                <w:b/>
                <w:bCs/>
                <w:color w:val="000000"/>
                <w:sz w:val="22"/>
                <w:lang w:val="it-IT" w:eastAsia="it-IT"/>
              </w:rPr>
            </w:pPr>
            <w:r w:rsidRPr="00C6615E">
              <w:rPr>
                <w:rFonts w:eastAsia="Times New Roman" w:cs="Times New Roman"/>
                <w:b/>
                <w:bCs/>
                <w:color w:val="000000"/>
                <w:sz w:val="22"/>
                <w:szCs w:val="24"/>
                <w:lang w:eastAsia="it-IT"/>
              </w:rPr>
              <w:t>&lt;0.01</w:t>
            </w:r>
          </w:p>
        </w:tc>
        <w:tc>
          <w:tcPr>
            <w:tcW w:w="0" w:type="auto"/>
            <w:tcBorders>
              <w:top w:val="nil"/>
              <w:left w:val="nil"/>
              <w:bottom w:val="nil"/>
              <w:right w:val="nil"/>
            </w:tcBorders>
            <w:shd w:val="clear" w:color="000000" w:fill="FFFFFF"/>
            <w:noWrap/>
            <w:vAlign w:val="center"/>
            <w:hideMark/>
          </w:tcPr>
          <w:p w14:paraId="57B69D3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dotDotDash" w:sz="4" w:space="0" w:color="auto"/>
              <w:right w:val="nil"/>
            </w:tcBorders>
            <w:shd w:val="clear" w:color="000000" w:fill="FFFFFF"/>
            <w:noWrap/>
            <w:vAlign w:val="center"/>
            <w:hideMark/>
          </w:tcPr>
          <w:p w14:paraId="13BA7B7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-0.08</w:t>
            </w:r>
          </w:p>
        </w:tc>
        <w:tc>
          <w:tcPr>
            <w:tcW w:w="0" w:type="auto"/>
            <w:tcBorders>
              <w:top w:val="nil"/>
              <w:left w:val="nil"/>
              <w:bottom w:val="dotDotDash" w:sz="4" w:space="0" w:color="auto"/>
              <w:right w:val="nil"/>
            </w:tcBorders>
            <w:shd w:val="clear" w:color="000000" w:fill="FFFFFF"/>
            <w:noWrap/>
            <w:vAlign w:val="center"/>
            <w:hideMark/>
          </w:tcPr>
          <w:p w14:paraId="74200D7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0.43</w:t>
            </w:r>
          </w:p>
        </w:tc>
        <w:tc>
          <w:tcPr>
            <w:tcW w:w="0" w:type="auto"/>
            <w:tcBorders>
              <w:top w:val="nil"/>
              <w:left w:val="nil"/>
              <w:bottom w:val="nil"/>
              <w:right w:val="nil"/>
            </w:tcBorders>
            <w:shd w:val="clear" w:color="000000" w:fill="FFFFFF"/>
            <w:noWrap/>
            <w:vAlign w:val="center"/>
            <w:hideMark/>
          </w:tcPr>
          <w:p w14:paraId="0CB1DB7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dotDotDash" w:sz="4" w:space="0" w:color="auto"/>
              <w:right w:val="nil"/>
            </w:tcBorders>
            <w:shd w:val="clear" w:color="000000" w:fill="FFFFFF"/>
            <w:noWrap/>
            <w:vAlign w:val="center"/>
            <w:hideMark/>
          </w:tcPr>
          <w:p w14:paraId="1E3D0520"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0.25</w:t>
            </w:r>
          </w:p>
        </w:tc>
        <w:tc>
          <w:tcPr>
            <w:tcW w:w="0" w:type="auto"/>
            <w:tcBorders>
              <w:top w:val="nil"/>
              <w:left w:val="nil"/>
              <w:bottom w:val="dotDotDash" w:sz="4" w:space="0" w:color="auto"/>
              <w:right w:val="nil"/>
            </w:tcBorders>
            <w:shd w:val="clear" w:color="000000" w:fill="FFFFFF"/>
            <w:noWrap/>
            <w:vAlign w:val="center"/>
            <w:hideMark/>
          </w:tcPr>
          <w:p w14:paraId="25FA6C80"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0.55</w:t>
            </w:r>
          </w:p>
        </w:tc>
        <w:tc>
          <w:tcPr>
            <w:tcW w:w="0" w:type="auto"/>
            <w:tcBorders>
              <w:top w:val="nil"/>
              <w:left w:val="nil"/>
              <w:bottom w:val="nil"/>
              <w:right w:val="nil"/>
            </w:tcBorders>
            <w:shd w:val="clear" w:color="000000" w:fill="FFFFFF"/>
            <w:noWrap/>
            <w:vAlign w:val="center"/>
            <w:hideMark/>
          </w:tcPr>
          <w:p w14:paraId="1321361B"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dotDotDash" w:sz="4" w:space="0" w:color="auto"/>
              <w:right w:val="nil"/>
            </w:tcBorders>
            <w:shd w:val="clear" w:color="000000" w:fill="FFFFFF"/>
            <w:noWrap/>
            <w:vAlign w:val="center"/>
            <w:hideMark/>
          </w:tcPr>
          <w:p w14:paraId="7C2567D9"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0.17</w:t>
            </w:r>
          </w:p>
        </w:tc>
        <w:tc>
          <w:tcPr>
            <w:tcW w:w="0" w:type="auto"/>
            <w:tcBorders>
              <w:top w:val="nil"/>
              <w:left w:val="nil"/>
              <w:bottom w:val="dotDotDash" w:sz="4" w:space="0" w:color="auto"/>
              <w:right w:val="nil"/>
            </w:tcBorders>
            <w:shd w:val="clear" w:color="000000" w:fill="FFFFFF"/>
            <w:noWrap/>
            <w:vAlign w:val="center"/>
            <w:hideMark/>
          </w:tcPr>
          <w:p w14:paraId="420DD8F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0.66</w:t>
            </w:r>
          </w:p>
        </w:tc>
        <w:tc>
          <w:tcPr>
            <w:tcW w:w="0" w:type="auto"/>
            <w:tcBorders>
              <w:top w:val="nil"/>
              <w:left w:val="nil"/>
              <w:bottom w:val="nil"/>
              <w:right w:val="nil"/>
            </w:tcBorders>
            <w:shd w:val="clear" w:color="000000" w:fill="FFFFFF"/>
            <w:noWrap/>
            <w:vAlign w:val="center"/>
            <w:hideMark/>
          </w:tcPr>
          <w:p w14:paraId="284902DA"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r w:rsidR="00787EF4" w:rsidRPr="00C6615E" w14:paraId="676B981B" w14:textId="77777777" w:rsidTr="00787EF4">
        <w:trPr>
          <w:trHeight w:val="396"/>
          <w:jc w:val="center"/>
        </w:trPr>
        <w:tc>
          <w:tcPr>
            <w:tcW w:w="0" w:type="auto"/>
            <w:tcBorders>
              <w:top w:val="nil"/>
              <w:left w:val="nil"/>
              <w:bottom w:val="single" w:sz="8" w:space="0" w:color="auto"/>
              <w:right w:val="nil"/>
            </w:tcBorders>
            <w:shd w:val="clear" w:color="000000" w:fill="FFFFFF"/>
            <w:vAlign w:val="bottom"/>
            <w:hideMark/>
          </w:tcPr>
          <w:p w14:paraId="1B40218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EEA_PCA1</w:t>
            </w:r>
          </w:p>
        </w:tc>
        <w:tc>
          <w:tcPr>
            <w:tcW w:w="0" w:type="auto"/>
            <w:tcBorders>
              <w:top w:val="nil"/>
              <w:left w:val="nil"/>
              <w:bottom w:val="single" w:sz="8" w:space="0" w:color="auto"/>
              <w:right w:val="nil"/>
            </w:tcBorders>
            <w:shd w:val="clear" w:color="000000" w:fill="FFFFFF"/>
            <w:noWrap/>
            <w:vAlign w:val="center"/>
            <w:hideMark/>
          </w:tcPr>
          <w:p w14:paraId="0652DC76"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0.25</w:t>
            </w:r>
          </w:p>
        </w:tc>
        <w:tc>
          <w:tcPr>
            <w:tcW w:w="0" w:type="auto"/>
            <w:tcBorders>
              <w:top w:val="nil"/>
              <w:left w:val="nil"/>
              <w:bottom w:val="single" w:sz="8" w:space="0" w:color="auto"/>
              <w:right w:val="nil"/>
            </w:tcBorders>
            <w:shd w:val="clear" w:color="000000" w:fill="FFFFFF"/>
            <w:noWrap/>
            <w:vAlign w:val="center"/>
            <w:hideMark/>
          </w:tcPr>
          <w:p w14:paraId="33E058F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0.12</w:t>
            </w:r>
          </w:p>
        </w:tc>
        <w:tc>
          <w:tcPr>
            <w:tcW w:w="0" w:type="auto"/>
            <w:tcBorders>
              <w:top w:val="nil"/>
              <w:left w:val="nil"/>
              <w:bottom w:val="single" w:sz="8" w:space="0" w:color="auto"/>
              <w:right w:val="nil"/>
            </w:tcBorders>
            <w:shd w:val="clear" w:color="000000" w:fill="FFFFFF"/>
            <w:noWrap/>
            <w:vAlign w:val="center"/>
            <w:hideMark/>
          </w:tcPr>
          <w:p w14:paraId="40C28547"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single" w:sz="8" w:space="0" w:color="auto"/>
              <w:right w:val="nil"/>
            </w:tcBorders>
            <w:shd w:val="clear" w:color="000000" w:fill="FFFFFF"/>
            <w:noWrap/>
            <w:vAlign w:val="center"/>
            <w:hideMark/>
          </w:tcPr>
          <w:p w14:paraId="017FC472"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-0.11</w:t>
            </w:r>
          </w:p>
        </w:tc>
        <w:tc>
          <w:tcPr>
            <w:tcW w:w="0" w:type="auto"/>
            <w:tcBorders>
              <w:top w:val="nil"/>
              <w:left w:val="nil"/>
              <w:bottom w:val="single" w:sz="8" w:space="0" w:color="auto"/>
              <w:right w:val="nil"/>
            </w:tcBorders>
            <w:shd w:val="clear" w:color="000000" w:fill="FFFFFF"/>
            <w:noWrap/>
            <w:vAlign w:val="center"/>
            <w:hideMark/>
          </w:tcPr>
          <w:p w14:paraId="1DA0001D"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0.40</w:t>
            </w:r>
          </w:p>
        </w:tc>
        <w:tc>
          <w:tcPr>
            <w:tcW w:w="0" w:type="auto"/>
            <w:tcBorders>
              <w:top w:val="nil"/>
              <w:left w:val="nil"/>
              <w:bottom w:val="single" w:sz="8" w:space="0" w:color="auto"/>
              <w:right w:val="nil"/>
            </w:tcBorders>
            <w:shd w:val="clear" w:color="000000" w:fill="FFFFFF"/>
            <w:noWrap/>
            <w:vAlign w:val="center"/>
            <w:hideMark/>
          </w:tcPr>
          <w:p w14:paraId="1E3122F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single" w:sz="8" w:space="0" w:color="auto"/>
              <w:right w:val="nil"/>
            </w:tcBorders>
            <w:shd w:val="clear" w:color="000000" w:fill="FFFFFF"/>
            <w:noWrap/>
            <w:vAlign w:val="center"/>
            <w:hideMark/>
          </w:tcPr>
          <w:p w14:paraId="5E1644B0"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0.36</w:t>
            </w:r>
          </w:p>
        </w:tc>
        <w:tc>
          <w:tcPr>
            <w:tcW w:w="0" w:type="auto"/>
            <w:tcBorders>
              <w:top w:val="nil"/>
              <w:left w:val="nil"/>
              <w:bottom w:val="single" w:sz="8" w:space="0" w:color="auto"/>
              <w:right w:val="nil"/>
            </w:tcBorders>
            <w:shd w:val="clear" w:color="000000" w:fill="FFFFFF"/>
            <w:noWrap/>
            <w:vAlign w:val="center"/>
            <w:hideMark/>
          </w:tcPr>
          <w:p w14:paraId="175600E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0.38</w:t>
            </w:r>
          </w:p>
        </w:tc>
        <w:tc>
          <w:tcPr>
            <w:tcW w:w="0" w:type="auto"/>
            <w:tcBorders>
              <w:top w:val="nil"/>
              <w:left w:val="nil"/>
              <w:bottom w:val="single" w:sz="8" w:space="0" w:color="auto"/>
              <w:right w:val="nil"/>
            </w:tcBorders>
            <w:shd w:val="clear" w:color="000000" w:fill="FFFFFF"/>
            <w:noWrap/>
            <w:vAlign w:val="center"/>
            <w:hideMark/>
          </w:tcPr>
          <w:p w14:paraId="596E2BF5"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szCs w:val="24"/>
                <w:lang w:eastAsia="it-IT"/>
              </w:rPr>
              <w:t> </w:t>
            </w:r>
          </w:p>
        </w:tc>
        <w:tc>
          <w:tcPr>
            <w:tcW w:w="0" w:type="auto"/>
            <w:tcBorders>
              <w:top w:val="nil"/>
              <w:left w:val="nil"/>
              <w:bottom w:val="single" w:sz="8" w:space="0" w:color="auto"/>
              <w:right w:val="nil"/>
            </w:tcBorders>
            <w:shd w:val="clear" w:color="000000" w:fill="FFFFFF"/>
            <w:noWrap/>
            <w:vAlign w:val="center"/>
            <w:hideMark/>
          </w:tcPr>
          <w:p w14:paraId="7299481E"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0.12</w:t>
            </w:r>
          </w:p>
        </w:tc>
        <w:tc>
          <w:tcPr>
            <w:tcW w:w="0" w:type="auto"/>
            <w:tcBorders>
              <w:top w:val="nil"/>
              <w:left w:val="nil"/>
              <w:bottom w:val="single" w:sz="8" w:space="0" w:color="auto"/>
              <w:right w:val="nil"/>
            </w:tcBorders>
            <w:shd w:val="clear" w:color="000000" w:fill="FFFFFF"/>
            <w:noWrap/>
            <w:vAlign w:val="center"/>
            <w:hideMark/>
          </w:tcPr>
          <w:p w14:paraId="7D70993C"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0.77</w:t>
            </w:r>
          </w:p>
        </w:tc>
        <w:tc>
          <w:tcPr>
            <w:tcW w:w="0" w:type="auto"/>
            <w:tcBorders>
              <w:top w:val="nil"/>
              <w:left w:val="nil"/>
              <w:bottom w:val="single" w:sz="8" w:space="0" w:color="auto"/>
              <w:right w:val="nil"/>
            </w:tcBorders>
            <w:shd w:val="clear" w:color="000000" w:fill="FFFFFF"/>
            <w:noWrap/>
            <w:vAlign w:val="center"/>
            <w:hideMark/>
          </w:tcPr>
          <w:p w14:paraId="63B39A31" w14:textId="77777777" w:rsidR="00787EF4" w:rsidRPr="00C6615E" w:rsidRDefault="00787EF4" w:rsidP="00C6615E">
            <w:pPr>
              <w:spacing w:before="0" w:after="0"/>
              <w:jc w:val="center"/>
              <w:rPr>
                <w:rFonts w:eastAsia="Times New Roman" w:cs="Times New Roman"/>
                <w:color w:val="000000"/>
                <w:sz w:val="22"/>
                <w:lang w:val="it-IT" w:eastAsia="it-IT"/>
              </w:rPr>
            </w:pPr>
            <w:r w:rsidRPr="00C6615E">
              <w:rPr>
                <w:rFonts w:eastAsia="Times New Roman" w:cs="Times New Roman"/>
                <w:color w:val="000000"/>
                <w:sz w:val="22"/>
                <w:lang w:val="it-IT" w:eastAsia="it-IT"/>
              </w:rPr>
              <w:t> </w:t>
            </w:r>
          </w:p>
        </w:tc>
      </w:tr>
    </w:tbl>
    <w:p w14:paraId="22467D86" w14:textId="48C1FF52" w:rsidR="00CA5486" w:rsidRDefault="00CA5486">
      <w:pPr>
        <w:spacing w:before="0" w:after="200" w:line="276" w:lineRule="auto"/>
        <w:rPr>
          <w:rFonts w:eastAsia="Calibri"/>
          <w:szCs w:val="24"/>
        </w:rPr>
      </w:pPr>
    </w:p>
    <w:p w14:paraId="1D7C627B" w14:textId="3975A6F5" w:rsidR="00787EF4" w:rsidRDefault="00787EF4">
      <w:pPr>
        <w:spacing w:before="0" w:after="200" w:line="276" w:lineRule="auto"/>
        <w:rPr>
          <w:b/>
          <w:bCs/>
          <w:szCs w:val="24"/>
          <w:lang w:val="en-GB"/>
        </w:rPr>
      </w:pPr>
      <w:bookmarkStart w:id="4" w:name="_Toc36660083"/>
      <w:r>
        <w:rPr>
          <w:b/>
          <w:bCs/>
          <w:szCs w:val="24"/>
          <w:lang w:val="en-GB"/>
        </w:rPr>
        <w:br w:type="page"/>
      </w:r>
    </w:p>
    <w:p w14:paraId="045437CF" w14:textId="0CEF9DA5" w:rsidR="004A28CC" w:rsidRPr="005415F2" w:rsidRDefault="004A28CC" w:rsidP="004A28CC">
      <w:pPr>
        <w:rPr>
          <w:b/>
          <w:bCs/>
          <w:szCs w:val="24"/>
          <w:lang w:val="en-GB"/>
        </w:rPr>
      </w:pPr>
      <w:r w:rsidRPr="005415F2">
        <w:rPr>
          <w:b/>
          <w:bCs/>
          <w:szCs w:val="24"/>
          <w:lang w:val="en-GB"/>
        </w:rPr>
        <w:lastRenderedPageBreak/>
        <w:t>R</w:t>
      </w:r>
      <w:bookmarkEnd w:id="4"/>
      <w:r w:rsidR="00E93A29">
        <w:rPr>
          <w:b/>
          <w:bCs/>
          <w:szCs w:val="24"/>
          <w:lang w:val="en-GB"/>
        </w:rPr>
        <w:t>eferences</w:t>
      </w:r>
    </w:p>
    <w:p w14:paraId="2DEDC163" w14:textId="77777777" w:rsidR="004A28CC" w:rsidRPr="00945F67" w:rsidRDefault="004A28CC" w:rsidP="004A28CC">
      <w:pPr>
        <w:rPr>
          <w:szCs w:val="24"/>
        </w:rPr>
      </w:pPr>
    </w:p>
    <w:p w14:paraId="6BA7730B" w14:textId="44DC2AE9" w:rsidR="00E3483D" w:rsidRPr="00E3483D" w:rsidRDefault="004A28CC" w:rsidP="00E3483D">
      <w:pPr>
        <w:widowControl w:val="0"/>
        <w:autoSpaceDE w:val="0"/>
        <w:autoSpaceDN w:val="0"/>
        <w:adjustRightInd w:val="0"/>
        <w:ind w:left="480" w:hanging="480"/>
        <w:rPr>
          <w:rFonts w:cs="Times New Roman"/>
          <w:noProof/>
          <w:szCs w:val="24"/>
        </w:rPr>
      </w:pPr>
      <w:r w:rsidRPr="00945F67">
        <w:rPr>
          <w:szCs w:val="24"/>
        </w:rPr>
        <w:fldChar w:fldCharType="begin" w:fldLock="1"/>
      </w:r>
      <w:r w:rsidRPr="00945F67">
        <w:rPr>
          <w:szCs w:val="24"/>
        </w:rPr>
        <w:instrText xml:space="preserve">ADDIN Mendeley Bibliography CSL_BIBLIOGRAPHY </w:instrText>
      </w:r>
      <w:r w:rsidRPr="00945F67">
        <w:rPr>
          <w:szCs w:val="24"/>
        </w:rPr>
        <w:fldChar w:fldCharType="separate"/>
      </w:r>
      <w:r w:rsidR="00E3483D" w:rsidRPr="00E3483D">
        <w:rPr>
          <w:rFonts w:cs="Times New Roman"/>
          <w:noProof/>
          <w:szCs w:val="24"/>
        </w:rPr>
        <w:t xml:space="preserve">Evans, S. E., and Wallenstein, M. D. (2012). Soil microbial community response to drying and rewetting stress: Does historical precipitation regime matter? </w:t>
      </w:r>
      <w:r w:rsidR="00E3483D" w:rsidRPr="00E3483D">
        <w:rPr>
          <w:rFonts w:cs="Times New Roman"/>
          <w:i/>
          <w:iCs/>
          <w:noProof/>
          <w:szCs w:val="24"/>
        </w:rPr>
        <w:t>Biogeochemistry</w:t>
      </w:r>
      <w:r w:rsidR="00E3483D" w:rsidRPr="00E3483D">
        <w:rPr>
          <w:rFonts w:cs="Times New Roman"/>
          <w:noProof/>
          <w:szCs w:val="24"/>
        </w:rPr>
        <w:t xml:space="preserve"> 109, 101–116. doi:10.1007/s10533-011-9638-3.</w:t>
      </w:r>
    </w:p>
    <w:p w14:paraId="11F55D18" w14:textId="77777777" w:rsidR="00E3483D" w:rsidRPr="00E3483D" w:rsidRDefault="00E3483D" w:rsidP="00E3483D">
      <w:pPr>
        <w:widowControl w:val="0"/>
        <w:autoSpaceDE w:val="0"/>
        <w:autoSpaceDN w:val="0"/>
        <w:adjustRightInd w:val="0"/>
        <w:ind w:left="480" w:hanging="480"/>
        <w:rPr>
          <w:rFonts w:cs="Times New Roman"/>
          <w:noProof/>
          <w:szCs w:val="24"/>
        </w:rPr>
      </w:pPr>
      <w:r w:rsidRPr="00E3483D">
        <w:rPr>
          <w:rFonts w:cs="Times New Roman"/>
          <w:noProof/>
          <w:szCs w:val="24"/>
        </w:rPr>
        <w:t xml:space="preserve">Jones, D. L., and Willett, V. B. (2006). Experimental evaluation of methods to quantify dissolved organic nitrogen (DON) and dissolved organic carbon (DOC) in soil. </w:t>
      </w:r>
      <w:r w:rsidRPr="00E3483D">
        <w:rPr>
          <w:rFonts w:cs="Times New Roman"/>
          <w:i/>
          <w:iCs/>
          <w:noProof/>
          <w:szCs w:val="24"/>
        </w:rPr>
        <w:t>Soil Biol. Biochem.</w:t>
      </w:r>
      <w:r w:rsidRPr="00E3483D">
        <w:rPr>
          <w:rFonts w:cs="Times New Roman"/>
          <w:noProof/>
          <w:szCs w:val="24"/>
        </w:rPr>
        <w:t xml:space="preserve"> 38, 991–999. doi:10.1016/j.soilbio.2005.08.012.</w:t>
      </w:r>
    </w:p>
    <w:p w14:paraId="0D010B02" w14:textId="77777777" w:rsidR="00E3483D" w:rsidRPr="00E3483D" w:rsidRDefault="00E3483D" w:rsidP="00E3483D">
      <w:pPr>
        <w:widowControl w:val="0"/>
        <w:autoSpaceDE w:val="0"/>
        <w:autoSpaceDN w:val="0"/>
        <w:adjustRightInd w:val="0"/>
        <w:ind w:left="480" w:hanging="480"/>
        <w:rPr>
          <w:rFonts w:cs="Times New Roman"/>
          <w:noProof/>
          <w:szCs w:val="24"/>
        </w:rPr>
      </w:pPr>
      <w:r w:rsidRPr="00E3483D">
        <w:rPr>
          <w:rFonts w:cs="Times New Roman"/>
          <w:noProof/>
          <w:szCs w:val="24"/>
        </w:rPr>
        <w:t xml:space="preserve">Keuskamp, J. A., Dingemans, B. J. J., Lehtinen, T., Sarneel, J. M., and Hefting, M. M. (2013). Tea Bag Index: a novel approach to collect uniform decomposition data across ecosystems. </w:t>
      </w:r>
      <w:r w:rsidRPr="00E3483D">
        <w:rPr>
          <w:rFonts w:cs="Times New Roman"/>
          <w:i/>
          <w:iCs/>
          <w:noProof/>
          <w:szCs w:val="24"/>
        </w:rPr>
        <w:t>Methods Ecol. Evol.</w:t>
      </w:r>
      <w:r w:rsidRPr="00E3483D">
        <w:rPr>
          <w:rFonts w:cs="Times New Roman"/>
          <w:noProof/>
          <w:szCs w:val="24"/>
        </w:rPr>
        <w:t xml:space="preserve"> 4, 1070–1075. doi:10.1111/2041-210X.12097.</w:t>
      </w:r>
    </w:p>
    <w:p w14:paraId="7C10026C" w14:textId="77777777" w:rsidR="00E3483D" w:rsidRPr="00E3483D" w:rsidRDefault="00E3483D" w:rsidP="00E3483D">
      <w:pPr>
        <w:widowControl w:val="0"/>
        <w:autoSpaceDE w:val="0"/>
        <w:autoSpaceDN w:val="0"/>
        <w:adjustRightInd w:val="0"/>
        <w:ind w:left="480" w:hanging="480"/>
        <w:rPr>
          <w:rFonts w:cs="Times New Roman"/>
          <w:noProof/>
          <w:szCs w:val="24"/>
        </w:rPr>
      </w:pPr>
      <w:r w:rsidRPr="00E3483D">
        <w:rPr>
          <w:rFonts w:cs="Times New Roman"/>
          <w:noProof/>
          <w:szCs w:val="24"/>
        </w:rPr>
        <w:t xml:space="preserve">Setälä, H., Marshall, V. G., and Trofymow, J. A. (1996). Influence of body size of soil fauna on litter decomposition and 15N uptake by poplar in a pot trial. </w:t>
      </w:r>
      <w:r w:rsidRPr="00E3483D">
        <w:rPr>
          <w:rFonts w:cs="Times New Roman"/>
          <w:i/>
          <w:iCs/>
          <w:noProof/>
          <w:szCs w:val="24"/>
        </w:rPr>
        <w:t>Soil Biol. Biochem.</w:t>
      </w:r>
      <w:r w:rsidRPr="00E3483D">
        <w:rPr>
          <w:rFonts w:cs="Times New Roman"/>
          <w:noProof/>
          <w:szCs w:val="24"/>
        </w:rPr>
        <w:t xml:space="preserve"> 28, 1661–1675. doi:10.1016/S0038-0717(96)00252-0.</w:t>
      </w:r>
    </w:p>
    <w:p w14:paraId="0D39DA01" w14:textId="77777777" w:rsidR="00E3483D" w:rsidRPr="00E3483D" w:rsidRDefault="00E3483D" w:rsidP="00E3483D">
      <w:pPr>
        <w:widowControl w:val="0"/>
        <w:autoSpaceDE w:val="0"/>
        <w:autoSpaceDN w:val="0"/>
        <w:adjustRightInd w:val="0"/>
        <w:ind w:left="480" w:hanging="480"/>
        <w:rPr>
          <w:rFonts w:cs="Times New Roman"/>
          <w:noProof/>
          <w:szCs w:val="24"/>
        </w:rPr>
      </w:pPr>
      <w:r w:rsidRPr="00E3483D">
        <w:rPr>
          <w:rFonts w:cs="Times New Roman"/>
          <w:noProof/>
          <w:szCs w:val="24"/>
        </w:rPr>
        <w:t xml:space="preserve">Sims, G. K., Ellsworth, T. R., and Mulvaney, R. L. (1995). Microscale determination of inorganic nitrogen in water and soil extracts. </w:t>
      </w:r>
      <w:r w:rsidRPr="00E3483D">
        <w:rPr>
          <w:rFonts w:cs="Times New Roman"/>
          <w:i/>
          <w:iCs/>
          <w:noProof/>
          <w:szCs w:val="24"/>
        </w:rPr>
        <w:t>Commun. Soil Sci. Plant Anal.</w:t>
      </w:r>
      <w:r w:rsidRPr="00E3483D">
        <w:rPr>
          <w:rFonts w:cs="Times New Roman"/>
          <w:noProof/>
          <w:szCs w:val="24"/>
        </w:rPr>
        <w:t xml:space="preserve"> 26, 303–316. doi:10.1080/00103629509369298.</w:t>
      </w:r>
    </w:p>
    <w:p w14:paraId="7F6D1A12" w14:textId="77777777" w:rsidR="00E3483D" w:rsidRPr="00E3483D" w:rsidRDefault="00E3483D" w:rsidP="00E3483D">
      <w:pPr>
        <w:widowControl w:val="0"/>
        <w:autoSpaceDE w:val="0"/>
        <w:autoSpaceDN w:val="0"/>
        <w:adjustRightInd w:val="0"/>
        <w:ind w:left="480" w:hanging="480"/>
        <w:rPr>
          <w:rFonts w:cs="Times New Roman"/>
          <w:noProof/>
        </w:rPr>
      </w:pPr>
      <w:r w:rsidRPr="00E3483D">
        <w:rPr>
          <w:rFonts w:cs="Times New Roman"/>
          <w:noProof/>
          <w:szCs w:val="24"/>
        </w:rPr>
        <w:t xml:space="preserve">Walkley, A., and Black, I. A. (1934). An examination of the Degtjareff method for determining soil organic matter and a proposed modification of the chromic acid titration method. </w:t>
      </w:r>
      <w:r w:rsidRPr="00E3483D">
        <w:rPr>
          <w:rFonts w:cs="Times New Roman"/>
          <w:i/>
          <w:iCs/>
          <w:noProof/>
          <w:szCs w:val="24"/>
        </w:rPr>
        <w:t>Soil Sci.</w:t>
      </w:r>
      <w:r w:rsidRPr="00E3483D">
        <w:rPr>
          <w:rFonts w:cs="Times New Roman"/>
          <w:noProof/>
          <w:szCs w:val="24"/>
        </w:rPr>
        <w:t xml:space="preserve"> 37, 29–38. doi:10.1097/00010694-193401000-00003.</w:t>
      </w:r>
    </w:p>
    <w:p w14:paraId="0923BE4F" w14:textId="77777777" w:rsidR="004A28CC" w:rsidRPr="003D5B7C" w:rsidRDefault="004A28CC" w:rsidP="004A28CC">
      <w:r w:rsidRPr="00945F67">
        <w:rPr>
          <w:szCs w:val="24"/>
        </w:rPr>
        <w:fldChar w:fldCharType="end"/>
      </w:r>
    </w:p>
    <w:p w14:paraId="4DF60672" w14:textId="77777777" w:rsidR="004A28CC" w:rsidRDefault="004A28CC" w:rsidP="004A28CC">
      <w:pPr>
        <w:pStyle w:val="Titolo1"/>
        <w:numPr>
          <w:ilvl w:val="0"/>
          <w:numId w:val="0"/>
        </w:numPr>
      </w:pPr>
    </w:p>
    <w:p w14:paraId="39E66E54" w14:textId="77777777" w:rsidR="004A28CC" w:rsidRDefault="004A28CC" w:rsidP="004A28CC">
      <w:pPr>
        <w:pStyle w:val="Titolo1"/>
        <w:numPr>
          <w:ilvl w:val="0"/>
          <w:numId w:val="0"/>
        </w:numPr>
      </w:pPr>
    </w:p>
    <w:p w14:paraId="7B65BC41" w14:textId="77777777"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77E1" w14:textId="77777777" w:rsidR="00C9773A" w:rsidRDefault="00C9773A" w:rsidP="00117666">
      <w:pPr>
        <w:spacing w:after="0"/>
      </w:pPr>
      <w:r>
        <w:separator/>
      </w:r>
    </w:p>
  </w:endnote>
  <w:endnote w:type="continuationSeparator" w:id="0">
    <w:p w14:paraId="15E22F36" w14:textId="77777777" w:rsidR="00C9773A" w:rsidRDefault="00C9773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MINION-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59E0" w14:textId="77777777" w:rsidR="00C9773A" w:rsidRDefault="00C9773A" w:rsidP="00117666">
      <w:pPr>
        <w:spacing w:after="0"/>
      </w:pPr>
      <w:r>
        <w:separator/>
      </w:r>
    </w:p>
  </w:footnote>
  <w:footnote w:type="continuationSeparator" w:id="0">
    <w:p w14:paraId="30D5A205" w14:textId="77777777" w:rsidR="00C9773A" w:rsidRDefault="00C9773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C02DC"/>
    <w:rsid w:val="00105FD9"/>
    <w:rsid w:val="00117666"/>
    <w:rsid w:val="001549D3"/>
    <w:rsid w:val="00160065"/>
    <w:rsid w:val="0017382F"/>
    <w:rsid w:val="00177D84"/>
    <w:rsid w:val="001A2D65"/>
    <w:rsid w:val="00202ECD"/>
    <w:rsid w:val="00267D18"/>
    <w:rsid w:val="00274347"/>
    <w:rsid w:val="002868E2"/>
    <w:rsid w:val="002869C3"/>
    <w:rsid w:val="002936E4"/>
    <w:rsid w:val="002B4A57"/>
    <w:rsid w:val="002C74CA"/>
    <w:rsid w:val="002E369C"/>
    <w:rsid w:val="003123F4"/>
    <w:rsid w:val="003544FB"/>
    <w:rsid w:val="003D2F2D"/>
    <w:rsid w:val="00401590"/>
    <w:rsid w:val="00441E40"/>
    <w:rsid w:val="00447801"/>
    <w:rsid w:val="00447C86"/>
    <w:rsid w:val="00452E9C"/>
    <w:rsid w:val="004735C8"/>
    <w:rsid w:val="004850D3"/>
    <w:rsid w:val="004947A6"/>
    <w:rsid w:val="004961FF"/>
    <w:rsid w:val="004A28CC"/>
    <w:rsid w:val="00517A89"/>
    <w:rsid w:val="005250F2"/>
    <w:rsid w:val="00593EEA"/>
    <w:rsid w:val="005A5EEE"/>
    <w:rsid w:val="006375C7"/>
    <w:rsid w:val="00654E8F"/>
    <w:rsid w:val="00660D05"/>
    <w:rsid w:val="006820B1"/>
    <w:rsid w:val="0068509B"/>
    <w:rsid w:val="00690CED"/>
    <w:rsid w:val="006B7D14"/>
    <w:rsid w:val="00701727"/>
    <w:rsid w:val="0070566C"/>
    <w:rsid w:val="00714C50"/>
    <w:rsid w:val="00725A7D"/>
    <w:rsid w:val="007501BE"/>
    <w:rsid w:val="00751C64"/>
    <w:rsid w:val="00787EF4"/>
    <w:rsid w:val="00790BB3"/>
    <w:rsid w:val="007C206C"/>
    <w:rsid w:val="00817DD6"/>
    <w:rsid w:val="0083759F"/>
    <w:rsid w:val="008510E4"/>
    <w:rsid w:val="00885156"/>
    <w:rsid w:val="009151AA"/>
    <w:rsid w:val="00930585"/>
    <w:rsid w:val="0093429D"/>
    <w:rsid w:val="00943573"/>
    <w:rsid w:val="00964134"/>
    <w:rsid w:val="00970F7D"/>
    <w:rsid w:val="00994A3D"/>
    <w:rsid w:val="009C2B12"/>
    <w:rsid w:val="00A174D9"/>
    <w:rsid w:val="00A46E6E"/>
    <w:rsid w:val="00AA4D24"/>
    <w:rsid w:val="00AB6715"/>
    <w:rsid w:val="00AF2B90"/>
    <w:rsid w:val="00B1671E"/>
    <w:rsid w:val="00B25EB8"/>
    <w:rsid w:val="00B37F4D"/>
    <w:rsid w:val="00B80228"/>
    <w:rsid w:val="00C52A7B"/>
    <w:rsid w:val="00C56BAF"/>
    <w:rsid w:val="00C6615E"/>
    <w:rsid w:val="00C679AA"/>
    <w:rsid w:val="00C75972"/>
    <w:rsid w:val="00C9773A"/>
    <w:rsid w:val="00CA5486"/>
    <w:rsid w:val="00CD066B"/>
    <w:rsid w:val="00CE4FEE"/>
    <w:rsid w:val="00D060CF"/>
    <w:rsid w:val="00D90919"/>
    <w:rsid w:val="00DB59C3"/>
    <w:rsid w:val="00DC259A"/>
    <w:rsid w:val="00DE23E8"/>
    <w:rsid w:val="00E02FF2"/>
    <w:rsid w:val="00E3483D"/>
    <w:rsid w:val="00E52377"/>
    <w:rsid w:val="00E537AD"/>
    <w:rsid w:val="00E64E17"/>
    <w:rsid w:val="00E866C9"/>
    <w:rsid w:val="00E93A29"/>
    <w:rsid w:val="00EA3D3C"/>
    <w:rsid w:val="00EC090A"/>
    <w:rsid w:val="00EC2EA4"/>
    <w:rsid w:val="00ED20B5"/>
    <w:rsid w:val="00EF4A33"/>
    <w:rsid w:val="00F35F22"/>
    <w:rsid w:val="00F46900"/>
    <w:rsid w:val="00F61D89"/>
    <w:rsid w:val="00FB466E"/>
    <w:rsid w:val="00FC1ED0"/>
    <w:rsid w:val="00FC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015">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14017295">
      <w:bodyDiv w:val="1"/>
      <w:marLeft w:val="0"/>
      <w:marRight w:val="0"/>
      <w:marTop w:val="0"/>
      <w:marBottom w:val="0"/>
      <w:divBdr>
        <w:top w:val="none" w:sz="0" w:space="0" w:color="auto"/>
        <w:left w:val="none" w:sz="0" w:space="0" w:color="auto"/>
        <w:bottom w:val="none" w:sz="0" w:space="0" w:color="auto"/>
        <w:right w:val="none" w:sz="0" w:space="0" w:color="auto"/>
      </w:divBdr>
    </w:div>
    <w:div w:id="477846511">
      <w:bodyDiv w:val="1"/>
      <w:marLeft w:val="0"/>
      <w:marRight w:val="0"/>
      <w:marTop w:val="0"/>
      <w:marBottom w:val="0"/>
      <w:divBdr>
        <w:top w:val="none" w:sz="0" w:space="0" w:color="auto"/>
        <w:left w:val="none" w:sz="0" w:space="0" w:color="auto"/>
        <w:bottom w:val="none" w:sz="0" w:space="0" w:color="auto"/>
        <w:right w:val="none" w:sz="0" w:space="0" w:color="auto"/>
      </w:divBdr>
    </w:div>
    <w:div w:id="729773438">
      <w:bodyDiv w:val="1"/>
      <w:marLeft w:val="0"/>
      <w:marRight w:val="0"/>
      <w:marTop w:val="0"/>
      <w:marBottom w:val="0"/>
      <w:divBdr>
        <w:top w:val="none" w:sz="0" w:space="0" w:color="auto"/>
        <w:left w:val="none" w:sz="0" w:space="0" w:color="auto"/>
        <w:bottom w:val="none" w:sz="0" w:space="0" w:color="auto"/>
        <w:right w:val="none" w:sz="0" w:space="0" w:color="auto"/>
      </w:divBdr>
    </w:div>
    <w:div w:id="953557103">
      <w:bodyDiv w:val="1"/>
      <w:marLeft w:val="0"/>
      <w:marRight w:val="0"/>
      <w:marTop w:val="0"/>
      <w:marBottom w:val="0"/>
      <w:divBdr>
        <w:top w:val="none" w:sz="0" w:space="0" w:color="auto"/>
        <w:left w:val="none" w:sz="0" w:space="0" w:color="auto"/>
        <w:bottom w:val="none" w:sz="0" w:space="0" w:color="auto"/>
        <w:right w:val="none" w:sz="0" w:space="0" w:color="auto"/>
      </w:divBdr>
    </w:div>
    <w:div w:id="1316714971">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6209612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385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276</TotalTime>
  <Pages>5</Pages>
  <Words>2539</Words>
  <Characters>14478</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 L.C.</cp:lastModifiedBy>
  <cp:revision>16</cp:revision>
  <cp:lastPrinted>2013-10-03T12:51:00Z</cp:lastPrinted>
  <dcterms:created xsi:type="dcterms:W3CDTF">2021-06-05T10:45:00Z</dcterms:created>
  <dcterms:modified xsi:type="dcterms:W3CDTF">2021-06-29T10:01:00Z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http://www.zotero.org/styles/environmental-pollution</vt:lpwstr>
  </property>
  <property fmtid="{D5CDD505-2E9C-101B-9397-08002B2CF9AE}" pid="7" name="Mendeley Recent Style Name 2_1">
    <vt:lpwstr>Environmental Pollution</vt:lpwstr>
  </property>
  <property fmtid="{D5CDD505-2E9C-101B-9397-08002B2CF9AE}" pid="8" name="Mendeley Recent Style Id 3_1">
    <vt:lpwstr>http://www.zotero.org/styles/frontiers-in-environmental-science</vt:lpwstr>
  </property>
  <property fmtid="{D5CDD505-2E9C-101B-9397-08002B2CF9AE}" pid="9" name="Mendeley Recent Style Name 3_1">
    <vt:lpwstr>Frontiers in Environmental Science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http://www.zotero.org/styles/journal-of-irrigation-and-drainage-engineering</vt:lpwstr>
  </property>
  <property fmtid="{D5CDD505-2E9C-101B-9397-08002B2CF9AE}" pid="13" name="Mendeley Recent Style Name 5_1">
    <vt:lpwstr>Journal of Irrigation and Drainage Engineering</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http://www.zotero.org/styles/science-of-the-total-environment</vt:lpwstr>
  </property>
  <property fmtid="{D5CDD505-2E9C-101B-9397-08002B2CF9AE}" pid="21" name="Mendeley Recent Style Name 9_1">
    <vt:lpwstr>Science of the Total Environment</vt:lpwstr>
  </property>
  <property fmtid="{D5CDD505-2E9C-101B-9397-08002B2CF9AE}" pid="22" name="Mendeley Document_1">
    <vt:lpwstr>True</vt:lpwstr>
  </property>
  <property fmtid="{D5CDD505-2E9C-101B-9397-08002B2CF9AE}" pid="23" name="Mendeley Citation Style_1">
    <vt:lpwstr>http://www.zotero.org/styles/frontiers-in-environmental-science</vt:lpwstr>
  </property>
  <property fmtid="{D5CDD505-2E9C-101B-9397-08002B2CF9AE}" pid="24" name="Mendeley Unique User Id_1">
    <vt:lpwstr>40ebcc44-678a-3b60-8202-56a8cb6f9503</vt:lpwstr>
  </property>
</Properties>
</file>