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pplementaryMaterial"/>
        <w:spacing w:before="240" w:after="120"/>
        <w:rPr>
          <w:b w:val="false"/>
          <w:b w:val="false"/>
        </w:rPr>
      </w:pPr>
      <w:bookmarkStart w:id="0" w:name="_GoBack"/>
      <w:bookmarkEnd w:id="0"/>
      <w:r>
        <w:rPr/>
        <w:t>Supplementary Material</w:t>
      </w:r>
    </w:p>
    <w:p>
      <w:pPr>
        <w:pStyle w:val="Heading1"/>
        <w:rPr/>
      </w:pPr>
      <w:bookmarkStart w:id="1" w:name="_oluhbybfm3q1"/>
      <w:bookmarkEnd w:id="1"/>
      <w:r>
        <w:rPr/>
        <w:t>Supplementary Table Captions</w:t>
      </w:r>
    </w:p>
    <w:p>
      <w:pPr>
        <w:pStyle w:val="Normal"/>
        <w:jc w:val="left"/>
        <w:rPr/>
      </w:pPr>
      <w:r>
        <w:rPr>
          <w:b/>
          <w:bCs/>
          <w:sz w:val="24"/>
          <w:szCs w:val="24"/>
        </w:rPr>
        <w:t xml:space="preserve">Supplementary Table 1. </w:t>
      </w:r>
      <w:r>
        <w:rPr>
          <w:b w:val="false"/>
          <w:bCs w:val="false"/>
          <w:sz w:val="24"/>
          <w:szCs w:val="24"/>
        </w:rPr>
        <w:t xml:space="preserve">Overview of 242 targeted genes. </w:t>
      </w:r>
      <w:r>
        <w:rPr>
          <w:b w:val="false"/>
          <w:bCs w:val="false"/>
          <w:sz w:val="24"/>
          <w:szCs w:val="24"/>
          <w:lang w:val="en-US"/>
        </w:rPr>
        <w:t>Columns:</w:t>
      </w:r>
    </w:p>
    <w:p>
      <w:pPr>
        <w:pStyle w:val="Normal"/>
        <w:jc w:val="left"/>
        <w:rPr/>
      </w:pPr>
      <w:r>
        <w:rPr>
          <w:sz w:val="24"/>
          <w:szCs w:val="24"/>
        </w:rPr>
        <w:t>Variant and carrier counts for each gene. Path: KP variants; VUS: variants of unknown significance; PTV: protein-truncating variants; MisSDam: missense strictly damaging; MisOther: other missesne variants; Inframe: inframe indels; Other, UTR, intron, synonymous etc. variants. ACMG59: genes from ACMG59 gene list; oe_syn_upper, oe_mis_upper, oe_lof_upper: gene constraint metrics based on variant counts in gnomAD (Karczewski et al., 2020). Inheritance: inheritance model; Phenotype: associated disorders with OMIM identifier (if applicable).</w:t>
      </w:r>
    </w:p>
    <w:p>
      <w:pPr>
        <w:pStyle w:val="Normal"/>
        <w:jc w:val="left"/>
        <w:rPr>
          <w:rFonts w:ascii="Times New Roman" w:hAnsi="Times New Roman" w:eastAsia="Arial" w:cs="Arial"/>
          <w:b/>
          <w:b/>
          <w:bCs/>
          <w:color w:val="auto"/>
          <w:kern w:val="0"/>
          <w:sz w:val="24"/>
          <w:szCs w:val="24"/>
          <w:lang w:val="en" w:eastAsia="zh-CN" w:bidi="hi-IN"/>
        </w:rPr>
      </w:pPr>
      <w:r>
        <w:rPr/>
      </w:r>
    </w:p>
    <w:p>
      <w:pPr>
        <w:pStyle w:val="Normal"/>
        <w:rPr/>
      </w:pPr>
      <w:r>
        <w:rPr>
          <w:rFonts w:eastAsia="Arial" w:cs="Arial"/>
          <w:b/>
          <w:bCs/>
          <w:color w:val="auto"/>
          <w:kern w:val="0"/>
          <w:sz w:val="24"/>
          <w:szCs w:val="24"/>
          <w:lang w:val="en" w:eastAsia="zh-CN" w:bidi="hi-IN"/>
        </w:rPr>
        <w:t xml:space="preserve">Supplementary Table 2. </w:t>
      </w:r>
      <w:r>
        <w:rPr>
          <w:rFonts w:eastAsia="Arial" w:cs="Arial"/>
          <w:b w:val="false"/>
          <w:bCs w:val="false"/>
          <w:color w:val="auto"/>
          <w:kern w:val="0"/>
          <w:sz w:val="24"/>
          <w:szCs w:val="24"/>
          <w:lang w:val="en" w:eastAsia="zh-CN" w:bidi="hi-IN"/>
        </w:rPr>
        <w:t>Novel variants with allele count AC&gt;2. Columns:</w:t>
      </w:r>
    </w:p>
    <w:tbl>
      <w:tblPr>
        <w:tblW w:w="9360" w:type="dxa"/>
        <w:jc w:val="left"/>
        <w:tblInd w:w="0" w:type="dxa"/>
        <w:tblCellMar>
          <w:top w:w="0" w:type="dxa"/>
          <w:left w:w="0" w:type="dxa"/>
          <w:bottom w:w="0" w:type="dxa"/>
          <w:right w:w="0" w:type="dxa"/>
        </w:tblCellMar>
      </w:tblPr>
      <w:tblGrid>
        <w:gridCol w:w="628"/>
        <w:gridCol w:w="2519"/>
        <w:gridCol w:w="6213"/>
      </w:tblGrid>
      <w:tr>
        <w:trPr/>
        <w:tc>
          <w:tcPr>
            <w:tcW w:w="628" w:type="dxa"/>
            <w:tcBorders/>
            <w:shd w:fill="auto" w:val="clear"/>
          </w:tcPr>
          <w:p>
            <w:pPr>
              <w:pStyle w:val="Normal"/>
              <w:tabs>
                <w:tab w:val="clear" w:pos="720"/>
              </w:tabs>
              <w:spacing w:before="58" w:after="58"/>
              <w:jc w:val="left"/>
              <w:rPr/>
            </w:pPr>
            <w:r>
              <w:rPr>
                <w:sz w:val="24"/>
                <w:szCs w:val="24"/>
              </w:rPr>
              <w:t>1</w:t>
            </w:r>
          </w:p>
        </w:tc>
        <w:tc>
          <w:tcPr>
            <w:tcW w:w="2519" w:type="dxa"/>
            <w:tcBorders/>
            <w:shd w:fill="auto" w:val="clear"/>
          </w:tcPr>
          <w:p>
            <w:pPr>
              <w:pStyle w:val="Normal"/>
              <w:tabs>
                <w:tab w:val="clear" w:pos="720"/>
              </w:tabs>
              <w:spacing w:before="58" w:after="58"/>
              <w:jc w:val="left"/>
              <w:rPr/>
            </w:pPr>
            <w:r>
              <w:rPr>
                <w:sz w:val="24"/>
                <w:szCs w:val="24"/>
              </w:rPr>
              <w:t>#Chr</w:t>
            </w:r>
          </w:p>
        </w:tc>
        <w:tc>
          <w:tcPr>
            <w:tcW w:w="6213" w:type="dxa"/>
            <w:tcBorders/>
            <w:shd w:fill="auto" w:val="clear"/>
          </w:tcPr>
          <w:p>
            <w:pPr>
              <w:pStyle w:val="Normal"/>
              <w:tabs>
                <w:tab w:val="clear" w:pos="720"/>
              </w:tabs>
              <w:spacing w:before="58" w:after="58"/>
              <w:jc w:val="left"/>
              <w:rPr/>
            </w:pPr>
            <w:r>
              <w:rPr>
                <w:sz w:val="24"/>
                <w:szCs w:val="24"/>
              </w:rPr>
              <w:t>Chromosome</w:t>
            </w:r>
          </w:p>
        </w:tc>
      </w:tr>
      <w:tr>
        <w:trPr/>
        <w:tc>
          <w:tcPr>
            <w:tcW w:w="628" w:type="dxa"/>
            <w:tcBorders/>
            <w:shd w:fill="auto" w:val="clear"/>
          </w:tcPr>
          <w:p>
            <w:pPr>
              <w:pStyle w:val="Normal"/>
              <w:tabs>
                <w:tab w:val="clear" w:pos="720"/>
              </w:tabs>
              <w:spacing w:before="58" w:after="58"/>
              <w:jc w:val="left"/>
              <w:rPr/>
            </w:pPr>
            <w:r>
              <w:rPr>
                <w:sz w:val="24"/>
                <w:szCs w:val="24"/>
              </w:rPr>
              <w:t>2</w:t>
            </w:r>
          </w:p>
        </w:tc>
        <w:tc>
          <w:tcPr>
            <w:tcW w:w="2519" w:type="dxa"/>
            <w:tcBorders/>
            <w:shd w:fill="auto" w:val="clear"/>
          </w:tcPr>
          <w:p>
            <w:pPr>
              <w:pStyle w:val="Normal"/>
              <w:tabs>
                <w:tab w:val="clear" w:pos="720"/>
              </w:tabs>
              <w:spacing w:before="58" w:after="58"/>
              <w:jc w:val="left"/>
              <w:rPr/>
            </w:pPr>
            <w:r>
              <w:rPr>
                <w:sz w:val="24"/>
                <w:szCs w:val="24"/>
              </w:rPr>
              <w:t>Pos</w:t>
            </w:r>
          </w:p>
        </w:tc>
        <w:tc>
          <w:tcPr>
            <w:tcW w:w="6213" w:type="dxa"/>
            <w:tcBorders/>
            <w:shd w:fill="auto" w:val="clear"/>
          </w:tcPr>
          <w:p>
            <w:pPr>
              <w:pStyle w:val="Normal"/>
              <w:tabs>
                <w:tab w:val="clear" w:pos="720"/>
              </w:tabs>
              <w:spacing w:before="58" w:after="58"/>
              <w:jc w:val="left"/>
              <w:rPr/>
            </w:pPr>
            <w:r>
              <w:rPr>
                <w:sz w:val="24"/>
                <w:szCs w:val="24"/>
              </w:rPr>
              <w:t>Position</w:t>
            </w:r>
          </w:p>
        </w:tc>
      </w:tr>
      <w:tr>
        <w:trPr/>
        <w:tc>
          <w:tcPr>
            <w:tcW w:w="628" w:type="dxa"/>
            <w:tcBorders/>
            <w:shd w:fill="auto" w:val="clear"/>
          </w:tcPr>
          <w:p>
            <w:pPr>
              <w:pStyle w:val="Normal"/>
              <w:tabs>
                <w:tab w:val="clear" w:pos="720"/>
              </w:tabs>
              <w:spacing w:before="58" w:after="58"/>
              <w:jc w:val="left"/>
              <w:rPr/>
            </w:pPr>
            <w:r>
              <w:rPr>
                <w:sz w:val="24"/>
                <w:szCs w:val="24"/>
              </w:rPr>
              <w:t>3</w:t>
            </w:r>
          </w:p>
        </w:tc>
        <w:tc>
          <w:tcPr>
            <w:tcW w:w="2519" w:type="dxa"/>
            <w:tcBorders/>
            <w:shd w:fill="auto" w:val="clear"/>
          </w:tcPr>
          <w:p>
            <w:pPr>
              <w:pStyle w:val="Normal"/>
              <w:tabs>
                <w:tab w:val="clear" w:pos="720"/>
              </w:tabs>
              <w:spacing w:before="58" w:after="58"/>
              <w:jc w:val="left"/>
              <w:rPr/>
            </w:pPr>
            <w:r>
              <w:rPr>
                <w:sz w:val="24"/>
                <w:szCs w:val="24"/>
              </w:rPr>
              <w:t>Variant</w:t>
            </w:r>
          </w:p>
        </w:tc>
        <w:tc>
          <w:tcPr>
            <w:tcW w:w="6213" w:type="dxa"/>
            <w:tcBorders/>
            <w:shd w:fill="auto" w:val="clear"/>
          </w:tcPr>
          <w:p>
            <w:pPr>
              <w:pStyle w:val="Normal"/>
              <w:tabs>
                <w:tab w:val="clear" w:pos="720"/>
              </w:tabs>
              <w:spacing w:before="58" w:after="58"/>
              <w:jc w:val="left"/>
              <w:rPr/>
            </w:pPr>
            <w:r>
              <w:rPr>
                <w:sz w:val="24"/>
                <w:szCs w:val="24"/>
              </w:rPr>
              <w:t>Variant id</w:t>
            </w:r>
          </w:p>
        </w:tc>
      </w:tr>
      <w:tr>
        <w:trPr/>
        <w:tc>
          <w:tcPr>
            <w:tcW w:w="628" w:type="dxa"/>
            <w:tcBorders/>
            <w:shd w:fill="auto" w:val="clear"/>
          </w:tcPr>
          <w:p>
            <w:pPr>
              <w:pStyle w:val="Normal"/>
              <w:tabs>
                <w:tab w:val="clear" w:pos="720"/>
              </w:tabs>
              <w:spacing w:before="58" w:after="58"/>
              <w:jc w:val="left"/>
              <w:rPr/>
            </w:pPr>
            <w:r>
              <w:rPr>
                <w:sz w:val="24"/>
                <w:szCs w:val="24"/>
              </w:rPr>
              <w:t>4</w:t>
            </w:r>
          </w:p>
        </w:tc>
        <w:tc>
          <w:tcPr>
            <w:tcW w:w="2519" w:type="dxa"/>
            <w:tcBorders/>
            <w:shd w:fill="auto" w:val="clear"/>
          </w:tcPr>
          <w:p>
            <w:pPr>
              <w:pStyle w:val="Normal"/>
              <w:tabs>
                <w:tab w:val="clear" w:pos="720"/>
              </w:tabs>
              <w:spacing w:before="58" w:after="58"/>
              <w:jc w:val="left"/>
              <w:rPr/>
            </w:pPr>
            <w:r>
              <w:rPr>
                <w:sz w:val="24"/>
                <w:szCs w:val="24"/>
              </w:rPr>
              <w:t>Ref</w:t>
            </w:r>
          </w:p>
        </w:tc>
        <w:tc>
          <w:tcPr>
            <w:tcW w:w="6213" w:type="dxa"/>
            <w:tcBorders/>
            <w:shd w:fill="auto" w:val="clear"/>
          </w:tcPr>
          <w:p>
            <w:pPr>
              <w:pStyle w:val="Normal"/>
              <w:tabs>
                <w:tab w:val="clear" w:pos="720"/>
              </w:tabs>
              <w:spacing w:before="58" w:after="58"/>
              <w:jc w:val="left"/>
              <w:rPr/>
            </w:pPr>
            <w:r>
              <w:rPr>
                <w:sz w:val="24"/>
                <w:szCs w:val="24"/>
              </w:rPr>
              <w:t>Reference allele</w:t>
            </w:r>
          </w:p>
        </w:tc>
      </w:tr>
      <w:tr>
        <w:trPr/>
        <w:tc>
          <w:tcPr>
            <w:tcW w:w="628" w:type="dxa"/>
            <w:tcBorders/>
            <w:shd w:fill="auto" w:val="clear"/>
          </w:tcPr>
          <w:p>
            <w:pPr>
              <w:pStyle w:val="Normal"/>
              <w:tabs>
                <w:tab w:val="clear" w:pos="720"/>
              </w:tabs>
              <w:spacing w:before="58" w:after="58"/>
              <w:jc w:val="left"/>
              <w:rPr/>
            </w:pPr>
            <w:r>
              <w:rPr>
                <w:sz w:val="24"/>
                <w:szCs w:val="24"/>
              </w:rPr>
              <w:t>5</w:t>
            </w:r>
          </w:p>
        </w:tc>
        <w:tc>
          <w:tcPr>
            <w:tcW w:w="2519" w:type="dxa"/>
            <w:tcBorders/>
            <w:shd w:fill="auto" w:val="clear"/>
          </w:tcPr>
          <w:p>
            <w:pPr>
              <w:pStyle w:val="Normal"/>
              <w:tabs>
                <w:tab w:val="clear" w:pos="720"/>
              </w:tabs>
              <w:spacing w:before="58" w:after="58"/>
              <w:jc w:val="left"/>
              <w:rPr/>
            </w:pPr>
            <w:r>
              <w:rPr>
                <w:sz w:val="24"/>
                <w:szCs w:val="24"/>
              </w:rPr>
              <w:t>Alt</w:t>
            </w:r>
          </w:p>
        </w:tc>
        <w:tc>
          <w:tcPr>
            <w:tcW w:w="6213" w:type="dxa"/>
            <w:tcBorders/>
            <w:shd w:fill="auto" w:val="clear"/>
          </w:tcPr>
          <w:p>
            <w:pPr>
              <w:pStyle w:val="Normal"/>
              <w:tabs>
                <w:tab w:val="clear" w:pos="720"/>
              </w:tabs>
              <w:spacing w:before="58" w:after="58"/>
              <w:jc w:val="left"/>
              <w:rPr/>
            </w:pPr>
            <w:r>
              <w:rPr>
                <w:sz w:val="24"/>
                <w:szCs w:val="24"/>
              </w:rPr>
              <w:t>Alternative allele</w:t>
            </w:r>
          </w:p>
        </w:tc>
      </w:tr>
      <w:tr>
        <w:trPr/>
        <w:tc>
          <w:tcPr>
            <w:tcW w:w="628" w:type="dxa"/>
            <w:tcBorders/>
            <w:shd w:fill="auto" w:val="clear"/>
          </w:tcPr>
          <w:p>
            <w:pPr>
              <w:pStyle w:val="Normal"/>
              <w:tabs>
                <w:tab w:val="clear" w:pos="720"/>
              </w:tabs>
              <w:spacing w:before="58" w:after="58"/>
              <w:jc w:val="left"/>
              <w:rPr/>
            </w:pPr>
            <w:r>
              <w:rPr>
                <w:sz w:val="24"/>
                <w:szCs w:val="24"/>
              </w:rPr>
              <w:t>6</w:t>
            </w:r>
          </w:p>
        </w:tc>
        <w:tc>
          <w:tcPr>
            <w:tcW w:w="2519" w:type="dxa"/>
            <w:tcBorders/>
            <w:shd w:fill="auto" w:val="clear"/>
          </w:tcPr>
          <w:p>
            <w:pPr>
              <w:pStyle w:val="Normal"/>
              <w:tabs>
                <w:tab w:val="clear" w:pos="720"/>
              </w:tabs>
              <w:spacing w:before="58" w:after="58"/>
              <w:jc w:val="left"/>
              <w:rPr/>
            </w:pPr>
            <w:r>
              <w:rPr>
                <w:sz w:val="24"/>
                <w:szCs w:val="24"/>
              </w:rPr>
              <w:t>Feature</w:t>
            </w:r>
          </w:p>
        </w:tc>
        <w:tc>
          <w:tcPr>
            <w:tcW w:w="6213" w:type="dxa"/>
            <w:tcBorders/>
            <w:shd w:fill="auto" w:val="clear"/>
          </w:tcPr>
          <w:p>
            <w:pPr>
              <w:pStyle w:val="Normal"/>
              <w:tabs>
                <w:tab w:val="clear" w:pos="720"/>
              </w:tabs>
              <w:spacing w:before="58" w:after="58"/>
              <w:jc w:val="left"/>
              <w:rPr/>
            </w:pPr>
            <w:r>
              <w:rPr>
                <w:sz w:val="24"/>
                <w:szCs w:val="24"/>
              </w:rPr>
              <w:t>Transcript id (VEP)</w:t>
            </w:r>
          </w:p>
        </w:tc>
      </w:tr>
      <w:tr>
        <w:trPr/>
        <w:tc>
          <w:tcPr>
            <w:tcW w:w="628" w:type="dxa"/>
            <w:tcBorders/>
            <w:shd w:fill="auto" w:val="clear"/>
          </w:tcPr>
          <w:p>
            <w:pPr>
              <w:pStyle w:val="Normal"/>
              <w:tabs>
                <w:tab w:val="clear" w:pos="720"/>
              </w:tabs>
              <w:spacing w:before="58" w:after="58"/>
              <w:jc w:val="left"/>
              <w:rPr/>
            </w:pPr>
            <w:r>
              <w:rPr>
                <w:sz w:val="24"/>
                <w:szCs w:val="24"/>
              </w:rPr>
              <w:t>7</w:t>
            </w:r>
          </w:p>
        </w:tc>
        <w:tc>
          <w:tcPr>
            <w:tcW w:w="2519" w:type="dxa"/>
            <w:tcBorders/>
            <w:shd w:fill="auto" w:val="clear"/>
          </w:tcPr>
          <w:p>
            <w:pPr>
              <w:pStyle w:val="Normal"/>
              <w:tabs>
                <w:tab w:val="clear" w:pos="720"/>
              </w:tabs>
              <w:spacing w:before="58" w:after="58"/>
              <w:jc w:val="left"/>
              <w:rPr/>
            </w:pPr>
            <w:r>
              <w:rPr>
                <w:sz w:val="24"/>
                <w:szCs w:val="24"/>
              </w:rPr>
              <w:t>Consequence</w:t>
            </w:r>
          </w:p>
        </w:tc>
        <w:tc>
          <w:tcPr>
            <w:tcW w:w="6213" w:type="dxa"/>
            <w:tcBorders/>
            <w:shd w:fill="auto" w:val="clear"/>
          </w:tcPr>
          <w:p>
            <w:pPr>
              <w:pStyle w:val="Normal"/>
              <w:tabs>
                <w:tab w:val="clear" w:pos="720"/>
              </w:tabs>
              <w:spacing w:before="58" w:after="58"/>
              <w:jc w:val="left"/>
              <w:rPr/>
            </w:pPr>
            <w:r>
              <w:rPr>
                <w:sz w:val="24"/>
                <w:szCs w:val="24"/>
              </w:rPr>
              <w:t>Consequence type: missense, splice_acceptor_variant, etc. (VEP)</w:t>
            </w:r>
          </w:p>
        </w:tc>
      </w:tr>
      <w:tr>
        <w:trPr/>
        <w:tc>
          <w:tcPr>
            <w:tcW w:w="628" w:type="dxa"/>
            <w:tcBorders/>
            <w:shd w:fill="auto" w:val="clear"/>
          </w:tcPr>
          <w:p>
            <w:pPr>
              <w:pStyle w:val="Normal"/>
              <w:tabs>
                <w:tab w:val="clear" w:pos="720"/>
              </w:tabs>
              <w:spacing w:before="58" w:after="58"/>
              <w:jc w:val="left"/>
              <w:rPr/>
            </w:pPr>
            <w:r>
              <w:rPr>
                <w:sz w:val="24"/>
                <w:szCs w:val="24"/>
              </w:rPr>
              <w:t>8</w:t>
            </w:r>
          </w:p>
        </w:tc>
        <w:tc>
          <w:tcPr>
            <w:tcW w:w="2519" w:type="dxa"/>
            <w:tcBorders/>
            <w:shd w:fill="auto" w:val="clear"/>
          </w:tcPr>
          <w:p>
            <w:pPr>
              <w:pStyle w:val="Normal"/>
              <w:tabs>
                <w:tab w:val="clear" w:pos="720"/>
              </w:tabs>
              <w:spacing w:before="58" w:after="58"/>
              <w:jc w:val="left"/>
              <w:rPr/>
            </w:pPr>
            <w:r>
              <w:rPr>
                <w:sz w:val="24"/>
                <w:szCs w:val="24"/>
              </w:rPr>
              <w:t>Existing_variation</w:t>
            </w:r>
          </w:p>
        </w:tc>
        <w:tc>
          <w:tcPr>
            <w:tcW w:w="6213" w:type="dxa"/>
            <w:tcBorders/>
            <w:shd w:fill="auto" w:val="clear"/>
          </w:tcPr>
          <w:p>
            <w:pPr>
              <w:pStyle w:val="Normal"/>
              <w:tabs>
                <w:tab w:val="clear" w:pos="720"/>
              </w:tabs>
              <w:spacing w:before="58" w:after="58"/>
              <w:jc w:val="left"/>
              <w:rPr/>
            </w:pPr>
            <w:r>
              <w:rPr>
                <w:sz w:val="24"/>
                <w:szCs w:val="24"/>
              </w:rPr>
              <w:t>dbSNP id (VEP)</w:t>
            </w:r>
          </w:p>
        </w:tc>
      </w:tr>
      <w:tr>
        <w:trPr/>
        <w:tc>
          <w:tcPr>
            <w:tcW w:w="628" w:type="dxa"/>
            <w:tcBorders/>
            <w:shd w:fill="auto" w:val="clear"/>
          </w:tcPr>
          <w:p>
            <w:pPr>
              <w:pStyle w:val="Normal"/>
              <w:tabs>
                <w:tab w:val="clear" w:pos="720"/>
              </w:tabs>
              <w:spacing w:before="58" w:after="58"/>
              <w:jc w:val="left"/>
              <w:rPr/>
            </w:pPr>
            <w:r>
              <w:rPr>
                <w:sz w:val="24"/>
                <w:szCs w:val="24"/>
              </w:rPr>
              <w:t>9</w:t>
            </w:r>
          </w:p>
        </w:tc>
        <w:tc>
          <w:tcPr>
            <w:tcW w:w="2519" w:type="dxa"/>
            <w:tcBorders/>
            <w:shd w:fill="auto" w:val="clear"/>
          </w:tcPr>
          <w:p>
            <w:pPr>
              <w:pStyle w:val="Normal"/>
              <w:tabs>
                <w:tab w:val="clear" w:pos="720"/>
              </w:tabs>
              <w:spacing w:before="58" w:after="58"/>
              <w:jc w:val="left"/>
              <w:rPr/>
            </w:pPr>
            <w:r>
              <w:rPr>
                <w:sz w:val="24"/>
                <w:szCs w:val="24"/>
              </w:rPr>
              <w:t>IMPACT</w:t>
            </w:r>
          </w:p>
        </w:tc>
        <w:tc>
          <w:tcPr>
            <w:tcW w:w="6213" w:type="dxa"/>
            <w:tcBorders/>
            <w:shd w:fill="auto" w:val="clear"/>
          </w:tcPr>
          <w:p>
            <w:pPr>
              <w:pStyle w:val="Normal"/>
              <w:tabs>
                <w:tab w:val="clear" w:pos="720"/>
              </w:tabs>
              <w:spacing w:before="58" w:after="58"/>
              <w:jc w:val="left"/>
              <w:rPr/>
            </w:pPr>
            <w:r>
              <w:rPr>
                <w:sz w:val="24"/>
                <w:szCs w:val="24"/>
              </w:rPr>
              <w:t>Subjective impact classification of consequence type (VEP)</w:t>
            </w:r>
          </w:p>
        </w:tc>
      </w:tr>
      <w:tr>
        <w:trPr/>
        <w:tc>
          <w:tcPr>
            <w:tcW w:w="628" w:type="dxa"/>
            <w:tcBorders/>
            <w:shd w:fill="auto" w:val="clear"/>
          </w:tcPr>
          <w:p>
            <w:pPr>
              <w:pStyle w:val="Normal"/>
              <w:tabs>
                <w:tab w:val="clear" w:pos="720"/>
              </w:tabs>
              <w:spacing w:before="58" w:after="58"/>
              <w:jc w:val="left"/>
              <w:rPr/>
            </w:pPr>
            <w:r>
              <w:rPr>
                <w:sz w:val="24"/>
                <w:szCs w:val="24"/>
              </w:rPr>
              <w:t>10</w:t>
            </w:r>
          </w:p>
        </w:tc>
        <w:tc>
          <w:tcPr>
            <w:tcW w:w="2519" w:type="dxa"/>
            <w:tcBorders/>
            <w:shd w:fill="auto" w:val="clear"/>
          </w:tcPr>
          <w:p>
            <w:pPr>
              <w:pStyle w:val="Normal"/>
              <w:tabs>
                <w:tab w:val="clear" w:pos="720"/>
              </w:tabs>
              <w:spacing w:before="58" w:after="58"/>
              <w:jc w:val="left"/>
              <w:rPr/>
            </w:pPr>
            <w:r>
              <w:rPr>
                <w:sz w:val="24"/>
                <w:szCs w:val="24"/>
              </w:rPr>
              <w:t>LoF</w:t>
            </w:r>
          </w:p>
        </w:tc>
        <w:tc>
          <w:tcPr>
            <w:tcW w:w="6213" w:type="dxa"/>
            <w:tcBorders/>
            <w:shd w:fill="auto" w:val="clear"/>
          </w:tcPr>
          <w:p>
            <w:pPr>
              <w:pStyle w:val="Normal"/>
              <w:tabs>
                <w:tab w:val="clear" w:pos="720"/>
              </w:tabs>
              <w:spacing w:before="58" w:after="58"/>
              <w:jc w:val="left"/>
              <w:rPr/>
            </w:pPr>
            <w:r>
              <w:rPr>
                <w:sz w:val="24"/>
                <w:szCs w:val="24"/>
              </w:rPr>
              <w:t>Quality prediction for high impact variants: HC=High Quality, LC=Low Quality, OS=other splice variants (VEP, LOFTEE plugin)</w:t>
            </w:r>
          </w:p>
        </w:tc>
      </w:tr>
      <w:tr>
        <w:trPr/>
        <w:tc>
          <w:tcPr>
            <w:tcW w:w="628" w:type="dxa"/>
            <w:tcBorders/>
            <w:shd w:fill="auto" w:val="clear"/>
          </w:tcPr>
          <w:p>
            <w:pPr>
              <w:pStyle w:val="Normal"/>
              <w:tabs>
                <w:tab w:val="clear" w:pos="720"/>
              </w:tabs>
              <w:spacing w:before="58" w:after="58"/>
              <w:jc w:val="left"/>
              <w:rPr/>
            </w:pPr>
            <w:r>
              <w:rPr>
                <w:sz w:val="24"/>
                <w:szCs w:val="24"/>
              </w:rPr>
              <w:t>11</w:t>
            </w:r>
          </w:p>
        </w:tc>
        <w:tc>
          <w:tcPr>
            <w:tcW w:w="2519" w:type="dxa"/>
            <w:tcBorders/>
            <w:shd w:fill="auto" w:val="clear"/>
          </w:tcPr>
          <w:p>
            <w:pPr>
              <w:pStyle w:val="Normal"/>
              <w:tabs>
                <w:tab w:val="clear" w:pos="720"/>
              </w:tabs>
              <w:spacing w:before="58" w:after="58"/>
              <w:jc w:val="left"/>
              <w:rPr/>
            </w:pPr>
            <w:r>
              <w:rPr>
                <w:sz w:val="24"/>
                <w:szCs w:val="24"/>
              </w:rPr>
              <w:t>SIFT</w:t>
            </w:r>
          </w:p>
        </w:tc>
        <w:tc>
          <w:tcPr>
            <w:tcW w:w="6213" w:type="dxa"/>
            <w:tcBorders/>
            <w:shd w:fill="auto" w:val="clear"/>
          </w:tcPr>
          <w:p>
            <w:pPr>
              <w:pStyle w:val="Normal"/>
              <w:tabs>
                <w:tab w:val="clear" w:pos="720"/>
              </w:tabs>
              <w:spacing w:before="58" w:after="58"/>
              <w:jc w:val="left"/>
              <w:rPr/>
            </w:pPr>
            <w:r>
              <w:rPr>
                <w:sz w:val="24"/>
                <w:szCs w:val="24"/>
              </w:rPr>
              <w:t>Effect prediction for missenses</w:t>
            </w:r>
          </w:p>
        </w:tc>
      </w:tr>
      <w:tr>
        <w:trPr/>
        <w:tc>
          <w:tcPr>
            <w:tcW w:w="628" w:type="dxa"/>
            <w:tcBorders/>
            <w:shd w:fill="auto" w:val="clear"/>
          </w:tcPr>
          <w:p>
            <w:pPr>
              <w:pStyle w:val="Normal"/>
              <w:tabs>
                <w:tab w:val="clear" w:pos="720"/>
              </w:tabs>
              <w:spacing w:before="58" w:after="58"/>
              <w:jc w:val="left"/>
              <w:rPr/>
            </w:pPr>
            <w:r>
              <w:rPr>
                <w:sz w:val="24"/>
                <w:szCs w:val="24"/>
              </w:rPr>
              <w:t>12</w:t>
            </w:r>
          </w:p>
        </w:tc>
        <w:tc>
          <w:tcPr>
            <w:tcW w:w="2519" w:type="dxa"/>
            <w:tcBorders/>
            <w:shd w:fill="auto" w:val="clear"/>
          </w:tcPr>
          <w:p>
            <w:pPr>
              <w:pStyle w:val="Normal"/>
              <w:tabs>
                <w:tab w:val="clear" w:pos="720"/>
              </w:tabs>
              <w:spacing w:before="58" w:after="58"/>
              <w:jc w:val="left"/>
              <w:rPr/>
            </w:pPr>
            <w:r>
              <w:rPr>
                <w:sz w:val="24"/>
                <w:szCs w:val="24"/>
              </w:rPr>
              <w:t>PolyPhen</w:t>
            </w:r>
          </w:p>
        </w:tc>
        <w:tc>
          <w:tcPr>
            <w:tcW w:w="6213" w:type="dxa"/>
            <w:tcBorders/>
            <w:shd w:fill="auto" w:val="clear"/>
          </w:tcPr>
          <w:p>
            <w:pPr>
              <w:pStyle w:val="Normal"/>
              <w:tabs>
                <w:tab w:val="clear" w:pos="720"/>
              </w:tabs>
              <w:spacing w:before="58" w:after="58"/>
              <w:jc w:val="left"/>
              <w:rPr/>
            </w:pPr>
            <w:r>
              <w:rPr>
                <w:sz w:val="24"/>
                <w:szCs w:val="24"/>
              </w:rPr>
              <w:t>Effect prediction for missenses</w:t>
            </w:r>
          </w:p>
        </w:tc>
      </w:tr>
      <w:tr>
        <w:trPr/>
        <w:tc>
          <w:tcPr>
            <w:tcW w:w="628" w:type="dxa"/>
            <w:tcBorders/>
            <w:shd w:fill="auto" w:val="clear"/>
          </w:tcPr>
          <w:p>
            <w:pPr>
              <w:pStyle w:val="Normal"/>
              <w:tabs>
                <w:tab w:val="clear" w:pos="720"/>
              </w:tabs>
              <w:spacing w:before="58" w:after="58"/>
              <w:jc w:val="left"/>
              <w:rPr/>
            </w:pPr>
            <w:r>
              <w:rPr>
                <w:sz w:val="24"/>
                <w:szCs w:val="24"/>
              </w:rPr>
              <w:t>13</w:t>
            </w:r>
          </w:p>
        </w:tc>
        <w:tc>
          <w:tcPr>
            <w:tcW w:w="2519" w:type="dxa"/>
            <w:tcBorders/>
            <w:shd w:fill="auto" w:val="clear"/>
          </w:tcPr>
          <w:p>
            <w:pPr>
              <w:pStyle w:val="Normal"/>
              <w:tabs>
                <w:tab w:val="clear" w:pos="720"/>
              </w:tabs>
              <w:spacing w:before="58" w:after="58"/>
              <w:jc w:val="left"/>
              <w:rPr/>
            </w:pPr>
            <w:r>
              <w:rPr>
                <w:sz w:val="24"/>
                <w:szCs w:val="24"/>
              </w:rPr>
              <w:t>STRAND</w:t>
            </w:r>
          </w:p>
        </w:tc>
        <w:tc>
          <w:tcPr>
            <w:tcW w:w="6213" w:type="dxa"/>
            <w:tcBorders/>
            <w:shd w:fill="auto" w:val="clear"/>
          </w:tcPr>
          <w:p>
            <w:pPr>
              <w:pStyle w:val="Normal"/>
              <w:tabs>
                <w:tab w:val="clear" w:pos="720"/>
              </w:tabs>
              <w:spacing w:before="58" w:after="58"/>
              <w:jc w:val="left"/>
              <w:rPr/>
            </w:pPr>
            <w:r>
              <w:rPr>
                <w:sz w:val="24"/>
                <w:szCs w:val="24"/>
              </w:rPr>
              <w:t>Transcript strand (VEP)</w:t>
            </w:r>
          </w:p>
        </w:tc>
      </w:tr>
      <w:tr>
        <w:trPr/>
        <w:tc>
          <w:tcPr>
            <w:tcW w:w="628" w:type="dxa"/>
            <w:tcBorders/>
            <w:shd w:fill="auto" w:val="clear"/>
          </w:tcPr>
          <w:p>
            <w:pPr>
              <w:pStyle w:val="Normal"/>
              <w:tabs>
                <w:tab w:val="clear" w:pos="720"/>
              </w:tabs>
              <w:spacing w:before="58" w:after="58"/>
              <w:jc w:val="left"/>
              <w:rPr/>
            </w:pPr>
            <w:r>
              <w:rPr>
                <w:sz w:val="24"/>
                <w:szCs w:val="24"/>
              </w:rPr>
              <w:t>14</w:t>
            </w:r>
          </w:p>
        </w:tc>
        <w:tc>
          <w:tcPr>
            <w:tcW w:w="2519" w:type="dxa"/>
            <w:tcBorders/>
            <w:shd w:fill="auto" w:val="clear"/>
          </w:tcPr>
          <w:p>
            <w:pPr>
              <w:pStyle w:val="Normal"/>
              <w:tabs>
                <w:tab w:val="clear" w:pos="720"/>
              </w:tabs>
              <w:spacing w:before="58" w:after="58"/>
              <w:jc w:val="left"/>
              <w:rPr/>
            </w:pPr>
            <w:r>
              <w:rPr>
                <w:sz w:val="24"/>
                <w:szCs w:val="24"/>
              </w:rPr>
              <w:t>VARIANT_CLASS</w:t>
            </w:r>
          </w:p>
        </w:tc>
        <w:tc>
          <w:tcPr>
            <w:tcW w:w="6213" w:type="dxa"/>
            <w:tcBorders/>
            <w:shd w:fill="auto" w:val="clear"/>
          </w:tcPr>
          <w:p>
            <w:pPr>
              <w:pStyle w:val="Normal"/>
              <w:tabs>
                <w:tab w:val="clear" w:pos="720"/>
              </w:tabs>
              <w:spacing w:before="58" w:after="58"/>
              <w:jc w:val="left"/>
              <w:rPr/>
            </w:pPr>
            <w:r>
              <w:rPr>
                <w:sz w:val="24"/>
                <w:szCs w:val="24"/>
              </w:rPr>
              <w:t>SNV/insertion/deletion</w:t>
            </w:r>
          </w:p>
        </w:tc>
      </w:tr>
      <w:tr>
        <w:trPr/>
        <w:tc>
          <w:tcPr>
            <w:tcW w:w="628" w:type="dxa"/>
            <w:tcBorders/>
            <w:shd w:fill="auto" w:val="clear"/>
          </w:tcPr>
          <w:p>
            <w:pPr>
              <w:pStyle w:val="Normal"/>
              <w:tabs>
                <w:tab w:val="clear" w:pos="720"/>
              </w:tabs>
              <w:spacing w:before="58" w:after="58"/>
              <w:jc w:val="left"/>
              <w:rPr/>
            </w:pPr>
            <w:r>
              <w:rPr>
                <w:sz w:val="24"/>
                <w:szCs w:val="24"/>
              </w:rPr>
              <w:t>15</w:t>
            </w:r>
          </w:p>
        </w:tc>
        <w:tc>
          <w:tcPr>
            <w:tcW w:w="2519" w:type="dxa"/>
            <w:tcBorders/>
            <w:shd w:fill="auto" w:val="clear"/>
          </w:tcPr>
          <w:p>
            <w:pPr>
              <w:pStyle w:val="Normal"/>
              <w:tabs>
                <w:tab w:val="clear" w:pos="720"/>
              </w:tabs>
              <w:spacing w:before="58" w:after="58"/>
              <w:jc w:val="left"/>
              <w:rPr/>
            </w:pPr>
            <w:r>
              <w:rPr>
                <w:sz w:val="24"/>
                <w:szCs w:val="24"/>
              </w:rPr>
              <w:t>SYMBOL</w:t>
            </w:r>
          </w:p>
        </w:tc>
        <w:tc>
          <w:tcPr>
            <w:tcW w:w="6213" w:type="dxa"/>
            <w:tcBorders/>
            <w:shd w:fill="auto" w:val="clear"/>
          </w:tcPr>
          <w:p>
            <w:pPr>
              <w:pStyle w:val="Normal"/>
              <w:tabs>
                <w:tab w:val="clear" w:pos="720"/>
              </w:tabs>
              <w:spacing w:before="58" w:after="58"/>
              <w:jc w:val="left"/>
              <w:rPr/>
            </w:pPr>
            <w:r>
              <w:rPr>
                <w:sz w:val="24"/>
                <w:szCs w:val="24"/>
              </w:rPr>
              <w:t>Gene symbol name (HGNC, etc.) (VEP)</w:t>
            </w:r>
          </w:p>
        </w:tc>
      </w:tr>
      <w:tr>
        <w:trPr/>
        <w:tc>
          <w:tcPr>
            <w:tcW w:w="628" w:type="dxa"/>
            <w:tcBorders/>
            <w:shd w:fill="auto" w:val="clear"/>
          </w:tcPr>
          <w:p>
            <w:pPr>
              <w:pStyle w:val="Normal"/>
              <w:tabs>
                <w:tab w:val="clear" w:pos="720"/>
              </w:tabs>
              <w:spacing w:before="58" w:after="58"/>
              <w:jc w:val="left"/>
              <w:rPr/>
            </w:pPr>
            <w:r>
              <w:rPr>
                <w:sz w:val="24"/>
                <w:szCs w:val="24"/>
              </w:rPr>
              <w:t>16</w:t>
            </w:r>
          </w:p>
        </w:tc>
        <w:tc>
          <w:tcPr>
            <w:tcW w:w="2519" w:type="dxa"/>
            <w:tcBorders/>
            <w:shd w:fill="auto" w:val="clear"/>
          </w:tcPr>
          <w:p>
            <w:pPr>
              <w:pStyle w:val="Normal"/>
              <w:tabs>
                <w:tab w:val="clear" w:pos="720"/>
              </w:tabs>
              <w:spacing w:before="58" w:after="58"/>
              <w:jc w:val="left"/>
              <w:rPr/>
            </w:pPr>
            <w:r>
              <w:rPr>
                <w:sz w:val="24"/>
                <w:szCs w:val="24"/>
              </w:rPr>
              <w:t>BIOTYPE</w:t>
            </w:r>
          </w:p>
        </w:tc>
        <w:tc>
          <w:tcPr>
            <w:tcW w:w="6213" w:type="dxa"/>
            <w:tcBorders/>
            <w:shd w:fill="auto" w:val="clear"/>
          </w:tcPr>
          <w:p>
            <w:pPr>
              <w:pStyle w:val="Normal"/>
              <w:tabs>
                <w:tab w:val="clear" w:pos="720"/>
              </w:tabs>
              <w:spacing w:before="58" w:after="58"/>
              <w:jc w:val="left"/>
              <w:rPr/>
            </w:pPr>
            <w:r>
              <w:rPr>
                <w:sz w:val="24"/>
                <w:szCs w:val="24"/>
              </w:rPr>
              <w:t>Biotype of transcript or regulatory feature (VEP)</w:t>
            </w:r>
          </w:p>
        </w:tc>
      </w:tr>
      <w:tr>
        <w:trPr/>
        <w:tc>
          <w:tcPr>
            <w:tcW w:w="628" w:type="dxa"/>
            <w:tcBorders/>
            <w:shd w:fill="auto" w:val="clear"/>
          </w:tcPr>
          <w:p>
            <w:pPr>
              <w:pStyle w:val="Normal"/>
              <w:tabs>
                <w:tab w:val="clear" w:pos="720"/>
              </w:tabs>
              <w:spacing w:before="58" w:after="58"/>
              <w:jc w:val="left"/>
              <w:rPr/>
            </w:pPr>
            <w:r>
              <w:rPr>
                <w:sz w:val="24"/>
                <w:szCs w:val="24"/>
              </w:rPr>
              <w:t>17</w:t>
            </w:r>
          </w:p>
        </w:tc>
        <w:tc>
          <w:tcPr>
            <w:tcW w:w="2519" w:type="dxa"/>
            <w:tcBorders/>
            <w:shd w:fill="auto" w:val="clear"/>
          </w:tcPr>
          <w:p>
            <w:pPr>
              <w:pStyle w:val="Normal"/>
              <w:tabs>
                <w:tab w:val="clear" w:pos="720"/>
              </w:tabs>
              <w:spacing w:before="58" w:after="58"/>
              <w:jc w:val="left"/>
              <w:rPr/>
            </w:pPr>
            <w:r>
              <w:rPr>
                <w:sz w:val="24"/>
                <w:szCs w:val="24"/>
              </w:rPr>
              <w:t>ACMG59</w:t>
            </w:r>
          </w:p>
        </w:tc>
        <w:tc>
          <w:tcPr>
            <w:tcW w:w="6213" w:type="dxa"/>
            <w:tcBorders/>
            <w:shd w:fill="auto" w:val="clear"/>
          </w:tcPr>
          <w:p>
            <w:pPr>
              <w:pStyle w:val="Normal"/>
              <w:tabs>
                <w:tab w:val="clear" w:pos="720"/>
              </w:tabs>
              <w:spacing w:before="58" w:after="58"/>
              <w:jc w:val="left"/>
              <w:rPr/>
            </w:pPr>
            <w:r>
              <w:rPr>
                <w:sz w:val="24"/>
                <w:szCs w:val="24"/>
              </w:rPr>
              <w:t>ACMG59/other</w:t>
            </w:r>
          </w:p>
        </w:tc>
      </w:tr>
      <w:tr>
        <w:trPr/>
        <w:tc>
          <w:tcPr>
            <w:tcW w:w="628" w:type="dxa"/>
            <w:tcBorders/>
            <w:shd w:fill="auto" w:val="clear"/>
          </w:tcPr>
          <w:p>
            <w:pPr>
              <w:pStyle w:val="Normal"/>
              <w:tabs>
                <w:tab w:val="clear" w:pos="720"/>
              </w:tabs>
              <w:spacing w:before="58" w:after="58"/>
              <w:jc w:val="left"/>
              <w:rPr/>
            </w:pPr>
            <w:r>
              <w:rPr>
                <w:sz w:val="24"/>
                <w:szCs w:val="24"/>
              </w:rPr>
              <w:t>18</w:t>
            </w:r>
          </w:p>
        </w:tc>
        <w:tc>
          <w:tcPr>
            <w:tcW w:w="2519" w:type="dxa"/>
            <w:tcBorders/>
            <w:shd w:fill="auto" w:val="clear"/>
          </w:tcPr>
          <w:p>
            <w:pPr>
              <w:pStyle w:val="Normal"/>
              <w:tabs>
                <w:tab w:val="clear" w:pos="720"/>
              </w:tabs>
              <w:spacing w:before="58" w:after="58"/>
              <w:jc w:val="left"/>
              <w:rPr/>
            </w:pPr>
            <w:r>
              <w:rPr>
                <w:sz w:val="24"/>
                <w:szCs w:val="24"/>
              </w:rPr>
              <w:t>CANONICAL</w:t>
            </w:r>
          </w:p>
        </w:tc>
        <w:tc>
          <w:tcPr>
            <w:tcW w:w="6213" w:type="dxa"/>
            <w:tcBorders/>
            <w:shd w:fill="auto" w:val="clear"/>
          </w:tcPr>
          <w:p>
            <w:pPr>
              <w:pStyle w:val="Normal"/>
              <w:tabs>
                <w:tab w:val="clear" w:pos="720"/>
              </w:tabs>
              <w:spacing w:before="58" w:after="58"/>
              <w:jc w:val="left"/>
              <w:rPr/>
            </w:pPr>
            <w:r>
              <w:rPr>
                <w:sz w:val="24"/>
                <w:szCs w:val="24"/>
              </w:rPr>
              <w:t>Indicates if transcript is canonical for this gene: YES/- (VEP)</w:t>
            </w:r>
          </w:p>
        </w:tc>
      </w:tr>
      <w:tr>
        <w:trPr/>
        <w:tc>
          <w:tcPr>
            <w:tcW w:w="628" w:type="dxa"/>
            <w:tcBorders/>
            <w:shd w:fill="auto" w:val="clear"/>
          </w:tcPr>
          <w:p>
            <w:pPr>
              <w:pStyle w:val="Normal"/>
              <w:tabs>
                <w:tab w:val="clear" w:pos="720"/>
              </w:tabs>
              <w:spacing w:before="58" w:after="58"/>
              <w:jc w:val="left"/>
              <w:rPr/>
            </w:pPr>
            <w:r>
              <w:rPr>
                <w:sz w:val="24"/>
                <w:szCs w:val="24"/>
              </w:rPr>
              <w:t>19</w:t>
            </w:r>
          </w:p>
        </w:tc>
        <w:tc>
          <w:tcPr>
            <w:tcW w:w="2519" w:type="dxa"/>
            <w:tcBorders/>
            <w:shd w:fill="auto" w:val="clear"/>
          </w:tcPr>
          <w:p>
            <w:pPr>
              <w:pStyle w:val="Normal"/>
              <w:tabs>
                <w:tab w:val="clear" w:pos="720"/>
              </w:tabs>
              <w:spacing w:before="58" w:after="58"/>
              <w:jc w:val="left"/>
              <w:rPr/>
            </w:pPr>
            <w:r>
              <w:rPr>
                <w:sz w:val="24"/>
                <w:szCs w:val="24"/>
              </w:rPr>
              <w:t>HGVSc</w:t>
            </w:r>
          </w:p>
        </w:tc>
        <w:tc>
          <w:tcPr>
            <w:tcW w:w="6213" w:type="dxa"/>
            <w:tcBorders/>
            <w:shd w:fill="auto" w:val="clear"/>
          </w:tcPr>
          <w:p>
            <w:pPr>
              <w:pStyle w:val="Normal"/>
              <w:tabs>
                <w:tab w:val="clear" w:pos="720"/>
              </w:tabs>
              <w:spacing w:before="58" w:after="58"/>
              <w:jc w:val="left"/>
              <w:rPr/>
            </w:pPr>
            <w:r>
              <w:rPr>
                <w:sz w:val="24"/>
                <w:szCs w:val="24"/>
              </w:rPr>
              <w:t>HGVS coding sequence name (VEP)</w:t>
            </w:r>
          </w:p>
        </w:tc>
      </w:tr>
      <w:tr>
        <w:trPr/>
        <w:tc>
          <w:tcPr>
            <w:tcW w:w="628" w:type="dxa"/>
            <w:tcBorders/>
            <w:shd w:fill="auto" w:val="clear"/>
          </w:tcPr>
          <w:p>
            <w:pPr>
              <w:pStyle w:val="Normal"/>
              <w:tabs>
                <w:tab w:val="clear" w:pos="720"/>
              </w:tabs>
              <w:spacing w:before="58" w:after="58"/>
              <w:jc w:val="left"/>
              <w:rPr/>
            </w:pPr>
            <w:r>
              <w:rPr>
                <w:sz w:val="24"/>
                <w:szCs w:val="24"/>
              </w:rPr>
              <w:t>20</w:t>
            </w:r>
          </w:p>
        </w:tc>
        <w:tc>
          <w:tcPr>
            <w:tcW w:w="2519" w:type="dxa"/>
            <w:tcBorders/>
            <w:shd w:fill="auto" w:val="clear"/>
          </w:tcPr>
          <w:p>
            <w:pPr>
              <w:pStyle w:val="Normal"/>
              <w:tabs>
                <w:tab w:val="clear" w:pos="720"/>
              </w:tabs>
              <w:spacing w:before="58" w:after="58"/>
              <w:jc w:val="left"/>
              <w:rPr/>
            </w:pPr>
            <w:r>
              <w:rPr>
                <w:sz w:val="24"/>
                <w:szCs w:val="24"/>
              </w:rPr>
              <w:t>HGVSp</w:t>
            </w:r>
          </w:p>
        </w:tc>
        <w:tc>
          <w:tcPr>
            <w:tcW w:w="6213" w:type="dxa"/>
            <w:tcBorders/>
            <w:shd w:fill="auto" w:val="clear"/>
          </w:tcPr>
          <w:p>
            <w:pPr>
              <w:pStyle w:val="Normal"/>
              <w:tabs>
                <w:tab w:val="clear" w:pos="720"/>
              </w:tabs>
              <w:spacing w:before="58" w:after="58"/>
              <w:jc w:val="left"/>
              <w:rPr/>
            </w:pPr>
            <w:r>
              <w:rPr>
                <w:sz w:val="24"/>
                <w:szCs w:val="24"/>
              </w:rPr>
              <w:t>HGVS protein sequence name (VEP)</w:t>
            </w:r>
          </w:p>
        </w:tc>
      </w:tr>
      <w:tr>
        <w:trPr/>
        <w:tc>
          <w:tcPr>
            <w:tcW w:w="628" w:type="dxa"/>
            <w:tcBorders/>
            <w:shd w:fill="auto" w:val="clear"/>
          </w:tcPr>
          <w:p>
            <w:pPr>
              <w:pStyle w:val="Normal"/>
              <w:tabs>
                <w:tab w:val="clear" w:pos="720"/>
              </w:tabs>
              <w:spacing w:before="58" w:after="58"/>
              <w:jc w:val="left"/>
              <w:rPr/>
            </w:pPr>
            <w:r>
              <w:rPr>
                <w:sz w:val="24"/>
                <w:szCs w:val="24"/>
              </w:rPr>
              <w:t>21</w:t>
            </w:r>
          </w:p>
        </w:tc>
        <w:tc>
          <w:tcPr>
            <w:tcW w:w="2519" w:type="dxa"/>
            <w:tcBorders/>
            <w:shd w:fill="auto" w:val="clear"/>
          </w:tcPr>
          <w:p>
            <w:pPr>
              <w:pStyle w:val="Normal"/>
              <w:tabs>
                <w:tab w:val="clear" w:pos="720"/>
              </w:tabs>
              <w:spacing w:before="58" w:after="58"/>
              <w:jc w:val="left"/>
              <w:rPr/>
            </w:pPr>
            <w:r>
              <w:rPr>
                <w:sz w:val="24"/>
                <w:szCs w:val="24"/>
              </w:rPr>
              <w:t>VarSome</w:t>
            </w:r>
          </w:p>
        </w:tc>
        <w:tc>
          <w:tcPr>
            <w:tcW w:w="6213" w:type="dxa"/>
            <w:tcBorders/>
            <w:shd w:fill="auto" w:val="clear"/>
          </w:tcPr>
          <w:p>
            <w:pPr>
              <w:pStyle w:val="Normal"/>
              <w:tabs>
                <w:tab w:val="clear" w:pos="720"/>
              </w:tabs>
              <w:spacing w:before="58" w:after="58"/>
              <w:jc w:val="left"/>
              <w:rPr/>
            </w:pPr>
            <w:r>
              <w:rPr>
                <w:sz w:val="24"/>
                <w:szCs w:val="24"/>
              </w:rPr>
              <w:t>VarSome classification: P, pathogenic; LP, likely pathogenic; VUS: variant of unknown significance; LB, likely benign; B, benign</w:t>
            </w:r>
          </w:p>
        </w:tc>
      </w:tr>
      <w:tr>
        <w:trPr/>
        <w:tc>
          <w:tcPr>
            <w:tcW w:w="628" w:type="dxa"/>
            <w:tcBorders/>
            <w:shd w:fill="auto" w:val="clear"/>
          </w:tcPr>
          <w:p>
            <w:pPr>
              <w:pStyle w:val="Normal"/>
              <w:tabs>
                <w:tab w:val="clear" w:pos="720"/>
              </w:tabs>
              <w:spacing w:before="58" w:after="58"/>
              <w:jc w:val="left"/>
              <w:rPr/>
            </w:pPr>
            <w:r>
              <w:rPr>
                <w:sz w:val="24"/>
                <w:szCs w:val="24"/>
              </w:rPr>
              <w:t>22</w:t>
            </w:r>
          </w:p>
        </w:tc>
        <w:tc>
          <w:tcPr>
            <w:tcW w:w="2519" w:type="dxa"/>
            <w:tcBorders/>
            <w:shd w:fill="auto" w:val="clear"/>
          </w:tcPr>
          <w:p>
            <w:pPr>
              <w:pStyle w:val="Normal"/>
              <w:tabs>
                <w:tab w:val="clear" w:pos="720"/>
              </w:tabs>
              <w:spacing w:before="58" w:after="58"/>
              <w:jc w:val="left"/>
              <w:rPr/>
            </w:pPr>
            <w:r>
              <w:rPr>
                <w:sz w:val="24"/>
                <w:szCs w:val="24"/>
              </w:rPr>
              <w:t>1000G.AF</w:t>
            </w:r>
          </w:p>
        </w:tc>
        <w:tc>
          <w:tcPr>
            <w:tcW w:w="6213" w:type="dxa"/>
            <w:tcBorders/>
            <w:shd w:fill="auto" w:val="clear"/>
          </w:tcPr>
          <w:p>
            <w:pPr>
              <w:pStyle w:val="Normal"/>
              <w:tabs>
                <w:tab w:val="clear" w:pos="720"/>
              </w:tabs>
              <w:spacing w:before="58" w:after="58"/>
              <w:jc w:val="left"/>
              <w:rPr/>
            </w:pPr>
            <w:r>
              <w:rPr>
                <w:sz w:val="24"/>
                <w:szCs w:val="24"/>
              </w:rPr>
              <w:t>Alt.allele frequency in 1000 Genomes combined population (VEP)</w:t>
            </w:r>
          </w:p>
        </w:tc>
      </w:tr>
      <w:tr>
        <w:trPr/>
        <w:tc>
          <w:tcPr>
            <w:tcW w:w="628" w:type="dxa"/>
            <w:tcBorders/>
            <w:shd w:fill="auto" w:val="clear"/>
          </w:tcPr>
          <w:p>
            <w:pPr>
              <w:pStyle w:val="Normal"/>
              <w:tabs>
                <w:tab w:val="clear" w:pos="720"/>
              </w:tabs>
              <w:spacing w:before="58" w:after="58"/>
              <w:jc w:val="left"/>
              <w:rPr/>
            </w:pPr>
            <w:r>
              <w:rPr>
                <w:sz w:val="24"/>
                <w:szCs w:val="24"/>
              </w:rPr>
              <w:t>23</w:t>
            </w:r>
          </w:p>
        </w:tc>
        <w:tc>
          <w:tcPr>
            <w:tcW w:w="2519" w:type="dxa"/>
            <w:tcBorders/>
            <w:shd w:fill="auto" w:val="clear"/>
          </w:tcPr>
          <w:p>
            <w:pPr>
              <w:pStyle w:val="Normal"/>
              <w:tabs>
                <w:tab w:val="clear" w:pos="720"/>
              </w:tabs>
              <w:spacing w:before="58" w:after="58"/>
              <w:jc w:val="left"/>
              <w:rPr/>
            </w:pPr>
            <w:r>
              <w:rPr>
                <w:sz w:val="24"/>
                <w:szCs w:val="24"/>
              </w:rPr>
              <w:t>MAX_AF_POPS</w:t>
            </w:r>
          </w:p>
        </w:tc>
        <w:tc>
          <w:tcPr>
            <w:tcW w:w="6213" w:type="dxa"/>
            <w:tcBorders/>
            <w:shd w:fill="auto" w:val="clear"/>
          </w:tcPr>
          <w:p>
            <w:pPr>
              <w:pStyle w:val="Normal"/>
              <w:tabs>
                <w:tab w:val="clear" w:pos="720"/>
              </w:tabs>
              <w:spacing w:before="58" w:after="58"/>
              <w:jc w:val="left"/>
              <w:rPr/>
            </w:pPr>
            <w:r>
              <w:rPr>
                <w:sz w:val="24"/>
                <w:szCs w:val="24"/>
              </w:rPr>
              <w:t>Populations in which maximum frequency was observed (VEP)</w:t>
            </w:r>
          </w:p>
        </w:tc>
      </w:tr>
      <w:tr>
        <w:trPr/>
        <w:tc>
          <w:tcPr>
            <w:tcW w:w="628" w:type="dxa"/>
            <w:tcBorders/>
            <w:shd w:fill="auto" w:val="clear"/>
          </w:tcPr>
          <w:p>
            <w:pPr>
              <w:pStyle w:val="Normal"/>
              <w:tabs>
                <w:tab w:val="clear" w:pos="720"/>
              </w:tabs>
              <w:spacing w:before="58" w:after="58"/>
              <w:jc w:val="left"/>
              <w:rPr/>
            </w:pPr>
            <w:r>
              <w:rPr>
                <w:sz w:val="24"/>
                <w:szCs w:val="24"/>
              </w:rPr>
              <w:t>24</w:t>
            </w:r>
          </w:p>
        </w:tc>
        <w:tc>
          <w:tcPr>
            <w:tcW w:w="2519" w:type="dxa"/>
            <w:tcBorders/>
            <w:shd w:fill="auto" w:val="clear"/>
          </w:tcPr>
          <w:p>
            <w:pPr>
              <w:pStyle w:val="Normal"/>
              <w:tabs>
                <w:tab w:val="clear" w:pos="720"/>
              </w:tabs>
              <w:spacing w:before="58" w:after="58"/>
              <w:jc w:val="left"/>
              <w:rPr/>
            </w:pPr>
            <w:r>
              <w:rPr>
                <w:sz w:val="24"/>
                <w:szCs w:val="24"/>
              </w:rPr>
              <w:t>MAX_AF</w:t>
            </w:r>
          </w:p>
        </w:tc>
        <w:tc>
          <w:tcPr>
            <w:tcW w:w="6213" w:type="dxa"/>
            <w:tcBorders/>
            <w:shd w:fill="auto" w:val="clear"/>
          </w:tcPr>
          <w:p>
            <w:pPr>
              <w:pStyle w:val="Normal"/>
              <w:tabs>
                <w:tab w:val="clear" w:pos="720"/>
              </w:tabs>
              <w:spacing w:before="58" w:after="58"/>
              <w:jc w:val="left"/>
              <w:rPr/>
            </w:pPr>
            <w:r>
              <w:rPr>
                <w:sz w:val="24"/>
                <w:szCs w:val="24"/>
              </w:rPr>
              <w:t>Maximum alt.allele frequency in 1000 Genomes, ESP and ExAC/gnomAD (VEP)</w:t>
            </w:r>
          </w:p>
        </w:tc>
      </w:tr>
      <w:tr>
        <w:trPr/>
        <w:tc>
          <w:tcPr>
            <w:tcW w:w="628" w:type="dxa"/>
            <w:tcBorders/>
            <w:shd w:fill="auto" w:val="clear"/>
          </w:tcPr>
          <w:p>
            <w:pPr>
              <w:pStyle w:val="Normal"/>
              <w:tabs>
                <w:tab w:val="clear" w:pos="720"/>
              </w:tabs>
              <w:spacing w:before="58" w:after="58"/>
              <w:jc w:val="left"/>
              <w:rPr/>
            </w:pPr>
            <w:r>
              <w:rPr>
                <w:sz w:val="24"/>
                <w:szCs w:val="24"/>
              </w:rPr>
              <w:t>25</w:t>
            </w:r>
          </w:p>
        </w:tc>
        <w:tc>
          <w:tcPr>
            <w:tcW w:w="2519" w:type="dxa"/>
            <w:tcBorders/>
            <w:shd w:fill="auto" w:val="clear"/>
          </w:tcPr>
          <w:p>
            <w:pPr>
              <w:pStyle w:val="Normal"/>
              <w:tabs>
                <w:tab w:val="clear" w:pos="720"/>
              </w:tabs>
              <w:spacing w:before="58" w:after="58"/>
              <w:jc w:val="left"/>
              <w:rPr/>
            </w:pPr>
            <w:r>
              <w:rPr>
                <w:sz w:val="24"/>
                <w:szCs w:val="24"/>
              </w:rPr>
              <w:t>gnomADe.AF</w:t>
            </w:r>
          </w:p>
        </w:tc>
        <w:tc>
          <w:tcPr>
            <w:tcW w:w="6213" w:type="dxa"/>
            <w:tcBorders/>
            <w:shd w:fill="auto" w:val="clear"/>
          </w:tcPr>
          <w:p>
            <w:pPr>
              <w:pStyle w:val="Normal"/>
              <w:tabs>
                <w:tab w:val="clear" w:pos="720"/>
              </w:tabs>
              <w:spacing w:before="58" w:after="58"/>
              <w:jc w:val="left"/>
              <w:rPr/>
            </w:pPr>
            <w:r>
              <w:rPr>
                <w:sz w:val="24"/>
                <w:szCs w:val="24"/>
              </w:rPr>
              <w:t>Alt.allele frequency in gnomAD exomes combined population (gnomAD exomes)</w:t>
            </w:r>
          </w:p>
        </w:tc>
      </w:tr>
      <w:tr>
        <w:trPr/>
        <w:tc>
          <w:tcPr>
            <w:tcW w:w="628" w:type="dxa"/>
            <w:tcBorders/>
            <w:shd w:fill="auto" w:val="clear"/>
          </w:tcPr>
          <w:p>
            <w:pPr>
              <w:pStyle w:val="Normal"/>
              <w:tabs>
                <w:tab w:val="clear" w:pos="720"/>
              </w:tabs>
              <w:spacing w:before="58" w:after="58"/>
              <w:jc w:val="left"/>
              <w:rPr/>
            </w:pPr>
            <w:r>
              <w:rPr>
                <w:sz w:val="24"/>
                <w:szCs w:val="24"/>
              </w:rPr>
              <w:t>26</w:t>
            </w:r>
          </w:p>
        </w:tc>
        <w:tc>
          <w:tcPr>
            <w:tcW w:w="2519" w:type="dxa"/>
            <w:tcBorders/>
            <w:shd w:fill="auto" w:val="clear"/>
          </w:tcPr>
          <w:p>
            <w:pPr>
              <w:pStyle w:val="Normal"/>
              <w:tabs>
                <w:tab w:val="clear" w:pos="720"/>
              </w:tabs>
              <w:spacing w:before="58" w:after="58"/>
              <w:jc w:val="left"/>
              <w:rPr/>
            </w:pPr>
            <w:r>
              <w:rPr>
                <w:sz w:val="24"/>
                <w:szCs w:val="24"/>
              </w:rPr>
              <w:t>gnomADe.popmax</w:t>
            </w:r>
          </w:p>
        </w:tc>
        <w:tc>
          <w:tcPr>
            <w:tcW w:w="6213" w:type="dxa"/>
            <w:tcBorders/>
            <w:shd w:fill="auto" w:val="clear"/>
          </w:tcPr>
          <w:p>
            <w:pPr>
              <w:pStyle w:val="Normal"/>
              <w:tabs>
                <w:tab w:val="clear" w:pos="720"/>
              </w:tabs>
              <w:spacing w:before="58" w:after="58"/>
              <w:jc w:val="left"/>
              <w:rPr/>
            </w:pPr>
            <w:r>
              <w:rPr>
                <w:sz w:val="24"/>
                <w:szCs w:val="24"/>
              </w:rPr>
              <w:t>GnomAD exomes population in which maximum frequency was observed (gnomAD exomes)</w:t>
            </w:r>
          </w:p>
        </w:tc>
      </w:tr>
      <w:tr>
        <w:trPr/>
        <w:tc>
          <w:tcPr>
            <w:tcW w:w="628" w:type="dxa"/>
            <w:tcBorders/>
            <w:shd w:fill="auto" w:val="clear"/>
          </w:tcPr>
          <w:p>
            <w:pPr>
              <w:pStyle w:val="Normal"/>
              <w:tabs>
                <w:tab w:val="clear" w:pos="720"/>
              </w:tabs>
              <w:spacing w:before="58" w:after="58"/>
              <w:jc w:val="left"/>
              <w:rPr/>
            </w:pPr>
            <w:r>
              <w:rPr>
                <w:sz w:val="24"/>
                <w:szCs w:val="24"/>
              </w:rPr>
              <w:t>27</w:t>
            </w:r>
          </w:p>
        </w:tc>
        <w:tc>
          <w:tcPr>
            <w:tcW w:w="2519" w:type="dxa"/>
            <w:tcBorders/>
            <w:shd w:fill="auto" w:val="clear"/>
          </w:tcPr>
          <w:p>
            <w:pPr>
              <w:pStyle w:val="Normal"/>
              <w:tabs>
                <w:tab w:val="clear" w:pos="720"/>
              </w:tabs>
              <w:spacing w:before="58" w:after="58"/>
              <w:jc w:val="left"/>
              <w:rPr/>
            </w:pPr>
            <w:r>
              <w:rPr>
                <w:sz w:val="24"/>
                <w:szCs w:val="24"/>
              </w:rPr>
              <w:t>gnomADe.AF_popmax</w:t>
            </w:r>
          </w:p>
        </w:tc>
        <w:tc>
          <w:tcPr>
            <w:tcW w:w="6213" w:type="dxa"/>
            <w:tcBorders/>
            <w:shd w:fill="auto" w:val="clear"/>
          </w:tcPr>
          <w:p>
            <w:pPr>
              <w:pStyle w:val="Normal"/>
              <w:tabs>
                <w:tab w:val="clear" w:pos="720"/>
              </w:tabs>
              <w:spacing w:before="58" w:after="58"/>
              <w:jc w:val="left"/>
              <w:rPr/>
            </w:pPr>
            <w:r>
              <w:rPr>
                <w:sz w:val="24"/>
                <w:szCs w:val="24"/>
              </w:rPr>
              <w:t>Maximum alt.allele frequency in gnomAD exomes populations (gnomAD exomes)</w:t>
            </w:r>
          </w:p>
        </w:tc>
      </w:tr>
      <w:tr>
        <w:trPr/>
        <w:tc>
          <w:tcPr>
            <w:tcW w:w="628" w:type="dxa"/>
            <w:tcBorders/>
            <w:shd w:fill="auto" w:val="clear"/>
          </w:tcPr>
          <w:p>
            <w:pPr>
              <w:pStyle w:val="Normal"/>
              <w:tabs>
                <w:tab w:val="clear" w:pos="720"/>
              </w:tabs>
              <w:spacing w:before="58" w:after="58"/>
              <w:jc w:val="left"/>
              <w:rPr/>
            </w:pPr>
            <w:r>
              <w:rPr>
                <w:sz w:val="24"/>
                <w:szCs w:val="24"/>
              </w:rPr>
              <w:t>28</w:t>
            </w:r>
          </w:p>
        </w:tc>
        <w:tc>
          <w:tcPr>
            <w:tcW w:w="2519" w:type="dxa"/>
            <w:tcBorders/>
            <w:shd w:fill="auto" w:val="clear"/>
          </w:tcPr>
          <w:p>
            <w:pPr>
              <w:pStyle w:val="Normal"/>
              <w:tabs>
                <w:tab w:val="clear" w:pos="720"/>
              </w:tabs>
              <w:spacing w:before="58" w:after="58"/>
              <w:jc w:val="left"/>
              <w:rPr/>
            </w:pPr>
            <w:r>
              <w:rPr>
                <w:sz w:val="24"/>
                <w:szCs w:val="24"/>
              </w:rPr>
              <w:t>gnomADe.AF_nfe</w:t>
            </w:r>
          </w:p>
        </w:tc>
        <w:tc>
          <w:tcPr>
            <w:tcW w:w="6213" w:type="dxa"/>
            <w:tcBorders/>
            <w:shd w:fill="auto" w:val="clear"/>
          </w:tcPr>
          <w:p>
            <w:pPr>
              <w:pStyle w:val="Normal"/>
              <w:tabs>
                <w:tab w:val="clear" w:pos="720"/>
              </w:tabs>
              <w:spacing w:before="58" w:after="58"/>
              <w:jc w:val="left"/>
              <w:rPr/>
            </w:pPr>
            <w:r>
              <w:rPr>
                <w:sz w:val="24"/>
                <w:szCs w:val="24"/>
              </w:rPr>
              <w:t>Alt.allele frequency in European non-Finnish gnomAD exomes (gnomAD exomes)</w:t>
            </w:r>
          </w:p>
        </w:tc>
      </w:tr>
      <w:tr>
        <w:trPr/>
        <w:tc>
          <w:tcPr>
            <w:tcW w:w="628" w:type="dxa"/>
            <w:tcBorders/>
            <w:shd w:fill="auto" w:val="clear"/>
          </w:tcPr>
          <w:p>
            <w:pPr>
              <w:pStyle w:val="Normal"/>
              <w:tabs>
                <w:tab w:val="clear" w:pos="720"/>
              </w:tabs>
              <w:spacing w:before="58" w:after="58"/>
              <w:jc w:val="left"/>
              <w:rPr/>
            </w:pPr>
            <w:r>
              <w:rPr>
                <w:sz w:val="24"/>
                <w:szCs w:val="24"/>
              </w:rPr>
              <w:t>29</w:t>
            </w:r>
          </w:p>
        </w:tc>
        <w:tc>
          <w:tcPr>
            <w:tcW w:w="2519" w:type="dxa"/>
            <w:tcBorders/>
            <w:shd w:fill="auto" w:val="clear"/>
          </w:tcPr>
          <w:p>
            <w:pPr>
              <w:pStyle w:val="Normal"/>
              <w:tabs>
                <w:tab w:val="clear" w:pos="720"/>
              </w:tabs>
              <w:spacing w:before="58" w:after="58"/>
              <w:jc w:val="left"/>
              <w:rPr/>
            </w:pPr>
            <w:r>
              <w:rPr>
                <w:sz w:val="24"/>
                <w:szCs w:val="24"/>
              </w:rPr>
              <w:t>gnomADg.AF</w:t>
            </w:r>
          </w:p>
        </w:tc>
        <w:tc>
          <w:tcPr>
            <w:tcW w:w="6213" w:type="dxa"/>
            <w:tcBorders/>
            <w:shd w:fill="auto" w:val="clear"/>
          </w:tcPr>
          <w:p>
            <w:pPr>
              <w:pStyle w:val="Normal"/>
              <w:tabs>
                <w:tab w:val="clear" w:pos="720"/>
              </w:tabs>
              <w:spacing w:before="58" w:after="58"/>
              <w:jc w:val="left"/>
              <w:rPr/>
            </w:pPr>
            <w:r>
              <w:rPr>
                <w:sz w:val="24"/>
                <w:szCs w:val="24"/>
              </w:rPr>
              <w:t>Alt.allele frequency in gnomAD exomes combined population (gnomAD exomes)</w:t>
            </w:r>
          </w:p>
        </w:tc>
      </w:tr>
      <w:tr>
        <w:trPr/>
        <w:tc>
          <w:tcPr>
            <w:tcW w:w="628" w:type="dxa"/>
            <w:tcBorders/>
            <w:shd w:fill="auto" w:val="clear"/>
          </w:tcPr>
          <w:p>
            <w:pPr>
              <w:pStyle w:val="Normal"/>
              <w:tabs>
                <w:tab w:val="clear" w:pos="720"/>
              </w:tabs>
              <w:spacing w:before="58" w:after="58"/>
              <w:jc w:val="left"/>
              <w:rPr/>
            </w:pPr>
            <w:r>
              <w:rPr>
                <w:sz w:val="24"/>
                <w:szCs w:val="24"/>
              </w:rPr>
              <w:t>30</w:t>
            </w:r>
          </w:p>
        </w:tc>
        <w:tc>
          <w:tcPr>
            <w:tcW w:w="2519" w:type="dxa"/>
            <w:tcBorders/>
            <w:shd w:fill="auto" w:val="clear"/>
          </w:tcPr>
          <w:p>
            <w:pPr>
              <w:pStyle w:val="Normal"/>
              <w:tabs>
                <w:tab w:val="clear" w:pos="720"/>
              </w:tabs>
              <w:spacing w:before="58" w:after="58"/>
              <w:jc w:val="left"/>
              <w:rPr/>
            </w:pPr>
            <w:r>
              <w:rPr>
                <w:sz w:val="24"/>
                <w:szCs w:val="24"/>
              </w:rPr>
              <w:t>gnomADg.popmax</w:t>
            </w:r>
          </w:p>
        </w:tc>
        <w:tc>
          <w:tcPr>
            <w:tcW w:w="6213" w:type="dxa"/>
            <w:tcBorders/>
            <w:shd w:fill="auto" w:val="clear"/>
          </w:tcPr>
          <w:p>
            <w:pPr>
              <w:pStyle w:val="Normal"/>
              <w:tabs>
                <w:tab w:val="clear" w:pos="720"/>
              </w:tabs>
              <w:spacing w:before="58" w:after="58"/>
              <w:jc w:val="left"/>
              <w:rPr/>
            </w:pPr>
            <w:r>
              <w:rPr>
                <w:sz w:val="24"/>
                <w:szCs w:val="24"/>
              </w:rPr>
              <w:t>GnomAD exomes population in which maximum frequency was observed (gnomAD exomes)</w:t>
            </w:r>
          </w:p>
        </w:tc>
      </w:tr>
      <w:tr>
        <w:trPr/>
        <w:tc>
          <w:tcPr>
            <w:tcW w:w="628" w:type="dxa"/>
            <w:tcBorders/>
            <w:shd w:fill="auto" w:val="clear"/>
          </w:tcPr>
          <w:p>
            <w:pPr>
              <w:pStyle w:val="Normal"/>
              <w:tabs>
                <w:tab w:val="clear" w:pos="720"/>
              </w:tabs>
              <w:spacing w:before="58" w:after="58"/>
              <w:jc w:val="left"/>
              <w:rPr/>
            </w:pPr>
            <w:r>
              <w:rPr>
                <w:sz w:val="24"/>
                <w:szCs w:val="24"/>
              </w:rPr>
              <w:t>31</w:t>
            </w:r>
          </w:p>
        </w:tc>
        <w:tc>
          <w:tcPr>
            <w:tcW w:w="2519" w:type="dxa"/>
            <w:tcBorders/>
            <w:shd w:fill="auto" w:val="clear"/>
          </w:tcPr>
          <w:p>
            <w:pPr>
              <w:pStyle w:val="Normal"/>
              <w:tabs>
                <w:tab w:val="clear" w:pos="720"/>
              </w:tabs>
              <w:spacing w:before="58" w:after="58"/>
              <w:jc w:val="left"/>
              <w:rPr/>
            </w:pPr>
            <w:r>
              <w:rPr>
                <w:sz w:val="24"/>
                <w:szCs w:val="24"/>
              </w:rPr>
              <w:t>gnomADg.AF_popmax</w:t>
            </w:r>
          </w:p>
        </w:tc>
        <w:tc>
          <w:tcPr>
            <w:tcW w:w="6213" w:type="dxa"/>
            <w:tcBorders/>
            <w:shd w:fill="auto" w:val="clear"/>
          </w:tcPr>
          <w:p>
            <w:pPr>
              <w:pStyle w:val="Normal"/>
              <w:tabs>
                <w:tab w:val="clear" w:pos="720"/>
              </w:tabs>
              <w:spacing w:before="58" w:after="58"/>
              <w:jc w:val="left"/>
              <w:rPr/>
            </w:pPr>
            <w:r>
              <w:rPr>
                <w:sz w:val="24"/>
                <w:szCs w:val="24"/>
              </w:rPr>
              <w:t>Maximum alt.allele frequency in gnomAD exomes populations (gnomAD exomes)</w:t>
            </w:r>
          </w:p>
        </w:tc>
      </w:tr>
      <w:tr>
        <w:trPr/>
        <w:tc>
          <w:tcPr>
            <w:tcW w:w="628" w:type="dxa"/>
            <w:tcBorders/>
            <w:shd w:fill="auto" w:val="clear"/>
          </w:tcPr>
          <w:p>
            <w:pPr>
              <w:pStyle w:val="Normal"/>
              <w:tabs>
                <w:tab w:val="clear" w:pos="720"/>
              </w:tabs>
              <w:spacing w:before="58" w:after="58"/>
              <w:jc w:val="left"/>
              <w:rPr/>
            </w:pPr>
            <w:r>
              <w:rPr>
                <w:sz w:val="24"/>
                <w:szCs w:val="24"/>
              </w:rPr>
              <w:t>32</w:t>
            </w:r>
          </w:p>
        </w:tc>
        <w:tc>
          <w:tcPr>
            <w:tcW w:w="2519" w:type="dxa"/>
            <w:tcBorders/>
            <w:shd w:fill="auto" w:val="clear"/>
          </w:tcPr>
          <w:p>
            <w:pPr>
              <w:pStyle w:val="Normal"/>
              <w:tabs>
                <w:tab w:val="clear" w:pos="720"/>
              </w:tabs>
              <w:spacing w:before="58" w:after="58"/>
              <w:jc w:val="left"/>
              <w:rPr/>
            </w:pPr>
            <w:r>
              <w:rPr>
                <w:sz w:val="24"/>
                <w:szCs w:val="24"/>
              </w:rPr>
              <w:t>gnomADg.AF_nfe</w:t>
            </w:r>
          </w:p>
        </w:tc>
        <w:tc>
          <w:tcPr>
            <w:tcW w:w="6213" w:type="dxa"/>
            <w:tcBorders/>
            <w:shd w:fill="auto" w:val="clear"/>
          </w:tcPr>
          <w:p>
            <w:pPr>
              <w:pStyle w:val="Normal"/>
              <w:tabs>
                <w:tab w:val="clear" w:pos="720"/>
              </w:tabs>
              <w:spacing w:before="58" w:after="58"/>
              <w:jc w:val="left"/>
              <w:rPr/>
            </w:pPr>
            <w:r>
              <w:rPr>
                <w:sz w:val="24"/>
                <w:szCs w:val="24"/>
              </w:rPr>
              <w:t>Alt.allele frequency in European non-Finnish gnomAD exomes (gnomAD exomes)</w:t>
            </w:r>
          </w:p>
        </w:tc>
      </w:tr>
      <w:tr>
        <w:trPr/>
        <w:tc>
          <w:tcPr>
            <w:tcW w:w="628" w:type="dxa"/>
            <w:tcBorders/>
            <w:shd w:fill="auto" w:val="clear"/>
          </w:tcPr>
          <w:p>
            <w:pPr>
              <w:pStyle w:val="Normal"/>
              <w:tabs>
                <w:tab w:val="clear" w:pos="720"/>
              </w:tabs>
              <w:spacing w:before="58" w:after="58"/>
              <w:jc w:val="left"/>
              <w:rPr/>
            </w:pPr>
            <w:r>
              <w:rPr>
                <w:sz w:val="24"/>
                <w:szCs w:val="24"/>
              </w:rPr>
              <w:t>33</w:t>
            </w:r>
          </w:p>
        </w:tc>
        <w:tc>
          <w:tcPr>
            <w:tcW w:w="2519" w:type="dxa"/>
            <w:tcBorders/>
            <w:shd w:fill="auto" w:val="clear"/>
          </w:tcPr>
          <w:p>
            <w:pPr>
              <w:pStyle w:val="Normal"/>
              <w:tabs>
                <w:tab w:val="clear" w:pos="720"/>
              </w:tabs>
              <w:spacing w:before="58" w:after="58"/>
              <w:jc w:val="left"/>
              <w:rPr/>
            </w:pPr>
            <w:r>
              <w:rPr>
                <w:sz w:val="24"/>
                <w:szCs w:val="24"/>
              </w:rPr>
              <w:t>ClinSigFull</w:t>
            </w:r>
          </w:p>
        </w:tc>
        <w:tc>
          <w:tcPr>
            <w:tcW w:w="6213" w:type="dxa"/>
            <w:tcBorders/>
            <w:shd w:fill="auto" w:val="clear"/>
          </w:tcPr>
          <w:p>
            <w:pPr>
              <w:pStyle w:val="Normal"/>
              <w:tabs>
                <w:tab w:val="clear" w:pos="720"/>
              </w:tabs>
              <w:spacing w:before="58" w:after="58"/>
              <w:jc w:val="left"/>
              <w:rPr/>
            </w:pPr>
            <w:r>
              <w:rPr>
                <w:sz w:val="24"/>
                <w:szCs w:val="24"/>
              </w:rPr>
              <w:t>Clinical significance (ClinVar)</w:t>
            </w:r>
          </w:p>
        </w:tc>
      </w:tr>
      <w:tr>
        <w:trPr/>
        <w:tc>
          <w:tcPr>
            <w:tcW w:w="628" w:type="dxa"/>
            <w:tcBorders/>
            <w:shd w:fill="auto" w:val="clear"/>
          </w:tcPr>
          <w:p>
            <w:pPr>
              <w:pStyle w:val="Normal"/>
              <w:tabs>
                <w:tab w:val="clear" w:pos="720"/>
              </w:tabs>
              <w:spacing w:before="58" w:after="58"/>
              <w:jc w:val="left"/>
              <w:rPr/>
            </w:pPr>
            <w:r>
              <w:rPr>
                <w:sz w:val="24"/>
                <w:szCs w:val="24"/>
              </w:rPr>
              <w:t>34</w:t>
            </w:r>
          </w:p>
        </w:tc>
        <w:tc>
          <w:tcPr>
            <w:tcW w:w="2519" w:type="dxa"/>
            <w:tcBorders/>
            <w:shd w:fill="auto" w:val="clear"/>
          </w:tcPr>
          <w:p>
            <w:pPr>
              <w:pStyle w:val="Normal"/>
              <w:tabs>
                <w:tab w:val="clear" w:pos="720"/>
              </w:tabs>
              <w:spacing w:before="58" w:after="58"/>
              <w:jc w:val="left"/>
              <w:rPr/>
            </w:pPr>
            <w:r>
              <w:rPr>
                <w:sz w:val="24"/>
                <w:szCs w:val="24"/>
              </w:rPr>
              <w:t>ClinSigShort</w:t>
            </w:r>
          </w:p>
        </w:tc>
        <w:tc>
          <w:tcPr>
            <w:tcW w:w="6213" w:type="dxa"/>
            <w:tcBorders/>
            <w:shd w:fill="auto" w:val="clear"/>
          </w:tcPr>
          <w:p>
            <w:pPr>
              <w:pStyle w:val="Normal"/>
              <w:tabs>
                <w:tab w:val="clear" w:pos="720"/>
              </w:tabs>
              <w:spacing w:before="58" w:after="58"/>
              <w:jc w:val="left"/>
              <w:rPr/>
            </w:pPr>
            <w:r>
              <w:rPr>
                <w:sz w:val="24"/>
                <w:szCs w:val="24"/>
              </w:rPr>
              <w:t>Simplified ClinSig: Pathogenic, Benign, VUS (ClinVar), Conflict</w:t>
            </w:r>
          </w:p>
        </w:tc>
      </w:tr>
      <w:tr>
        <w:trPr/>
        <w:tc>
          <w:tcPr>
            <w:tcW w:w="628" w:type="dxa"/>
            <w:tcBorders/>
            <w:shd w:fill="auto" w:val="clear"/>
          </w:tcPr>
          <w:p>
            <w:pPr>
              <w:pStyle w:val="Normal"/>
              <w:tabs>
                <w:tab w:val="clear" w:pos="720"/>
              </w:tabs>
              <w:spacing w:before="58" w:after="58"/>
              <w:jc w:val="left"/>
              <w:rPr/>
            </w:pPr>
            <w:r>
              <w:rPr>
                <w:sz w:val="24"/>
                <w:szCs w:val="24"/>
              </w:rPr>
              <w:t>35</w:t>
            </w:r>
          </w:p>
        </w:tc>
        <w:tc>
          <w:tcPr>
            <w:tcW w:w="2519" w:type="dxa"/>
            <w:tcBorders/>
            <w:shd w:fill="auto" w:val="clear"/>
          </w:tcPr>
          <w:p>
            <w:pPr>
              <w:pStyle w:val="Normal"/>
              <w:tabs>
                <w:tab w:val="clear" w:pos="720"/>
              </w:tabs>
              <w:spacing w:before="58" w:after="58"/>
              <w:jc w:val="left"/>
              <w:rPr/>
            </w:pPr>
            <w:r>
              <w:rPr>
                <w:sz w:val="24"/>
                <w:szCs w:val="24"/>
              </w:rPr>
              <w:t>PhenIDS</w:t>
            </w:r>
          </w:p>
        </w:tc>
        <w:tc>
          <w:tcPr>
            <w:tcW w:w="6213" w:type="dxa"/>
            <w:tcBorders/>
            <w:shd w:fill="auto" w:val="clear"/>
          </w:tcPr>
          <w:p>
            <w:pPr>
              <w:pStyle w:val="Normal"/>
              <w:tabs>
                <w:tab w:val="clear" w:pos="720"/>
              </w:tabs>
              <w:spacing w:before="58" w:after="58"/>
              <w:jc w:val="left"/>
              <w:rPr/>
            </w:pPr>
            <w:r>
              <w:rPr>
                <w:sz w:val="24"/>
                <w:szCs w:val="24"/>
              </w:rPr>
              <w:t>Phenotype IDs (ClinVar)</w:t>
            </w:r>
          </w:p>
        </w:tc>
      </w:tr>
      <w:tr>
        <w:trPr/>
        <w:tc>
          <w:tcPr>
            <w:tcW w:w="628" w:type="dxa"/>
            <w:tcBorders/>
            <w:shd w:fill="auto" w:val="clear"/>
          </w:tcPr>
          <w:p>
            <w:pPr>
              <w:pStyle w:val="Normal"/>
              <w:tabs>
                <w:tab w:val="clear" w:pos="720"/>
              </w:tabs>
              <w:spacing w:before="58" w:after="58"/>
              <w:jc w:val="left"/>
              <w:rPr/>
            </w:pPr>
            <w:r>
              <w:rPr>
                <w:sz w:val="24"/>
                <w:szCs w:val="24"/>
              </w:rPr>
              <w:t>36</w:t>
            </w:r>
          </w:p>
        </w:tc>
        <w:tc>
          <w:tcPr>
            <w:tcW w:w="2519" w:type="dxa"/>
            <w:tcBorders/>
            <w:shd w:fill="auto" w:val="clear"/>
          </w:tcPr>
          <w:p>
            <w:pPr>
              <w:pStyle w:val="Normal"/>
              <w:tabs>
                <w:tab w:val="clear" w:pos="720"/>
              </w:tabs>
              <w:spacing w:before="58" w:after="58"/>
              <w:jc w:val="left"/>
              <w:rPr/>
            </w:pPr>
            <w:r>
              <w:rPr>
                <w:sz w:val="24"/>
                <w:szCs w:val="24"/>
              </w:rPr>
              <w:t>PhenList</w:t>
            </w:r>
          </w:p>
        </w:tc>
        <w:tc>
          <w:tcPr>
            <w:tcW w:w="6213" w:type="dxa"/>
            <w:tcBorders/>
            <w:shd w:fill="auto" w:val="clear"/>
          </w:tcPr>
          <w:p>
            <w:pPr>
              <w:pStyle w:val="Normal"/>
              <w:tabs>
                <w:tab w:val="clear" w:pos="720"/>
              </w:tabs>
              <w:spacing w:before="58" w:after="58"/>
              <w:jc w:val="left"/>
              <w:rPr/>
            </w:pPr>
            <w:r>
              <w:rPr>
                <w:sz w:val="24"/>
                <w:szCs w:val="24"/>
              </w:rPr>
              <w:t>Phenotype list (ClinVar)</w:t>
            </w:r>
          </w:p>
        </w:tc>
      </w:tr>
      <w:tr>
        <w:trPr/>
        <w:tc>
          <w:tcPr>
            <w:tcW w:w="628" w:type="dxa"/>
            <w:tcBorders/>
            <w:shd w:fill="auto" w:val="clear"/>
          </w:tcPr>
          <w:p>
            <w:pPr>
              <w:pStyle w:val="Normal"/>
              <w:tabs>
                <w:tab w:val="clear" w:pos="720"/>
              </w:tabs>
              <w:spacing w:before="58" w:after="58"/>
              <w:jc w:val="left"/>
              <w:rPr/>
            </w:pPr>
            <w:r>
              <w:rPr>
                <w:sz w:val="24"/>
                <w:szCs w:val="24"/>
              </w:rPr>
              <w:t>37</w:t>
            </w:r>
          </w:p>
        </w:tc>
        <w:tc>
          <w:tcPr>
            <w:tcW w:w="2519" w:type="dxa"/>
            <w:tcBorders/>
            <w:shd w:fill="auto" w:val="clear"/>
          </w:tcPr>
          <w:p>
            <w:pPr>
              <w:pStyle w:val="Normal"/>
              <w:tabs>
                <w:tab w:val="clear" w:pos="720"/>
              </w:tabs>
              <w:spacing w:before="58" w:after="58"/>
              <w:jc w:val="left"/>
              <w:rPr/>
            </w:pPr>
            <w:r>
              <w:rPr>
                <w:sz w:val="24"/>
                <w:szCs w:val="24"/>
              </w:rPr>
              <w:t>Origin</w:t>
            </w:r>
          </w:p>
        </w:tc>
        <w:tc>
          <w:tcPr>
            <w:tcW w:w="6213" w:type="dxa"/>
            <w:tcBorders/>
            <w:shd w:fill="auto" w:val="clear"/>
          </w:tcPr>
          <w:p>
            <w:pPr>
              <w:pStyle w:val="Normal"/>
              <w:tabs>
                <w:tab w:val="clear" w:pos="720"/>
              </w:tabs>
              <w:spacing w:before="58" w:after="58"/>
              <w:jc w:val="left"/>
              <w:rPr/>
            </w:pPr>
            <w:r>
              <w:rPr>
                <w:sz w:val="24"/>
                <w:szCs w:val="24"/>
              </w:rPr>
              <w:t>Origin: somatic/germline (ClinVar)</w:t>
            </w:r>
          </w:p>
        </w:tc>
      </w:tr>
      <w:tr>
        <w:trPr/>
        <w:tc>
          <w:tcPr>
            <w:tcW w:w="628" w:type="dxa"/>
            <w:tcBorders/>
            <w:shd w:fill="auto" w:val="clear"/>
          </w:tcPr>
          <w:p>
            <w:pPr>
              <w:pStyle w:val="Normal"/>
              <w:tabs>
                <w:tab w:val="clear" w:pos="720"/>
              </w:tabs>
              <w:spacing w:before="58" w:after="58"/>
              <w:jc w:val="left"/>
              <w:rPr/>
            </w:pPr>
            <w:r>
              <w:rPr>
                <w:sz w:val="24"/>
                <w:szCs w:val="24"/>
              </w:rPr>
              <w:t>38</w:t>
            </w:r>
          </w:p>
        </w:tc>
        <w:tc>
          <w:tcPr>
            <w:tcW w:w="2519" w:type="dxa"/>
            <w:tcBorders/>
            <w:shd w:fill="auto" w:val="clear"/>
          </w:tcPr>
          <w:p>
            <w:pPr>
              <w:pStyle w:val="Normal"/>
              <w:tabs>
                <w:tab w:val="clear" w:pos="720"/>
              </w:tabs>
              <w:spacing w:before="58" w:after="58"/>
              <w:jc w:val="left"/>
              <w:rPr/>
            </w:pPr>
            <w:r>
              <w:rPr>
                <w:sz w:val="24"/>
                <w:szCs w:val="24"/>
              </w:rPr>
              <w:t>ReviewStatus</w:t>
            </w:r>
          </w:p>
        </w:tc>
        <w:tc>
          <w:tcPr>
            <w:tcW w:w="6213" w:type="dxa"/>
            <w:tcBorders/>
            <w:shd w:fill="auto" w:val="clear"/>
          </w:tcPr>
          <w:p>
            <w:pPr>
              <w:pStyle w:val="Normal"/>
              <w:tabs>
                <w:tab w:val="clear" w:pos="720"/>
              </w:tabs>
              <w:spacing w:before="58" w:after="58"/>
              <w:jc w:val="left"/>
              <w:rPr/>
            </w:pPr>
            <w:r>
              <w:rPr>
                <w:sz w:val="24"/>
                <w:szCs w:val="24"/>
              </w:rPr>
              <w:t>Review status (ClinVar)</w:t>
            </w:r>
          </w:p>
        </w:tc>
      </w:tr>
      <w:tr>
        <w:trPr/>
        <w:tc>
          <w:tcPr>
            <w:tcW w:w="628" w:type="dxa"/>
            <w:tcBorders/>
            <w:shd w:fill="auto" w:val="clear"/>
          </w:tcPr>
          <w:p>
            <w:pPr>
              <w:pStyle w:val="Normal"/>
              <w:tabs>
                <w:tab w:val="clear" w:pos="720"/>
              </w:tabs>
              <w:spacing w:before="58" w:after="58"/>
              <w:jc w:val="left"/>
              <w:rPr/>
            </w:pPr>
            <w:r>
              <w:rPr>
                <w:sz w:val="24"/>
                <w:szCs w:val="24"/>
              </w:rPr>
              <w:t>39</w:t>
            </w:r>
          </w:p>
        </w:tc>
        <w:tc>
          <w:tcPr>
            <w:tcW w:w="2519" w:type="dxa"/>
            <w:tcBorders/>
            <w:shd w:fill="auto" w:val="clear"/>
          </w:tcPr>
          <w:p>
            <w:pPr>
              <w:pStyle w:val="Normal"/>
              <w:tabs>
                <w:tab w:val="clear" w:pos="720"/>
              </w:tabs>
              <w:spacing w:before="58" w:after="58"/>
              <w:jc w:val="left"/>
              <w:rPr/>
            </w:pPr>
            <w:r>
              <w:rPr>
                <w:sz w:val="24"/>
                <w:szCs w:val="24"/>
              </w:rPr>
              <w:t>NumSubmitters</w:t>
            </w:r>
          </w:p>
        </w:tc>
        <w:tc>
          <w:tcPr>
            <w:tcW w:w="6213" w:type="dxa"/>
            <w:tcBorders/>
            <w:shd w:fill="auto" w:val="clear"/>
          </w:tcPr>
          <w:p>
            <w:pPr>
              <w:pStyle w:val="Normal"/>
              <w:tabs>
                <w:tab w:val="clear" w:pos="720"/>
              </w:tabs>
              <w:spacing w:before="58" w:after="58"/>
              <w:jc w:val="left"/>
              <w:rPr/>
            </w:pPr>
            <w:r>
              <w:rPr>
                <w:sz w:val="24"/>
                <w:szCs w:val="24"/>
              </w:rPr>
              <w:t>Number of submitters (ClinVar)</w:t>
            </w:r>
          </w:p>
        </w:tc>
      </w:tr>
      <w:tr>
        <w:trPr/>
        <w:tc>
          <w:tcPr>
            <w:tcW w:w="628" w:type="dxa"/>
            <w:tcBorders/>
            <w:shd w:fill="auto" w:val="clear"/>
          </w:tcPr>
          <w:p>
            <w:pPr>
              <w:pStyle w:val="Normal"/>
              <w:tabs>
                <w:tab w:val="clear" w:pos="720"/>
              </w:tabs>
              <w:spacing w:before="58" w:after="58"/>
              <w:jc w:val="left"/>
              <w:rPr/>
            </w:pPr>
            <w:r>
              <w:rPr>
                <w:sz w:val="24"/>
                <w:szCs w:val="24"/>
              </w:rPr>
              <w:t>40</w:t>
            </w:r>
          </w:p>
        </w:tc>
        <w:tc>
          <w:tcPr>
            <w:tcW w:w="2519" w:type="dxa"/>
            <w:tcBorders/>
            <w:shd w:fill="auto" w:val="clear"/>
          </w:tcPr>
          <w:p>
            <w:pPr>
              <w:pStyle w:val="Normal"/>
              <w:tabs>
                <w:tab w:val="clear" w:pos="720"/>
              </w:tabs>
              <w:spacing w:before="58" w:after="58"/>
              <w:jc w:val="left"/>
              <w:rPr/>
            </w:pPr>
            <w:r>
              <w:rPr>
                <w:sz w:val="24"/>
                <w:szCs w:val="24"/>
              </w:rPr>
              <w:t>Inheritance</w:t>
            </w:r>
          </w:p>
        </w:tc>
        <w:tc>
          <w:tcPr>
            <w:tcW w:w="6213" w:type="dxa"/>
            <w:tcBorders/>
            <w:shd w:fill="auto" w:val="clear"/>
          </w:tcPr>
          <w:p>
            <w:pPr>
              <w:pStyle w:val="Normal"/>
              <w:tabs>
                <w:tab w:val="clear" w:pos="720"/>
              </w:tabs>
              <w:spacing w:before="58" w:after="58"/>
              <w:jc w:val="left"/>
              <w:rPr/>
            </w:pPr>
            <w:r>
              <w:rPr>
                <w:sz w:val="24"/>
                <w:szCs w:val="24"/>
              </w:rPr>
              <w:t>Inheritance (MedGen)</w:t>
            </w:r>
          </w:p>
        </w:tc>
      </w:tr>
      <w:tr>
        <w:trPr/>
        <w:tc>
          <w:tcPr>
            <w:tcW w:w="628" w:type="dxa"/>
            <w:tcBorders/>
            <w:shd w:fill="auto" w:val="clear"/>
          </w:tcPr>
          <w:p>
            <w:pPr>
              <w:pStyle w:val="Normal"/>
              <w:tabs>
                <w:tab w:val="clear" w:pos="720"/>
              </w:tabs>
              <w:spacing w:before="58" w:after="58"/>
              <w:jc w:val="left"/>
              <w:rPr/>
            </w:pPr>
            <w:r>
              <w:rPr>
                <w:sz w:val="24"/>
                <w:szCs w:val="24"/>
              </w:rPr>
              <w:t>41</w:t>
            </w:r>
          </w:p>
        </w:tc>
        <w:tc>
          <w:tcPr>
            <w:tcW w:w="2519" w:type="dxa"/>
            <w:tcBorders/>
            <w:shd w:fill="auto" w:val="clear"/>
          </w:tcPr>
          <w:p>
            <w:pPr>
              <w:pStyle w:val="Normal"/>
              <w:tabs>
                <w:tab w:val="clear" w:pos="720"/>
              </w:tabs>
              <w:spacing w:before="58" w:after="58"/>
              <w:jc w:val="left"/>
              <w:rPr/>
            </w:pPr>
            <w:r>
              <w:rPr>
                <w:sz w:val="24"/>
                <w:szCs w:val="24"/>
              </w:rPr>
              <w:t>NWR.AF</w:t>
            </w:r>
          </w:p>
        </w:tc>
        <w:tc>
          <w:tcPr>
            <w:tcW w:w="6213" w:type="dxa"/>
            <w:tcBorders/>
            <w:shd w:fill="auto" w:val="clear"/>
          </w:tcPr>
          <w:p>
            <w:pPr>
              <w:pStyle w:val="Normal"/>
              <w:tabs>
                <w:tab w:val="clear" w:pos="720"/>
              </w:tabs>
              <w:spacing w:before="58" w:after="58"/>
              <w:jc w:val="left"/>
              <w:rPr/>
            </w:pPr>
            <w:r>
              <w:rPr>
                <w:sz w:val="24"/>
                <w:szCs w:val="24"/>
              </w:rPr>
              <w:t>AF in 694 NorthWest regions (Barbitoff 2019)</w:t>
            </w:r>
          </w:p>
        </w:tc>
      </w:tr>
      <w:tr>
        <w:trPr/>
        <w:tc>
          <w:tcPr>
            <w:tcW w:w="628" w:type="dxa"/>
            <w:tcBorders/>
            <w:shd w:fill="auto" w:val="clear"/>
          </w:tcPr>
          <w:p>
            <w:pPr>
              <w:pStyle w:val="Normal"/>
              <w:tabs>
                <w:tab w:val="clear" w:pos="720"/>
              </w:tabs>
              <w:spacing w:before="58" w:after="58"/>
              <w:jc w:val="left"/>
              <w:rPr/>
            </w:pPr>
            <w:r>
              <w:rPr>
                <w:sz w:val="24"/>
                <w:szCs w:val="24"/>
              </w:rPr>
              <w:t>42</w:t>
            </w:r>
          </w:p>
        </w:tc>
        <w:tc>
          <w:tcPr>
            <w:tcW w:w="2519" w:type="dxa"/>
            <w:tcBorders/>
            <w:shd w:fill="auto" w:val="clear"/>
          </w:tcPr>
          <w:p>
            <w:pPr>
              <w:pStyle w:val="Normal"/>
              <w:tabs>
                <w:tab w:val="clear" w:pos="720"/>
              </w:tabs>
              <w:spacing w:before="58" w:after="58"/>
              <w:jc w:val="left"/>
              <w:rPr/>
            </w:pPr>
            <w:r>
              <w:rPr>
                <w:sz w:val="24"/>
                <w:szCs w:val="24"/>
              </w:rPr>
              <w:t>NWR.AC</w:t>
            </w:r>
          </w:p>
        </w:tc>
        <w:tc>
          <w:tcPr>
            <w:tcW w:w="6213" w:type="dxa"/>
            <w:tcBorders/>
            <w:shd w:fill="auto" w:val="clear"/>
          </w:tcPr>
          <w:p>
            <w:pPr>
              <w:pStyle w:val="Normal"/>
              <w:tabs>
                <w:tab w:val="clear" w:pos="720"/>
              </w:tabs>
              <w:spacing w:before="58" w:after="58"/>
              <w:jc w:val="left"/>
              <w:rPr/>
            </w:pPr>
            <w:r>
              <w:rPr>
                <w:sz w:val="24"/>
                <w:szCs w:val="24"/>
              </w:rPr>
              <w:t>AC in 694 NorthWest regions (Barbitoff 2019)</w:t>
            </w:r>
          </w:p>
        </w:tc>
      </w:tr>
      <w:tr>
        <w:trPr/>
        <w:tc>
          <w:tcPr>
            <w:tcW w:w="628" w:type="dxa"/>
            <w:tcBorders/>
            <w:shd w:fill="auto" w:val="clear"/>
          </w:tcPr>
          <w:p>
            <w:pPr>
              <w:pStyle w:val="Normal"/>
              <w:tabs>
                <w:tab w:val="clear" w:pos="720"/>
              </w:tabs>
              <w:spacing w:before="58" w:after="58"/>
              <w:jc w:val="left"/>
              <w:rPr/>
            </w:pPr>
            <w:r>
              <w:rPr>
                <w:sz w:val="24"/>
                <w:szCs w:val="24"/>
              </w:rPr>
              <w:t>43</w:t>
            </w:r>
          </w:p>
        </w:tc>
        <w:tc>
          <w:tcPr>
            <w:tcW w:w="2519" w:type="dxa"/>
            <w:tcBorders/>
            <w:shd w:fill="auto" w:val="clear"/>
          </w:tcPr>
          <w:p>
            <w:pPr>
              <w:pStyle w:val="Normal"/>
              <w:tabs>
                <w:tab w:val="clear" w:pos="720"/>
              </w:tabs>
              <w:spacing w:before="58" w:after="58"/>
              <w:jc w:val="left"/>
              <w:rPr/>
            </w:pPr>
            <w:r>
              <w:rPr>
                <w:sz w:val="24"/>
                <w:szCs w:val="24"/>
              </w:rPr>
              <w:t>NWR.AN</w:t>
            </w:r>
          </w:p>
        </w:tc>
        <w:tc>
          <w:tcPr>
            <w:tcW w:w="6213" w:type="dxa"/>
            <w:tcBorders/>
            <w:shd w:fill="auto" w:val="clear"/>
          </w:tcPr>
          <w:p>
            <w:pPr>
              <w:pStyle w:val="Normal"/>
              <w:tabs>
                <w:tab w:val="clear" w:pos="720"/>
              </w:tabs>
              <w:spacing w:before="58" w:after="58"/>
              <w:jc w:val="left"/>
              <w:rPr/>
            </w:pPr>
            <w:r>
              <w:rPr>
                <w:sz w:val="24"/>
                <w:szCs w:val="24"/>
              </w:rPr>
              <w:t>AN in 694 NorthWest regions (Barbitoff 2019)</w:t>
            </w:r>
          </w:p>
        </w:tc>
      </w:tr>
      <w:tr>
        <w:trPr/>
        <w:tc>
          <w:tcPr>
            <w:tcW w:w="628" w:type="dxa"/>
            <w:tcBorders/>
            <w:shd w:fill="auto" w:val="clear"/>
          </w:tcPr>
          <w:p>
            <w:pPr>
              <w:pStyle w:val="Normal"/>
              <w:tabs>
                <w:tab w:val="clear" w:pos="720"/>
              </w:tabs>
              <w:spacing w:before="58" w:after="58"/>
              <w:jc w:val="left"/>
              <w:rPr/>
            </w:pPr>
            <w:r>
              <w:rPr>
                <w:sz w:val="24"/>
                <w:szCs w:val="24"/>
              </w:rPr>
              <w:t>44</w:t>
            </w:r>
          </w:p>
        </w:tc>
        <w:tc>
          <w:tcPr>
            <w:tcW w:w="2519" w:type="dxa"/>
            <w:tcBorders/>
            <w:shd w:fill="auto" w:val="clear"/>
          </w:tcPr>
          <w:p>
            <w:pPr>
              <w:pStyle w:val="Normal"/>
              <w:tabs>
                <w:tab w:val="clear" w:pos="720"/>
              </w:tabs>
              <w:spacing w:before="58" w:after="58"/>
              <w:jc w:val="left"/>
              <w:rPr/>
            </w:pPr>
            <w:r>
              <w:rPr>
                <w:sz w:val="24"/>
                <w:szCs w:val="24"/>
              </w:rPr>
              <w:t>QUAL</w:t>
            </w:r>
          </w:p>
        </w:tc>
        <w:tc>
          <w:tcPr>
            <w:tcW w:w="6213" w:type="dxa"/>
            <w:tcBorders/>
            <w:shd w:fill="auto" w:val="clear"/>
          </w:tcPr>
          <w:p>
            <w:pPr>
              <w:pStyle w:val="Normal"/>
              <w:tabs>
                <w:tab w:val="clear" w:pos="720"/>
              </w:tabs>
              <w:spacing w:before="58" w:after="58"/>
              <w:jc w:val="left"/>
              <w:rPr/>
            </w:pPr>
            <w:r>
              <w:rPr>
                <w:sz w:val="24"/>
                <w:szCs w:val="24"/>
              </w:rPr>
              <w:t>Variant quality (GATK)</w:t>
            </w:r>
          </w:p>
        </w:tc>
      </w:tr>
      <w:tr>
        <w:trPr/>
        <w:tc>
          <w:tcPr>
            <w:tcW w:w="628" w:type="dxa"/>
            <w:tcBorders/>
            <w:shd w:fill="auto" w:val="clear"/>
          </w:tcPr>
          <w:p>
            <w:pPr>
              <w:pStyle w:val="Normal"/>
              <w:tabs>
                <w:tab w:val="clear" w:pos="720"/>
              </w:tabs>
              <w:spacing w:before="58" w:after="58"/>
              <w:jc w:val="left"/>
              <w:rPr/>
            </w:pPr>
            <w:r>
              <w:rPr>
                <w:sz w:val="24"/>
                <w:szCs w:val="24"/>
              </w:rPr>
              <w:t>45</w:t>
            </w:r>
          </w:p>
        </w:tc>
        <w:tc>
          <w:tcPr>
            <w:tcW w:w="2519" w:type="dxa"/>
            <w:tcBorders/>
            <w:shd w:fill="auto" w:val="clear"/>
          </w:tcPr>
          <w:p>
            <w:pPr>
              <w:pStyle w:val="Normal"/>
              <w:tabs>
                <w:tab w:val="clear" w:pos="720"/>
              </w:tabs>
              <w:spacing w:before="58" w:after="58"/>
              <w:jc w:val="left"/>
              <w:rPr/>
            </w:pPr>
            <w:r>
              <w:rPr>
                <w:sz w:val="24"/>
                <w:szCs w:val="24"/>
              </w:rPr>
              <w:t>FILTER.hg37</w:t>
            </w:r>
          </w:p>
        </w:tc>
        <w:tc>
          <w:tcPr>
            <w:tcW w:w="6213" w:type="dxa"/>
            <w:tcBorders/>
            <w:shd w:fill="auto" w:val="clear"/>
          </w:tcPr>
          <w:p>
            <w:pPr>
              <w:pStyle w:val="Normal"/>
              <w:tabs>
                <w:tab w:val="clear" w:pos="720"/>
              </w:tabs>
              <w:spacing w:before="58" w:after="58"/>
              <w:jc w:val="left"/>
              <w:rPr/>
            </w:pPr>
            <w:r>
              <w:rPr>
                <w:sz w:val="24"/>
                <w:szCs w:val="24"/>
              </w:rPr>
              <w:t>Variant filter with hg37 reference (GATK)</w:t>
            </w:r>
          </w:p>
        </w:tc>
      </w:tr>
      <w:tr>
        <w:trPr/>
        <w:tc>
          <w:tcPr>
            <w:tcW w:w="628" w:type="dxa"/>
            <w:tcBorders/>
            <w:shd w:fill="auto" w:val="clear"/>
          </w:tcPr>
          <w:p>
            <w:pPr>
              <w:pStyle w:val="Normal"/>
              <w:tabs>
                <w:tab w:val="clear" w:pos="720"/>
              </w:tabs>
              <w:spacing w:before="58" w:after="58"/>
              <w:jc w:val="left"/>
              <w:rPr/>
            </w:pPr>
            <w:r>
              <w:rPr>
                <w:sz w:val="24"/>
                <w:szCs w:val="24"/>
              </w:rPr>
              <w:t>46</w:t>
            </w:r>
          </w:p>
        </w:tc>
        <w:tc>
          <w:tcPr>
            <w:tcW w:w="2519" w:type="dxa"/>
            <w:tcBorders/>
            <w:shd w:fill="auto" w:val="clear"/>
          </w:tcPr>
          <w:p>
            <w:pPr>
              <w:pStyle w:val="Normal"/>
              <w:tabs>
                <w:tab w:val="clear" w:pos="720"/>
              </w:tabs>
              <w:spacing w:before="58" w:after="58"/>
              <w:jc w:val="left"/>
              <w:rPr/>
            </w:pPr>
            <w:r>
              <w:rPr>
                <w:sz w:val="24"/>
                <w:szCs w:val="24"/>
              </w:rPr>
              <w:t>FILTER.hg38</w:t>
            </w:r>
          </w:p>
        </w:tc>
        <w:tc>
          <w:tcPr>
            <w:tcW w:w="6213" w:type="dxa"/>
            <w:tcBorders/>
            <w:shd w:fill="auto" w:val="clear"/>
          </w:tcPr>
          <w:p>
            <w:pPr>
              <w:pStyle w:val="Normal"/>
              <w:tabs>
                <w:tab w:val="clear" w:pos="720"/>
              </w:tabs>
              <w:spacing w:before="58" w:after="58"/>
              <w:jc w:val="left"/>
              <w:rPr/>
            </w:pPr>
            <w:r>
              <w:rPr>
                <w:sz w:val="24"/>
                <w:szCs w:val="24"/>
              </w:rPr>
              <w:t>Variant filter with hg38 reference (GATK)</w:t>
            </w:r>
          </w:p>
        </w:tc>
      </w:tr>
      <w:tr>
        <w:trPr/>
        <w:tc>
          <w:tcPr>
            <w:tcW w:w="628" w:type="dxa"/>
            <w:tcBorders/>
            <w:shd w:fill="auto" w:val="clear"/>
          </w:tcPr>
          <w:p>
            <w:pPr>
              <w:pStyle w:val="Normal"/>
              <w:tabs>
                <w:tab w:val="clear" w:pos="720"/>
              </w:tabs>
              <w:spacing w:before="58" w:after="58"/>
              <w:jc w:val="left"/>
              <w:rPr/>
            </w:pPr>
            <w:r>
              <w:rPr>
                <w:sz w:val="24"/>
                <w:szCs w:val="24"/>
              </w:rPr>
              <w:t>47</w:t>
            </w:r>
          </w:p>
        </w:tc>
        <w:tc>
          <w:tcPr>
            <w:tcW w:w="2519" w:type="dxa"/>
            <w:tcBorders/>
            <w:shd w:fill="auto" w:val="clear"/>
          </w:tcPr>
          <w:p>
            <w:pPr>
              <w:pStyle w:val="Normal"/>
              <w:tabs>
                <w:tab w:val="clear" w:pos="720"/>
              </w:tabs>
              <w:spacing w:before="58" w:after="58"/>
              <w:jc w:val="left"/>
              <w:rPr/>
            </w:pPr>
            <w:r>
              <w:rPr>
                <w:sz w:val="24"/>
                <w:szCs w:val="24"/>
              </w:rPr>
              <w:t>AF</w:t>
            </w:r>
          </w:p>
        </w:tc>
        <w:tc>
          <w:tcPr>
            <w:tcW w:w="6213" w:type="dxa"/>
            <w:tcBorders/>
            <w:shd w:fill="auto" w:val="clear"/>
          </w:tcPr>
          <w:p>
            <w:pPr>
              <w:pStyle w:val="Normal"/>
              <w:tabs>
                <w:tab w:val="clear" w:pos="720"/>
              </w:tabs>
              <w:spacing w:before="58" w:after="58"/>
              <w:jc w:val="left"/>
              <w:rPr/>
            </w:pPr>
            <w:r>
              <w:rPr>
                <w:sz w:val="24"/>
                <w:szCs w:val="24"/>
              </w:rPr>
              <w:t>Allele frequency in our sample (GATK)</w:t>
            </w:r>
          </w:p>
        </w:tc>
      </w:tr>
      <w:tr>
        <w:trPr/>
        <w:tc>
          <w:tcPr>
            <w:tcW w:w="628" w:type="dxa"/>
            <w:tcBorders/>
            <w:shd w:fill="auto" w:val="clear"/>
          </w:tcPr>
          <w:p>
            <w:pPr>
              <w:pStyle w:val="Normal"/>
              <w:tabs>
                <w:tab w:val="clear" w:pos="720"/>
              </w:tabs>
              <w:spacing w:before="58" w:after="58"/>
              <w:jc w:val="left"/>
              <w:rPr/>
            </w:pPr>
            <w:r>
              <w:rPr>
                <w:sz w:val="24"/>
                <w:szCs w:val="24"/>
              </w:rPr>
              <w:t>48</w:t>
            </w:r>
          </w:p>
        </w:tc>
        <w:tc>
          <w:tcPr>
            <w:tcW w:w="2519" w:type="dxa"/>
            <w:tcBorders/>
            <w:shd w:fill="auto" w:val="clear"/>
          </w:tcPr>
          <w:p>
            <w:pPr>
              <w:pStyle w:val="Normal"/>
              <w:tabs>
                <w:tab w:val="clear" w:pos="720"/>
              </w:tabs>
              <w:spacing w:before="58" w:after="58"/>
              <w:jc w:val="left"/>
              <w:rPr/>
            </w:pPr>
            <w:r>
              <w:rPr>
                <w:sz w:val="24"/>
                <w:szCs w:val="24"/>
              </w:rPr>
              <w:t>AC</w:t>
            </w:r>
          </w:p>
        </w:tc>
        <w:tc>
          <w:tcPr>
            <w:tcW w:w="6213" w:type="dxa"/>
            <w:tcBorders/>
            <w:shd w:fill="auto" w:val="clear"/>
          </w:tcPr>
          <w:p>
            <w:pPr>
              <w:pStyle w:val="Normal"/>
              <w:tabs>
                <w:tab w:val="clear" w:pos="720"/>
              </w:tabs>
              <w:spacing w:before="58" w:after="58"/>
              <w:jc w:val="left"/>
              <w:rPr/>
            </w:pPr>
            <w:r>
              <w:rPr>
                <w:sz w:val="24"/>
                <w:szCs w:val="24"/>
              </w:rPr>
              <w:t>Allele count in genotypes (GATK)</w:t>
            </w:r>
          </w:p>
        </w:tc>
      </w:tr>
      <w:tr>
        <w:trPr/>
        <w:tc>
          <w:tcPr>
            <w:tcW w:w="628" w:type="dxa"/>
            <w:tcBorders/>
            <w:shd w:fill="auto" w:val="clear"/>
          </w:tcPr>
          <w:p>
            <w:pPr>
              <w:pStyle w:val="Normal"/>
              <w:tabs>
                <w:tab w:val="clear" w:pos="720"/>
              </w:tabs>
              <w:spacing w:before="58" w:after="58"/>
              <w:jc w:val="left"/>
              <w:rPr/>
            </w:pPr>
            <w:r>
              <w:rPr>
                <w:sz w:val="24"/>
                <w:szCs w:val="24"/>
              </w:rPr>
              <w:t>49</w:t>
            </w:r>
          </w:p>
        </w:tc>
        <w:tc>
          <w:tcPr>
            <w:tcW w:w="2519" w:type="dxa"/>
            <w:tcBorders/>
            <w:shd w:fill="auto" w:val="clear"/>
          </w:tcPr>
          <w:p>
            <w:pPr>
              <w:pStyle w:val="Normal"/>
              <w:tabs>
                <w:tab w:val="clear" w:pos="720"/>
              </w:tabs>
              <w:spacing w:before="58" w:after="58"/>
              <w:jc w:val="left"/>
              <w:rPr/>
            </w:pPr>
            <w:r>
              <w:rPr>
                <w:sz w:val="24"/>
                <w:szCs w:val="24"/>
              </w:rPr>
              <w:t>AN</w:t>
            </w:r>
          </w:p>
        </w:tc>
        <w:tc>
          <w:tcPr>
            <w:tcW w:w="6213" w:type="dxa"/>
            <w:tcBorders/>
            <w:shd w:fill="auto" w:val="clear"/>
          </w:tcPr>
          <w:p>
            <w:pPr>
              <w:pStyle w:val="Normal"/>
              <w:tabs>
                <w:tab w:val="clear" w:pos="720"/>
              </w:tabs>
              <w:spacing w:before="58" w:after="58"/>
              <w:jc w:val="left"/>
              <w:rPr/>
            </w:pPr>
            <w:r>
              <w:rPr>
                <w:sz w:val="24"/>
                <w:szCs w:val="24"/>
              </w:rPr>
              <w:t>Total number of alleles in called genotypes (GATK)</w:t>
            </w:r>
          </w:p>
        </w:tc>
      </w:tr>
      <w:tr>
        <w:trPr/>
        <w:tc>
          <w:tcPr>
            <w:tcW w:w="628" w:type="dxa"/>
            <w:tcBorders/>
            <w:shd w:fill="auto" w:val="clear"/>
          </w:tcPr>
          <w:p>
            <w:pPr>
              <w:pStyle w:val="Normal"/>
              <w:tabs>
                <w:tab w:val="clear" w:pos="720"/>
              </w:tabs>
              <w:spacing w:before="58" w:after="58"/>
              <w:jc w:val="left"/>
              <w:rPr/>
            </w:pPr>
            <w:r>
              <w:rPr>
                <w:sz w:val="24"/>
                <w:szCs w:val="24"/>
              </w:rPr>
              <w:t>50</w:t>
            </w:r>
          </w:p>
        </w:tc>
        <w:tc>
          <w:tcPr>
            <w:tcW w:w="2519" w:type="dxa"/>
            <w:tcBorders/>
            <w:shd w:fill="auto" w:val="clear"/>
          </w:tcPr>
          <w:p>
            <w:pPr>
              <w:pStyle w:val="Normal"/>
              <w:tabs>
                <w:tab w:val="clear" w:pos="720"/>
              </w:tabs>
              <w:spacing w:before="58" w:after="58"/>
              <w:jc w:val="left"/>
              <w:rPr/>
            </w:pPr>
            <w:r>
              <w:rPr>
                <w:sz w:val="24"/>
                <w:szCs w:val="24"/>
              </w:rPr>
              <w:t>NumHomAlt</w:t>
            </w:r>
          </w:p>
        </w:tc>
        <w:tc>
          <w:tcPr>
            <w:tcW w:w="6213" w:type="dxa"/>
            <w:tcBorders/>
            <w:shd w:fill="auto" w:val="clear"/>
          </w:tcPr>
          <w:p>
            <w:pPr>
              <w:pStyle w:val="Normal"/>
              <w:tabs>
                <w:tab w:val="clear" w:pos="720"/>
              </w:tabs>
              <w:spacing w:before="58" w:after="58"/>
              <w:jc w:val="left"/>
              <w:rPr/>
            </w:pPr>
            <w:r>
              <w:rPr>
                <w:sz w:val="24"/>
                <w:szCs w:val="24"/>
              </w:rPr>
              <w:t>Number of homalt samples (bcftools)</w:t>
            </w:r>
          </w:p>
        </w:tc>
      </w:tr>
      <w:tr>
        <w:trPr/>
        <w:tc>
          <w:tcPr>
            <w:tcW w:w="628" w:type="dxa"/>
            <w:tcBorders/>
            <w:shd w:fill="auto" w:val="clear"/>
          </w:tcPr>
          <w:p>
            <w:pPr>
              <w:pStyle w:val="Normal"/>
              <w:tabs>
                <w:tab w:val="clear" w:pos="720"/>
              </w:tabs>
              <w:spacing w:before="58" w:after="58"/>
              <w:jc w:val="left"/>
              <w:rPr/>
            </w:pPr>
            <w:r>
              <w:rPr>
                <w:sz w:val="24"/>
                <w:szCs w:val="24"/>
              </w:rPr>
              <w:t>51</w:t>
            </w:r>
          </w:p>
        </w:tc>
        <w:tc>
          <w:tcPr>
            <w:tcW w:w="2519" w:type="dxa"/>
            <w:tcBorders/>
            <w:shd w:fill="auto" w:val="clear"/>
          </w:tcPr>
          <w:p>
            <w:pPr>
              <w:pStyle w:val="Normal"/>
              <w:tabs>
                <w:tab w:val="clear" w:pos="720"/>
              </w:tabs>
              <w:spacing w:before="58" w:after="58"/>
              <w:jc w:val="left"/>
              <w:rPr/>
            </w:pPr>
            <w:r>
              <w:rPr>
                <w:sz w:val="24"/>
                <w:szCs w:val="24"/>
              </w:rPr>
              <w:t>Region</w:t>
            </w:r>
          </w:p>
        </w:tc>
        <w:tc>
          <w:tcPr>
            <w:tcW w:w="6213" w:type="dxa"/>
            <w:tcBorders/>
            <w:shd w:fill="auto" w:val="clear"/>
          </w:tcPr>
          <w:p>
            <w:pPr>
              <w:pStyle w:val="Normal"/>
              <w:tabs>
                <w:tab w:val="clear" w:pos="720"/>
              </w:tabs>
              <w:spacing w:before="58" w:after="58"/>
              <w:jc w:val="left"/>
              <w:rPr/>
            </w:pPr>
            <w:r>
              <w:rPr>
                <w:sz w:val="24"/>
                <w:szCs w:val="24"/>
              </w:rPr>
              <w:t>Low complexity genome region? (SDUST)</w:t>
            </w:r>
          </w:p>
        </w:tc>
      </w:tr>
      <w:tr>
        <w:trPr/>
        <w:tc>
          <w:tcPr>
            <w:tcW w:w="628" w:type="dxa"/>
            <w:tcBorders/>
            <w:shd w:fill="auto" w:val="clear"/>
          </w:tcPr>
          <w:p>
            <w:pPr>
              <w:pStyle w:val="Normal"/>
              <w:tabs>
                <w:tab w:val="clear" w:pos="720"/>
              </w:tabs>
              <w:spacing w:before="58" w:after="58"/>
              <w:jc w:val="left"/>
              <w:rPr/>
            </w:pPr>
            <w:r>
              <w:rPr>
                <w:sz w:val="24"/>
                <w:szCs w:val="24"/>
              </w:rPr>
              <w:t>52</w:t>
            </w:r>
          </w:p>
        </w:tc>
        <w:tc>
          <w:tcPr>
            <w:tcW w:w="2519" w:type="dxa"/>
            <w:tcBorders/>
            <w:shd w:fill="auto" w:val="clear"/>
          </w:tcPr>
          <w:p>
            <w:pPr>
              <w:pStyle w:val="Normal"/>
              <w:tabs>
                <w:tab w:val="clear" w:pos="720"/>
              </w:tabs>
              <w:spacing w:before="58" w:after="58"/>
              <w:jc w:val="left"/>
              <w:rPr/>
            </w:pPr>
            <w:r>
              <w:rPr>
                <w:sz w:val="24"/>
                <w:szCs w:val="24"/>
              </w:rPr>
              <w:t>MultiSite</w:t>
            </w:r>
          </w:p>
        </w:tc>
        <w:tc>
          <w:tcPr>
            <w:tcW w:w="6213" w:type="dxa"/>
            <w:tcBorders/>
            <w:shd w:fill="auto" w:val="clear"/>
          </w:tcPr>
          <w:p>
            <w:pPr>
              <w:pStyle w:val="Normal"/>
              <w:tabs>
                <w:tab w:val="clear" w:pos="720"/>
              </w:tabs>
              <w:spacing w:before="58" w:after="58"/>
              <w:jc w:val="left"/>
              <w:rPr/>
            </w:pPr>
            <w:r>
              <w:rPr>
                <w:sz w:val="24"/>
                <w:szCs w:val="24"/>
              </w:rPr>
              <w:t>Multiallelic site?</w:t>
            </w:r>
          </w:p>
        </w:tc>
      </w:tr>
      <w:tr>
        <w:trPr/>
        <w:tc>
          <w:tcPr>
            <w:tcW w:w="628" w:type="dxa"/>
            <w:tcBorders/>
            <w:shd w:fill="auto" w:val="clear"/>
          </w:tcPr>
          <w:p>
            <w:pPr>
              <w:pStyle w:val="Normal"/>
              <w:tabs>
                <w:tab w:val="clear" w:pos="720"/>
              </w:tabs>
              <w:spacing w:before="58" w:after="58"/>
              <w:jc w:val="left"/>
              <w:rPr/>
            </w:pPr>
            <w:r>
              <w:rPr>
                <w:sz w:val="24"/>
                <w:szCs w:val="24"/>
              </w:rPr>
              <w:t>53</w:t>
            </w:r>
          </w:p>
        </w:tc>
        <w:tc>
          <w:tcPr>
            <w:tcW w:w="2519" w:type="dxa"/>
            <w:tcBorders/>
            <w:shd w:fill="auto" w:val="clear"/>
          </w:tcPr>
          <w:p>
            <w:pPr>
              <w:pStyle w:val="Normal"/>
              <w:tabs>
                <w:tab w:val="clear" w:pos="720"/>
              </w:tabs>
              <w:spacing w:before="58" w:after="58"/>
              <w:jc w:val="left"/>
              <w:rPr/>
            </w:pPr>
            <w:r>
              <w:rPr>
                <w:sz w:val="24"/>
                <w:szCs w:val="24"/>
              </w:rPr>
              <w:t>MaxGQ</w:t>
            </w:r>
          </w:p>
        </w:tc>
        <w:tc>
          <w:tcPr>
            <w:tcW w:w="6213" w:type="dxa"/>
            <w:tcBorders/>
            <w:shd w:fill="auto" w:val="clear"/>
          </w:tcPr>
          <w:p>
            <w:pPr>
              <w:pStyle w:val="Normal"/>
              <w:tabs>
                <w:tab w:val="clear" w:pos="720"/>
              </w:tabs>
              <w:spacing w:before="58" w:after="58"/>
              <w:jc w:val="left"/>
              <w:rPr/>
            </w:pPr>
            <w:r>
              <w:rPr>
                <w:sz w:val="24"/>
                <w:szCs w:val="24"/>
              </w:rPr>
              <w:t>Maximum GQ among alt. allele carriers (GATK)</w:t>
            </w:r>
          </w:p>
        </w:tc>
      </w:tr>
      <w:tr>
        <w:trPr/>
        <w:tc>
          <w:tcPr>
            <w:tcW w:w="628" w:type="dxa"/>
            <w:tcBorders/>
            <w:shd w:fill="auto" w:val="clear"/>
          </w:tcPr>
          <w:p>
            <w:pPr>
              <w:pStyle w:val="Normal"/>
              <w:tabs>
                <w:tab w:val="clear" w:pos="720"/>
              </w:tabs>
              <w:spacing w:before="58" w:after="58"/>
              <w:jc w:val="left"/>
              <w:rPr/>
            </w:pPr>
            <w:r>
              <w:rPr>
                <w:sz w:val="24"/>
                <w:szCs w:val="24"/>
              </w:rPr>
              <w:t>54</w:t>
            </w:r>
          </w:p>
        </w:tc>
        <w:tc>
          <w:tcPr>
            <w:tcW w:w="2519" w:type="dxa"/>
            <w:tcBorders/>
            <w:shd w:fill="auto" w:val="clear"/>
          </w:tcPr>
          <w:p>
            <w:pPr>
              <w:pStyle w:val="Normal"/>
              <w:tabs>
                <w:tab w:val="clear" w:pos="720"/>
              </w:tabs>
              <w:spacing w:before="58" w:after="58"/>
              <w:jc w:val="left"/>
              <w:rPr/>
            </w:pPr>
            <w:r>
              <w:rPr>
                <w:sz w:val="24"/>
                <w:szCs w:val="24"/>
              </w:rPr>
              <w:t>AveGQ</w:t>
            </w:r>
          </w:p>
        </w:tc>
        <w:tc>
          <w:tcPr>
            <w:tcW w:w="6213" w:type="dxa"/>
            <w:tcBorders/>
            <w:shd w:fill="auto" w:val="clear"/>
          </w:tcPr>
          <w:p>
            <w:pPr>
              <w:pStyle w:val="Normal"/>
              <w:tabs>
                <w:tab w:val="clear" w:pos="720"/>
              </w:tabs>
              <w:spacing w:before="58" w:after="58"/>
              <w:jc w:val="left"/>
              <w:rPr/>
            </w:pPr>
            <w:r>
              <w:rPr>
                <w:sz w:val="24"/>
                <w:szCs w:val="24"/>
              </w:rPr>
              <w:t>Average GQ among alt. allele carriers (GATK)</w:t>
            </w:r>
          </w:p>
        </w:tc>
      </w:tr>
      <w:tr>
        <w:trPr/>
        <w:tc>
          <w:tcPr>
            <w:tcW w:w="628" w:type="dxa"/>
            <w:tcBorders/>
            <w:shd w:fill="auto" w:val="clear"/>
          </w:tcPr>
          <w:p>
            <w:pPr>
              <w:pStyle w:val="TableContents"/>
              <w:spacing w:before="58" w:after="58"/>
              <w:jc w:val="left"/>
              <w:rPr/>
            </w:pPr>
            <w:r>
              <w:rPr>
                <w:sz w:val="24"/>
                <w:szCs w:val="24"/>
              </w:rPr>
              <w:t>55</w:t>
            </w:r>
          </w:p>
        </w:tc>
        <w:tc>
          <w:tcPr>
            <w:tcW w:w="2519" w:type="dxa"/>
            <w:tcBorders/>
            <w:shd w:fill="auto" w:val="clear"/>
          </w:tcPr>
          <w:p>
            <w:pPr>
              <w:pStyle w:val="TableContents"/>
              <w:spacing w:before="58" w:after="58"/>
              <w:jc w:val="left"/>
              <w:rPr/>
            </w:pPr>
            <w:r>
              <w:rPr>
                <w:sz w:val="24"/>
                <w:szCs w:val="24"/>
              </w:rPr>
              <w:t>Phenotype evaluation</w:t>
            </w:r>
          </w:p>
        </w:tc>
        <w:tc>
          <w:tcPr>
            <w:tcW w:w="6213" w:type="dxa"/>
            <w:tcBorders/>
            <w:shd w:fill="auto" w:val="clear"/>
          </w:tcPr>
          <w:p>
            <w:pPr>
              <w:pStyle w:val="TableContents"/>
              <w:spacing w:before="58" w:after="58"/>
              <w:jc w:val="left"/>
              <w:rPr/>
            </w:pPr>
            <w:r>
              <w:rPr>
                <w:sz w:val="24"/>
                <w:szCs w:val="24"/>
              </w:rPr>
              <w:t>Variant selected for phenotype evaluation of alt. allele carriers</w:t>
            </w:r>
          </w:p>
        </w:tc>
      </w:tr>
    </w:tbl>
    <w:p>
      <w:pPr>
        <w:pStyle w:val="Normal"/>
        <w:jc w:val="left"/>
        <w:rPr/>
      </w:pPr>
      <w:r>
        <w:rPr/>
      </w:r>
    </w:p>
    <w:p>
      <w:pPr>
        <w:pStyle w:val="Normal"/>
        <w:jc w:val="left"/>
        <w:rPr/>
      </w:pPr>
      <w:r>
        <w:rPr>
          <w:rFonts w:eastAsia="Times New Roman" w:cs="Times New Roman"/>
          <w:b/>
          <w:bCs/>
          <w:color w:val="auto"/>
          <w:kern w:val="0"/>
          <w:sz w:val="24"/>
          <w:szCs w:val="24"/>
          <w:lang w:val="en-US" w:eastAsia="zh-CN" w:bidi="hi-IN"/>
        </w:rPr>
        <w:t>Supplementary Table 3.</w:t>
      </w:r>
      <w:r>
        <w:rPr>
          <w:rFonts w:eastAsia="Times New Roman" w:cs="Times New Roman"/>
          <w:color w:val="auto"/>
          <w:kern w:val="0"/>
          <w:sz w:val="24"/>
          <w:szCs w:val="24"/>
          <w:lang w:val="en-US" w:eastAsia="zh-CN" w:bidi="hi-IN"/>
        </w:rPr>
        <w:t xml:space="preserve"> Known pathogenic or likely pathogenic, novel or rare protein truncating variants. Columns are as in Supplementary Table 2.</w:t>
      </w:r>
    </w:p>
    <w:p>
      <w:pPr>
        <w:pStyle w:val="Normal"/>
        <w:jc w:val="left"/>
        <w:rPr>
          <w:rFonts w:ascii="Times New Roman" w:hAnsi="Times New Roman" w:eastAsia="Times New Roman" w:cs="Times New Roman"/>
          <w:color w:val="auto"/>
          <w:kern w:val="0"/>
          <w:sz w:val="24"/>
          <w:szCs w:val="24"/>
          <w:lang w:val="en-US" w:eastAsia="zh-CN" w:bidi="hi-IN"/>
        </w:rPr>
      </w:pPr>
      <w:r>
        <w:rPr>
          <w:rFonts w:eastAsia="Times New Roman" w:cs="Times New Roman"/>
          <w:color w:val="auto"/>
          <w:kern w:val="0"/>
          <w:sz w:val="24"/>
          <w:szCs w:val="24"/>
          <w:lang w:val="en-US" w:eastAsia="zh-CN" w:bidi="hi-IN"/>
        </w:rPr>
      </w:r>
    </w:p>
    <w:p>
      <w:pPr>
        <w:pStyle w:val="Normal"/>
        <w:jc w:val="left"/>
        <w:rPr/>
      </w:pPr>
      <w:r>
        <w:rPr>
          <w:rFonts w:eastAsia="Times New Roman" w:cs="Times New Roman"/>
          <w:b/>
          <w:bCs/>
          <w:color w:val="auto"/>
          <w:kern w:val="0"/>
          <w:sz w:val="24"/>
          <w:szCs w:val="24"/>
          <w:lang w:val="en-US" w:eastAsia="zh-CN" w:bidi="hi-IN"/>
        </w:rPr>
        <w:t xml:space="preserve">Supplementary Table 4. </w:t>
      </w:r>
      <w:r>
        <w:rPr>
          <w:rFonts w:eastAsia="Times New Roman" w:cs="Times New Roman"/>
          <w:color w:val="auto"/>
          <w:kern w:val="0"/>
          <w:sz w:val="24"/>
          <w:szCs w:val="24"/>
          <w:lang w:val="en-US" w:eastAsia="zh-CN" w:bidi="hi-IN"/>
        </w:rPr>
        <w:t xml:space="preserve">Known pathogenic variants with frequencies in the Ivanovo population significantly exceeding the non-Finnish Europeans; extended version of Table 5. </w:t>
      </w:r>
    </w:p>
    <w:p>
      <w:pPr>
        <w:pStyle w:val="LOnormal"/>
        <w:jc w:val="left"/>
        <w:rPr/>
      </w:pPr>
      <w:r>
        <w:rPr>
          <w:rFonts w:eastAsia="Times New Roman" w:cs="Times New Roman" w:ascii="Times New Roman" w:hAnsi="Times New Roman"/>
          <w:color w:val="auto"/>
          <w:kern w:val="0"/>
          <w:sz w:val="24"/>
          <w:szCs w:val="24"/>
          <w:lang w:val="en-US" w:eastAsia="zh-CN" w:bidi="hi-IN"/>
        </w:rPr>
        <w:t>Variant, dbSNP rsID; HGVS: variant description; VarSome, automated variant classification according to the ACMG guidelines; gnomAD, allele frequenct in gnomAD NFE genomes and exomes considered together; Ivanovo AC, allele counts in the Ivanovo population; Ivanovo AF, allele counts in the Ivanovo population; Ivanovo/gnomAD is the ratio of allele frequencies in our sample and gnomAD NFE genomes and exomes considered together; P-value, Fisher test on direct allele counts, raw and Bonferroni corrected; CI for Ivanovo AF; NWR, variant frequency in 694 northwest exomes (Barbitoff et al., 2019).</w:t>
      </w:r>
    </w:p>
    <w:p>
      <w:pPr>
        <w:pStyle w:val="LOnormal"/>
        <w:jc w:val="left"/>
        <w:rPr>
          <w:rFonts w:ascii="Times New Roman" w:hAnsi="Times New Roman" w:eastAsia="Times New Roman" w:cs="Times New Roman"/>
          <w:color w:val="auto"/>
          <w:kern w:val="0"/>
          <w:sz w:val="24"/>
          <w:szCs w:val="24"/>
          <w:lang w:val="en-US" w:eastAsia="zh-CN" w:bidi="hi-IN"/>
        </w:rPr>
      </w:pPr>
      <w:r>
        <w:rPr/>
      </w:r>
    </w:p>
    <w:p>
      <w:pPr>
        <w:pStyle w:val="Heading1"/>
        <w:jc w:val="left"/>
        <w:rPr/>
      </w:pPr>
      <w:bookmarkStart w:id="2" w:name="_rmf7flpkiemh"/>
      <w:bookmarkEnd w:id="2"/>
      <w:r>
        <w:rPr/>
        <w:t>Selection of participants</w:t>
      </w:r>
    </w:p>
    <w:p>
      <w:pPr>
        <w:pStyle w:val="LOnormal"/>
        <w:jc w:val="left"/>
        <w:rPr/>
      </w:pPr>
      <w:r>
        <w:rPr>
          <w:rFonts w:eastAsia="Gungsuh" w:cs="Times New Roman" w:ascii="Times New Roman" w:hAnsi="Times New Roman"/>
          <w:sz w:val="24"/>
          <w:szCs w:val="24"/>
        </w:rPr>
        <w:t>The multi-stage clustered sample was obtained using Kish methods (Kish, 1965). District outpatient departments (polyclinics) were randomly selected as primary sampling units (PSU), each from 30,000 to 80,000 adult inhabitants. Then, five sites (physician’s localities) from every polyclinic were randomly selected as a secondary sampling unit (SSU), which consisted of approximately 2000 adult people. On each site, 100 households were selected as tertiary sampling units (TSU) and in every household an available study subject was found. One PSU in selected regions was rural while all the others were urban. The total sample size was calculated using the formula: 4 PSU × 5 SSU × 100 TSU = 2000 subjects, selected to be observed in the region with intended response rate of 80%. Blood samples of all individuals were stored at −70</w:t>
      </w:r>
      <w:r>
        <w:rPr>
          <w:rFonts w:eastAsia="Gungsuh" w:cs="Times New Roman" w:ascii="Times New Roman" w:hAnsi="Times New Roman"/>
          <w:sz w:val="24"/>
          <w:szCs w:val="24"/>
          <w:lang w:val="en-US"/>
        </w:rPr>
        <w:t xml:space="preserve"> °</w:t>
      </w:r>
      <w:r>
        <w:rPr>
          <w:rFonts w:eastAsia="Gungsuh" w:cs="Times New Roman" w:ascii="Times New Roman" w:hAnsi="Times New Roman"/>
          <w:sz w:val="24"/>
          <w:szCs w:val="24"/>
        </w:rPr>
        <w:t>C at the Biobank of the National Medical Research Center for Therapy and Preventive Medicine</w:t>
      </w:r>
      <w:r>
        <w:rPr>
          <w:rFonts w:eastAsia="Gungsuh" w:cs="Times New Roman" w:ascii="Times New Roman" w:hAnsi="Times New Roman"/>
          <w:sz w:val="24"/>
          <w:szCs w:val="24"/>
          <w:lang w:val="en-US"/>
        </w:rPr>
        <w:t xml:space="preserve"> (Moscow, Russia)</w:t>
      </w:r>
      <w:r>
        <w:rPr>
          <w:rFonts w:eastAsia="Gungsuh" w:cs="Times New Roman" w:ascii="Times New Roman" w:hAnsi="Times New Roman"/>
          <w:sz w:val="24"/>
          <w:szCs w:val="24"/>
        </w:rPr>
        <w:t>.</w:t>
      </w:r>
    </w:p>
    <w:p>
      <w:pPr>
        <w:pStyle w:val="LOnormal"/>
        <w:jc w:val="left"/>
        <w:rPr/>
      </w:pPr>
      <w:r>
        <w:rPr/>
      </w:r>
    </w:p>
    <w:p>
      <w:pPr>
        <w:pStyle w:val="Heading1"/>
        <w:jc w:val="left"/>
        <w:rPr/>
      </w:pPr>
      <w:bookmarkStart w:id="3" w:name="_ka3sq6ftnls0"/>
      <w:bookmarkEnd w:id="3"/>
      <w:r>
        <w:rPr/>
        <w:t>Target panel sequencing</w:t>
      </w:r>
    </w:p>
    <w:p>
      <w:pPr>
        <w:pStyle w:val="LOnormal"/>
        <w:jc w:val="left"/>
        <w:rPr/>
      </w:pPr>
      <w:r>
        <w:rPr>
          <w:rFonts w:eastAsia="Times New Roman" w:cs="Times New Roman" w:ascii="Times New Roman" w:hAnsi="Times New Roman"/>
          <w:sz w:val="24"/>
          <w:szCs w:val="24"/>
        </w:rPr>
        <w:t>The isolation of DNA was done using the QIAamp DNA Blood Mini Kit (Qiagen, Hilden, Germany). DNA concentration was assessed with a Qubit 4.0 fluorimeter (Thermo Fisher Scientific, Waltham, MA, USA). The library preparation was done using the SeqCap EZ Prime Choice Library kit (Roche, Basel, Switzerland). All stages of sequencing were performed using Mid Output (paired-end, 2x150 bp, average insert size 269 bp) according to the manufacturers’ protocols with Nextseq</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550 (Illumina, San Diego, CA, USA). Overall, targeted regions were sequenced to an average depth of 154 bp, and 99% of the coding sequence for these genes was covered at least 40-fold. With this coverage depth, 88.1% of genotypes are called with maximal genotype quality GQ of 99. Sanger sequencing was also used to validate NGS results for selected variants.</w:t>
      </w:r>
    </w:p>
    <w:p>
      <w:pPr>
        <w:pStyle w:val="LOnormal"/>
        <w:jc w:val="left"/>
        <w:rPr/>
      </w:pPr>
      <w:r>
        <w:rPr/>
      </w:r>
    </w:p>
    <w:p>
      <w:pPr>
        <w:pStyle w:val="Heading1"/>
        <w:jc w:val="left"/>
        <w:rPr/>
      </w:pPr>
      <w:bookmarkStart w:id="4" w:name="_27313uu781cg"/>
      <w:bookmarkEnd w:id="4"/>
      <w:r>
        <w:rPr/>
        <w:t>Variant c</w:t>
      </w:r>
      <w:r>
        <w:rPr/>
        <w:t>onfirmation by Sanger sequencing</w:t>
      </w:r>
    </w:p>
    <w:p>
      <w:pPr>
        <w:pStyle w:val="LOnormal"/>
        <w:jc w:val="left"/>
        <w:rPr/>
      </w:pPr>
      <w:r>
        <w:rPr>
          <w:rFonts w:eastAsia="Times New Roman" w:cs="Times New Roman" w:ascii="Times New Roman" w:hAnsi="Times New Roman"/>
          <w:sz w:val="24"/>
          <w:szCs w:val="24"/>
        </w:rPr>
        <w:t>Selected variants of interest were validated using Sanger sequencing. PCRs were performed in 20 μL of a mixture containing 0.2 mM of each nucleotide, 1× PCR buffer, 20 ng of the DNA, 10 ng of each primer, 2.5 U of DNA polymerase. Amplification was performed on a GeneAmp PCR System 9700 thermocycler (Thermo Fisher Scientific, Waltham, MA, USA) with the following parameters: 95 °C—300 s; 30 cycles: 95 °C—30 s, 62 °C—30 s, 72 °C—30 s; 72 °C—600 s. The amplicons were purified using ExoSAP-IT (Affymetrix, Santa Clara, CA, USA). The nucleotide sequence of PCR products was determined using the ABI PRISM BigDye Terminator reagent kit v. 3.1</w:t>
      </w:r>
      <w:r>
        <w:rPr>
          <w:rFonts w:eastAsia="Times New Roman" w:cs="Times New Roman" w:ascii="Times New Roman" w:hAnsi="Times New Roman"/>
          <w:sz w:val="24"/>
          <w:szCs w:val="24"/>
          <w:lang w:val="en-US"/>
        </w:rPr>
        <w:t xml:space="preserve">  (Thermo Fisher Scientific, Waltham, MA, USA)</w:t>
      </w:r>
      <w:r>
        <w:rPr>
          <w:rFonts w:eastAsia="Times New Roman" w:cs="Times New Roman" w:ascii="Times New Roman" w:hAnsi="Times New Roman"/>
          <w:sz w:val="24"/>
          <w:szCs w:val="24"/>
        </w:rPr>
        <w:t xml:space="preserve"> followed by analysis of the reaction products on an automated DNA sequencer Applied Biosystem 3500 DNA Analyzer (Thermo Fisher Scientific, Waltham, MA, USA). All steps of Sanger sequencing were done in accordance with the manufacturer’s recommendations.</w:t>
      </w:r>
    </w:p>
    <w:p>
      <w:pPr>
        <w:pStyle w:val="LOnormal"/>
        <w:jc w:val="left"/>
        <w:rPr/>
      </w:pPr>
      <w:r>
        <w:rPr/>
      </w:r>
    </w:p>
    <w:p>
      <w:pPr>
        <w:pStyle w:val="Heading1"/>
        <w:jc w:val="left"/>
        <w:rPr/>
      </w:pPr>
      <w:bookmarkStart w:id="5" w:name="_2e0fuyek9jyi"/>
      <w:bookmarkEnd w:id="5"/>
      <w:r>
        <w:rPr/>
        <w:t>Bioinformatic pipeline</w:t>
      </w:r>
    </w:p>
    <w:p>
      <w:pPr>
        <w:pStyle w:val="LOnormal"/>
        <w:jc w:val="left"/>
        <w:rPr/>
      </w:pPr>
      <w:r>
        <w:rPr>
          <w:rFonts w:eastAsia="Times New Roman" w:cs="Times New Roman" w:ascii="Times New Roman" w:hAnsi="Times New Roman"/>
          <w:sz w:val="24"/>
          <w:szCs w:val="24"/>
        </w:rPr>
        <w:t xml:space="preserve">Paired-end raw sequencing data were converted to pairs of fastq files with </w:t>
      </w:r>
      <w:r>
        <w:rPr>
          <w:rFonts w:eastAsia="Courier New" w:cs="Courier New" w:ascii="Courier New" w:hAnsi="Courier New"/>
        </w:rPr>
        <w:t xml:space="preserve">bcl2fastq </w:t>
      </w:r>
      <w:r>
        <w:rPr>
          <w:rFonts w:eastAsia="Times New Roman" w:cs="Times New Roman" w:ascii="Times New Roman" w:hAnsi="Times New Roman"/>
          <w:sz w:val="24"/>
          <w:szCs w:val="24"/>
        </w:rPr>
        <w:t xml:space="preserve">v.2.20.0.422. Initial quality assessment of reads was performed with </w:t>
      </w:r>
      <w:r>
        <w:rPr>
          <w:rFonts w:eastAsia="Courier New" w:cs="Courier New" w:ascii="Courier New" w:hAnsi="Courier New"/>
        </w:rPr>
        <w:t>FastQC</w:t>
      </w:r>
      <w:r>
        <w:rPr>
          <w:rFonts w:eastAsia="Times New Roman" w:cs="Times New Roman" w:ascii="Times New Roman" w:hAnsi="Times New Roman"/>
          <w:sz w:val="24"/>
          <w:szCs w:val="24"/>
        </w:rPr>
        <w:t xml:space="preserve"> software v.0.11.8 (Andrews et al., 2010). Paired-end reads were then trimmed with </w:t>
      </w:r>
      <w:r>
        <w:rPr>
          <w:rFonts w:eastAsia="Courier New" w:cs="Courier New" w:ascii="Courier New" w:hAnsi="Courier New"/>
        </w:rPr>
        <w:t>Trimmomatic</w:t>
      </w:r>
      <w:r>
        <w:rPr>
          <w:rFonts w:eastAsia="Times New Roman" w:cs="Times New Roman" w:ascii="Times New Roman" w:hAnsi="Times New Roman"/>
          <w:sz w:val="24"/>
          <w:szCs w:val="24"/>
        </w:rPr>
        <w:t xml:space="preserve"> v.0.39 (</w:t>
      </w:r>
      <w:r>
        <w:rPr>
          <w:rFonts w:eastAsia="Times New Roman" w:cs="Times New Roman" w:ascii="Times New Roman" w:hAnsi="Times New Roman"/>
          <w:color w:val="212121"/>
          <w:sz w:val="24"/>
          <w:szCs w:val="24"/>
          <w:highlight w:val="white"/>
        </w:rPr>
        <w:t>Bolger et al., 2014</w:t>
      </w:r>
      <w:r>
        <w:rPr>
          <w:rFonts w:eastAsia="Times New Roman" w:cs="Times New Roman" w:ascii="Times New Roman" w:hAnsi="Times New Roman"/>
          <w:sz w:val="24"/>
          <w:szCs w:val="24"/>
        </w:rPr>
        <w:t xml:space="preserve">) from the 3' end to remove low-quality bases with </w:t>
      </w:r>
      <w:r>
        <w:rPr>
          <w:rFonts w:eastAsia="Times New Roman" w:cs="Times New Roman" w:ascii="Times New Roman" w:hAnsi="Times New Roman"/>
          <w:sz w:val="24"/>
          <w:szCs w:val="24"/>
          <w:highlight w:val="white"/>
        </w:rPr>
        <w:t>Phred Quality Score</w:t>
      </w:r>
      <w:r>
        <w:rPr>
          <w:rFonts w:eastAsia="Times New Roman" w:cs="Times New Roman" w:ascii="Times New Roman" w:hAnsi="Times New Roman"/>
          <w:b/>
          <w:sz w:val="24"/>
          <w:szCs w:val="24"/>
          <w:highlight w:val="white"/>
        </w:rPr>
        <w:t xml:space="preserve"> </w:t>
      </w:r>
      <w:r>
        <w:rPr>
          <w:rFonts w:eastAsia="Times New Roman" w:cs="Times New Roman" w:ascii="Times New Roman" w:hAnsi="Times New Roman"/>
          <w:sz w:val="24"/>
          <w:szCs w:val="24"/>
          <w:highlight w:val="white"/>
        </w:rPr>
        <w:t xml:space="preserve">below 20 </w:t>
      </w:r>
      <w:r>
        <w:rPr>
          <w:rFonts w:eastAsia="Times New Roman" w:cs="Times New Roman" w:ascii="Times New Roman" w:hAnsi="Times New Roman"/>
          <w:sz w:val="24"/>
          <w:szCs w:val="24"/>
        </w:rPr>
        <w:t xml:space="preserve">(TRAILING:20) to a minimum allowed length of 25 nt. Reads were mapped to the human reference genome with </w:t>
      </w:r>
      <w:r>
        <w:rPr>
          <w:rFonts w:eastAsia="Courier New" w:cs="Courier New" w:ascii="Courier New" w:hAnsi="Courier New"/>
        </w:rPr>
        <w:t>bwa mem</w:t>
      </w:r>
      <w:r>
        <w:rPr>
          <w:rFonts w:eastAsia="Times New Roman" w:cs="Times New Roman" w:ascii="Times New Roman" w:hAnsi="Times New Roman"/>
          <w:sz w:val="24"/>
          <w:szCs w:val="24"/>
        </w:rPr>
        <w:t xml:space="preserve"> (v.0.7.17-r1188, human reference hg19) with output in BAM format (Li, H. and Durbin, 2009). </w:t>
      </w:r>
      <w:r>
        <w:rPr>
          <w:rFonts w:eastAsia="Courier New" w:cs="Courier New" w:ascii="Courier New" w:hAnsi="Courier New"/>
        </w:rPr>
        <w:t>Picard</w:t>
      </w:r>
      <w:r>
        <w:rPr>
          <w:rFonts w:eastAsia="Times New Roman" w:cs="Times New Roman" w:ascii="Times New Roman" w:hAnsi="Times New Roman"/>
          <w:sz w:val="24"/>
          <w:szCs w:val="24"/>
        </w:rPr>
        <w:t xml:space="preserve"> v. 2.20.0 (Broad Institute, 2018) was employed to mark optical and PCR duplicates (MarkDuplicates), and to label read group fields appropriately, sort and index the BAM file (</w:t>
      </w:r>
      <w:r>
        <w:rPr>
          <w:rFonts w:eastAsia="Courier New" w:cs="Courier New" w:ascii="Courier New" w:hAnsi="Courier New"/>
        </w:rPr>
        <w:t>AddOrReplaceReadGroups</w:t>
      </w:r>
      <w:r>
        <w:rPr>
          <w:rFonts w:eastAsia="Times New Roman" w:cs="Times New Roman" w:ascii="Times New Roman" w:hAnsi="Times New Roman"/>
          <w:sz w:val="24"/>
          <w:szCs w:val="24"/>
        </w:rPr>
        <w:t>).</w:t>
      </w:r>
    </w:p>
    <w:p>
      <w:pPr>
        <w:pStyle w:val="LOnormal"/>
        <w:keepNext w:val="false"/>
        <w:keepLines w:val="false"/>
        <w:widowControl/>
        <w:shd w:val="clear" w:fill="auto"/>
        <w:spacing w:lineRule="auto" w:line="276" w:before="0" w:after="0"/>
        <w:ind w:left="0" w:right="0" w:hanging="0"/>
        <w:jc w:val="left"/>
        <w:rPr/>
      </w:pPr>
      <w:r>
        <w:rPr>
          <w:rFonts w:eastAsia="Times New Roman" w:cs="Times New Roman" w:ascii="Times New Roman" w:hAnsi="Times New Roman"/>
          <w:sz w:val="24"/>
          <w:szCs w:val="24"/>
        </w:rPr>
        <w:t xml:space="preserve">For sample quality control we reported and controlled numerous metrics, in particular, the total number of reads per sample, the optical and PCR duplicate rate, the total number of reads mapped to the target regions. Number of total PE reads was minimum 2.2 mln with the mean of 3.4 mln per sample. After marking duplicates, there were at least 1.2 mln unique PE reads per sample. On average 57% of reads were mapped to the target. We used </w:t>
      </w:r>
      <w:r>
        <w:rPr>
          <w:rFonts w:eastAsia="Courier New" w:cs="Courier New" w:ascii="Courier New" w:hAnsi="Courier New"/>
        </w:rPr>
        <w:t>Cleancall</w:t>
      </w:r>
      <w:r>
        <w:rPr>
          <w:rFonts w:eastAsia="Times New Roman" w:cs="Times New Roman" w:ascii="Times New Roman" w:hAnsi="Times New Roman"/>
          <w:sz w:val="24"/>
          <w:szCs w:val="24"/>
        </w:rPr>
        <w:t xml:space="preserve"> (Flickinger et al., 2015) with default settings to detect within-species DNA sample contamination.</w:t>
      </w:r>
    </w:p>
    <w:p>
      <w:pPr>
        <w:pStyle w:val="LO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left"/>
        <w:rPr/>
      </w:pPr>
      <w:r>
        <w:rPr>
          <w:rFonts w:eastAsia="Courier New" w:cs="Courier New" w:ascii="Courier New" w:hAnsi="Courier New"/>
        </w:rPr>
        <w:t>GATK</w:t>
      </w:r>
      <w:r>
        <w:rPr>
          <w:rFonts w:eastAsia="Times New Roman" w:cs="Times New Roman" w:ascii="Times New Roman" w:hAnsi="Times New Roman"/>
          <w:sz w:val="24"/>
          <w:szCs w:val="24"/>
        </w:rPr>
        <w:t xml:space="preserve"> (v.3.8-1-0-gf15c1c3ef) (</w:t>
      </w:r>
      <w:r>
        <w:rPr>
          <w:rFonts w:eastAsia="Times New Roman" w:cs="Times New Roman" w:ascii="Times New Roman" w:hAnsi="Times New Roman"/>
          <w:color w:val="212121"/>
          <w:sz w:val="24"/>
          <w:szCs w:val="24"/>
          <w:highlight w:val="white"/>
        </w:rPr>
        <w:t xml:space="preserve">Poplin </w:t>
      </w:r>
      <w:r>
        <w:rPr>
          <w:rFonts w:eastAsia="Times New Roman" w:cs="Times New Roman" w:ascii="Times New Roman" w:hAnsi="Times New Roman"/>
          <w:sz w:val="24"/>
          <w:szCs w:val="24"/>
        </w:rPr>
        <w:t xml:space="preserve">et al., </w:t>
      </w:r>
      <w:r>
        <w:rPr>
          <w:rFonts w:eastAsia="Times New Roman" w:cs="Times New Roman" w:ascii="Times New Roman" w:hAnsi="Times New Roman"/>
          <w:color w:val="212121"/>
          <w:sz w:val="24"/>
          <w:szCs w:val="24"/>
          <w:highlight w:val="white"/>
        </w:rPr>
        <w:t>2017</w:t>
      </w:r>
      <w:r>
        <w:rPr>
          <w:rFonts w:eastAsia="Times New Roman" w:cs="Times New Roman" w:ascii="Times New Roman" w:hAnsi="Times New Roman"/>
          <w:sz w:val="24"/>
          <w:szCs w:val="24"/>
        </w:rPr>
        <w:t xml:space="preserve">) modules </w:t>
      </w:r>
      <w:r>
        <w:rPr>
          <w:rFonts w:eastAsia="Courier New" w:cs="Courier New" w:ascii="Courier New" w:hAnsi="Courier New"/>
        </w:rPr>
        <w:t>RealignerTargetCreator</w:t>
      </w:r>
      <w:r>
        <w:rPr>
          <w:rFonts w:eastAsia="Times New Roman" w:cs="Times New Roman" w:ascii="Times New Roman" w:hAnsi="Times New Roman"/>
          <w:sz w:val="24"/>
          <w:szCs w:val="24"/>
        </w:rPr>
        <w:t xml:space="preserve"> and </w:t>
      </w:r>
      <w:r>
        <w:rPr>
          <w:rFonts w:eastAsia="Courier New" w:cs="Courier New" w:ascii="Courier New" w:hAnsi="Courier New"/>
        </w:rPr>
        <w:t>IndelRealigner</w:t>
      </w:r>
      <w:r>
        <w:rPr>
          <w:rFonts w:eastAsia="Times New Roman" w:cs="Times New Roman" w:ascii="Times New Roman" w:hAnsi="Times New Roman"/>
          <w:sz w:val="24"/>
          <w:szCs w:val="24"/>
        </w:rPr>
        <w:t xml:space="preserve"> were used to find intervals for potential realignment and to realign reads around indels. Genome-wide variant calling was performed in each sample by </w:t>
      </w:r>
      <w:r>
        <w:rPr>
          <w:rFonts w:eastAsia="Courier New" w:cs="Courier New" w:ascii="Courier New" w:hAnsi="Courier New"/>
        </w:rPr>
        <w:t>GATK3</w:t>
      </w:r>
      <w:r>
        <w:rPr>
          <w:rFonts w:eastAsia="Times New Roman" w:cs="Times New Roman" w:ascii="Times New Roman" w:hAnsi="Times New Roman"/>
          <w:sz w:val="24"/>
          <w:szCs w:val="24"/>
        </w:rPr>
        <w:t xml:space="preserve"> module </w:t>
      </w:r>
      <w:r>
        <w:rPr>
          <w:rFonts w:eastAsia="Courier New" w:cs="Courier New" w:ascii="Courier New" w:hAnsi="Courier New"/>
        </w:rPr>
        <w:t>HaplotypeCaller</w:t>
      </w:r>
      <w:r>
        <w:rPr>
          <w:rFonts w:eastAsia="Times New Roman" w:cs="Times New Roman" w:ascii="Times New Roman" w:hAnsi="Times New Roman"/>
          <w:sz w:val="24"/>
          <w:szCs w:val="24"/>
        </w:rPr>
        <w:t xml:space="preserve"> with output in gVCF format.</w:t>
      </w:r>
    </w:p>
    <w:p>
      <w:pPr>
        <w:pStyle w:val="LOnormal"/>
        <w:jc w:val="left"/>
        <w:rPr/>
      </w:pPr>
      <w:r>
        <w:rPr>
          <w:rFonts w:eastAsia="Times New Roman" w:cs="Times New Roman" w:ascii="Times New Roman" w:hAnsi="Times New Roman"/>
          <w:sz w:val="24"/>
          <w:szCs w:val="24"/>
        </w:rPr>
        <w:t xml:space="preserve">To speed up subsequent gVCF file processing, the </w:t>
      </w:r>
      <w:r>
        <w:rPr>
          <w:rFonts w:eastAsia="Times New Roman" w:cs="Times New Roman" w:ascii="Times New Roman" w:hAnsi="Times New Roman"/>
          <w:sz w:val="24"/>
          <w:szCs w:val="24"/>
          <w:highlight w:val="white"/>
        </w:rPr>
        <w:t xml:space="preserve">reference human genome was split into 110 non-overlapping genomic intervals. For each interval all individual gVCF files were merged into a single gVCF file using </w:t>
      </w:r>
      <w:r>
        <w:rPr>
          <w:rFonts w:eastAsia="Courier New" w:cs="Courier New" w:ascii="Courier New" w:hAnsi="Courier New"/>
        </w:rPr>
        <w:t>GATK</w:t>
      </w:r>
      <w:r>
        <w:rPr>
          <w:rFonts w:eastAsia="Times New Roman" w:cs="Times New Roman" w:ascii="Times New Roman" w:hAnsi="Times New Roman"/>
          <w:sz w:val="24"/>
          <w:szCs w:val="24"/>
          <w:highlight w:val="white"/>
        </w:rPr>
        <w:t xml:space="preserve"> </w:t>
      </w:r>
      <w:r>
        <w:rPr>
          <w:rFonts w:eastAsia="Courier New" w:cs="Courier New" w:ascii="Courier New" w:hAnsi="Courier New"/>
        </w:rPr>
        <w:t>CombineGVCFs</w:t>
      </w:r>
      <w:r>
        <w:rPr>
          <w:rFonts w:eastAsia="Times New Roman" w:cs="Times New Roman" w:ascii="Times New Roman" w:hAnsi="Times New Roman"/>
          <w:sz w:val="24"/>
          <w:szCs w:val="24"/>
          <w:highlight w:val="white"/>
        </w:rPr>
        <w:t xml:space="preserve"> tool. The combined gVCF was converted to a merged VCF file with </w:t>
      </w:r>
      <w:r>
        <w:rPr>
          <w:rFonts w:eastAsia="Courier New" w:cs="Courier New" w:ascii="Courier New" w:hAnsi="Courier New"/>
        </w:rPr>
        <w:t>GATK</w:t>
      </w:r>
      <w:r>
        <w:rPr>
          <w:rFonts w:eastAsia="Times New Roman" w:cs="Times New Roman" w:ascii="Times New Roman" w:hAnsi="Times New Roman"/>
          <w:sz w:val="24"/>
          <w:szCs w:val="24"/>
          <w:highlight w:val="white"/>
        </w:rPr>
        <w:t xml:space="preserve"> </w:t>
      </w:r>
      <w:r>
        <w:rPr>
          <w:rFonts w:eastAsia="Courier New" w:cs="Courier New" w:ascii="Courier New" w:hAnsi="Courier New"/>
        </w:rPr>
        <w:t>GenotypeGVCF</w:t>
      </w:r>
      <w:r>
        <w:rPr>
          <w:rFonts w:eastAsia="Times New Roman" w:cs="Times New Roman" w:ascii="Times New Roman" w:hAnsi="Times New Roman"/>
          <w:sz w:val="24"/>
          <w:szCs w:val="24"/>
          <w:highlight w:val="white"/>
        </w:rPr>
        <w:t xml:space="preserve">. Indels in the merged VCF file were left aligned using </w:t>
      </w:r>
      <w:r>
        <w:rPr>
          <w:rFonts w:eastAsia="Courier New" w:cs="Courier New" w:ascii="Courier New" w:hAnsi="Courier New"/>
        </w:rPr>
        <w:t>bcftools</w:t>
      </w:r>
      <w:r>
        <w:rPr>
          <w:rFonts w:eastAsia="Times New Roman" w:cs="Times New Roman" w:ascii="Times New Roman" w:hAnsi="Times New Roman"/>
          <w:sz w:val="24"/>
          <w:szCs w:val="24"/>
          <w:highlight w:val="white"/>
        </w:rPr>
        <w:t xml:space="preserve"> </w:t>
      </w:r>
      <w:r>
        <w:rPr>
          <w:rFonts w:eastAsia="Courier New" w:cs="Courier New" w:ascii="Courier New" w:hAnsi="Courier New"/>
        </w:rPr>
        <w:t>norm</w:t>
      </w:r>
      <w:r>
        <w:rPr>
          <w:rFonts w:eastAsia="Times New Roman" w:cs="Times New Roman" w:ascii="Times New Roman" w:hAnsi="Times New Roman"/>
          <w:sz w:val="24"/>
          <w:szCs w:val="24"/>
          <w:highlight w:val="white"/>
        </w:rPr>
        <w:t xml:space="preserve"> (v1.11) tool, posterior genotype refinement performed with </w:t>
      </w:r>
      <w:r>
        <w:rPr>
          <w:rFonts w:eastAsia="Courier New" w:cs="Courier New" w:ascii="Courier New" w:hAnsi="Courier New"/>
        </w:rPr>
        <w:t xml:space="preserve">GATK CalculateGenotypePosteriors </w:t>
      </w:r>
      <w:r>
        <w:rPr>
          <w:rFonts w:eastAsia="Times New Roman" w:cs="Times New Roman" w:ascii="Times New Roman" w:hAnsi="Times New Roman"/>
          <w:sz w:val="24"/>
          <w:szCs w:val="24"/>
        </w:rPr>
        <w:t>assuming unrelated samples</w:t>
      </w:r>
      <w:r>
        <w:rPr>
          <w:rFonts w:eastAsia="Times New Roman" w:cs="Times New Roman" w:ascii="Times New Roman" w:hAnsi="Times New Roman"/>
          <w:sz w:val="24"/>
          <w:szCs w:val="24"/>
          <w:highlight w:val="white"/>
        </w:rPr>
        <w:t>.</w:t>
      </w:r>
    </w:p>
    <w:p>
      <w:pPr>
        <w:pStyle w:val="LOnormal"/>
        <w:jc w:val="left"/>
        <w:rPr/>
      </w:pPr>
      <w:r>
        <w:rPr>
          <w:rFonts w:eastAsia="Times New Roman" w:cs="Times New Roman" w:ascii="Times New Roman" w:hAnsi="Times New Roman"/>
          <w:sz w:val="24"/>
          <w:szCs w:val="24"/>
          <w:highlight w:val="white"/>
        </w:rPr>
        <w:t>The refined callset was split into SNP and Indel parts with hard filters applied separately to each subset. SNPs were filtered out if any of the conditions was met:</w:t>
      </w:r>
    </w:p>
    <w:p>
      <w:pPr>
        <w:pStyle w:val="LOnormal"/>
        <w:numPr>
          <w:ilvl w:val="0"/>
          <w:numId w:val="2"/>
        </w:numPr>
        <w:ind w:left="720" w:hanging="360"/>
        <w:jc w:val="left"/>
        <w:rPr/>
      </w:pPr>
      <w:r>
        <w:rPr>
          <w:rFonts w:eastAsia="Courier New" w:cs="Courier New" w:ascii="Courier New" w:hAnsi="Courier New"/>
        </w:rPr>
        <w:t>MQ</w:t>
      </w:r>
      <w:r>
        <w:rPr>
          <w:rFonts w:eastAsia="Times New Roman" w:cs="Times New Roman" w:ascii="Times New Roman" w:hAnsi="Times New Roman"/>
          <w:sz w:val="24"/>
          <w:szCs w:val="24"/>
          <w:highlight w:val="white"/>
        </w:rPr>
        <w:t xml:space="preserve"> (root mean square mapping quality) &lt; 40.0</w:t>
      </w:r>
    </w:p>
    <w:p>
      <w:pPr>
        <w:pStyle w:val="LOnormal"/>
        <w:numPr>
          <w:ilvl w:val="0"/>
          <w:numId w:val="2"/>
        </w:numPr>
        <w:ind w:left="720" w:hanging="360"/>
        <w:jc w:val="left"/>
        <w:rPr/>
      </w:pPr>
      <w:r>
        <w:rPr>
          <w:rFonts w:eastAsia="Courier New" w:cs="Courier New" w:ascii="Courier New" w:hAnsi="Courier New"/>
        </w:rPr>
        <w:t>QD</w:t>
      </w:r>
      <w:r>
        <w:rPr>
          <w:rFonts w:eastAsia="Times New Roman" w:cs="Times New Roman" w:ascii="Times New Roman" w:hAnsi="Times New Roman"/>
          <w:sz w:val="24"/>
          <w:szCs w:val="24"/>
          <w:highlight w:val="white"/>
        </w:rPr>
        <w:t xml:space="preserve"> (quality by depth) &lt; 2.0</w:t>
      </w:r>
    </w:p>
    <w:p>
      <w:pPr>
        <w:pStyle w:val="LOnormal"/>
        <w:numPr>
          <w:ilvl w:val="0"/>
          <w:numId w:val="2"/>
        </w:numPr>
        <w:ind w:left="720" w:hanging="360"/>
        <w:jc w:val="left"/>
        <w:rPr/>
      </w:pPr>
      <w:r>
        <w:rPr>
          <w:rFonts w:eastAsia="Courier New" w:cs="Courier New" w:ascii="Courier New" w:hAnsi="Courier New"/>
        </w:rPr>
        <w:t>FS</w:t>
      </w:r>
      <w:r>
        <w:rPr>
          <w:rFonts w:eastAsia="Times New Roman" w:cs="Times New Roman" w:ascii="Times New Roman" w:hAnsi="Times New Roman"/>
          <w:sz w:val="24"/>
          <w:szCs w:val="24"/>
          <w:highlight w:val="white"/>
        </w:rPr>
        <w:t xml:space="preserve"> (Phred-scaled probability of strand bias) &gt; 60.0</w:t>
      </w:r>
    </w:p>
    <w:p>
      <w:pPr>
        <w:pStyle w:val="LOnormal"/>
        <w:numPr>
          <w:ilvl w:val="0"/>
          <w:numId w:val="2"/>
        </w:numPr>
        <w:ind w:left="720" w:hanging="360"/>
        <w:jc w:val="left"/>
        <w:rPr/>
      </w:pPr>
      <w:r>
        <w:rPr>
          <w:rFonts w:eastAsia="Courier New" w:cs="Courier New" w:ascii="Courier New" w:hAnsi="Courier New"/>
        </w:rPr>
        <w:t>SOR</w:t>
      </w:r>
      <w:r>
        <w:rPr>
          <w:rFonts w:eastAsia="Times New Roman" w:cs="Times New Roman" w:ascii="Times New Roman" w:hAnsi="Times New Roman"/>
          <w:sz w:val="24"/>
          <w:szCs w:val="24"/>
          <w:highlight w:val="white"/>
        </w:rPr>
        <w:t xml:space="preserve"> (symmetric odds ratio) &gt; 3.0</w:t>
      </w:r>
    </w:p>
    <w:p>
      <w:pPr>
        <w:pStyle w:val="LOnormal"/>
        <w:numPr>
          <w:ilvl w:val="0"/>
          <w:numId w:val="2"/>
        </w:numPr>
        <w:ind w:left="720" w:hanging="360"/>
        <w:jc w:val="left"/>
        <w:rPr/>
      </w:pPr>
      <w:r>
        <w:rPr>
          <w:rFonts w:eastAsia="Courier New" w:cs="Courier New" w:ascii="Courier New" w:hAnsi="Courier New"/>
        </w:rPr>
        <w:t>MQRankSum</w:t>
      </w:r>
      <w:r>
        <w:rPr>
          <w:rFonts w:eastAsia="Times New Roman" w:cs="Times New Roman" w:ascii="Times New Roman" w:hAnsi="Times New Roman"/>
          <w:sz w:val="24"/>
          <w:szCs w:val="24"/>
          <w:highlight w:val="white"/>
        </w:rPr>
        <w:t xml:space="preserve"> (mapping quality rank sum) &lt; -12.5</w:t>
      </w:r>
    </w:p>
    <w:p>
      <w:pPr>
        <w:pStyle w:val="LOnormal"/>
        <w:numPr>
          <w:ilvl w:val="0"/>
          <w:numId w:val="2"/>
        </w:numPr>
        <w:ind w:left="720" w:hanging="360"/>
        <w:jc w:val="left"/>
        <w:rPr/>
      </w:pPr>
      <w:r>
        <w:rPr>
          <w:rFonts w:eastAsia="Courier New" w:cs="Courier New" w:ascii="Courier New" w:hAnsi="Courier New"/>
        </w:rPr>
        <w:t>ReadPosRankSum</w:t>
      </w:r>
      <w:r>
        <w:rPr>
          <w:rFonts w:eastAsia="Times New Roman" w:cs="Times New Roman" w:ascii="Times New Roman" w:hAnsi="Times New Roman"/>
          <w:sz w:val="24"/>
          <w:szCs w:val="24"/>
          <w:highlight w:val="white"/>
        </w:rPr>
        <w:t xml:space="preserve"> (read position rank sum) &lt; -8.0</w:t>
      </w:r>
    </w:p>
    <w:p>
      <w:pPr>
        <w:pStyle w:val="LOnormal"/>
        <w:numPr>
          <w:ilvl w:val="0"/>
          <w:numId w:val="2"/>
        </w:numPr>
        <w:ind w:left="720" w:hanging="360"/>
        <w:jc w:val="left"/>
        <w:rPr/>
      </w:pPr>
      <w:r>
        <w:rPr>
          <w:rFonts w:eastAsia="Courier New" w:cs="Courier New" w:ascii="Courier New" w:hAnsi="Courier New"/>
        </w:rPr>
        <w:t>ExcessHet</w:t>
      </w:r>
      <w:r>
        <w:rPr>
          <w:rFonts w:eastAsia="Times New Roman" w:cs="Times New Roman" w:ascii="Times New Roman" w:hAnsi="Times New Roman"/>
          <w:sz w:val="24"/>
          <w:szCs w:val="24"/>
          <w:highlight w:val="white"/>
        </w:rPr>
        <w:t xml:space="preserve"> (Phred-scaled p-value for exact test of excess heterozygosity) &gt; 54.69</w:t>
      </w:r>
    </w:p>
    <w:p>
      <w:pPr>
        <w:pStyle w:val="LOnormal"/>
        <w:numPr>
          <w:ilvl w:val="0"/>
          <w:numId w:val="2"/>
        </w:numPr>
        <w:ind w:left="720" w:hanging="360"/>
        <w:jc w:val="left"/>
        <w:rPr/>
      </w:pPr>
      <w:r>
        <w:rPr>
          <w:rFonts w:eastAsia="Courier New" w:cs="Courier New" w:ascii="Courier New" w:hAnsi="Courier New"/>
        </w:rPr>
        <w:t>QUAL</w:t>
      </w:r>
      <w:r>
        <w:rPr>
          <w:rFonts w:eastAsia="Times New Roman" w:cs="Times New Roman" w:ascii="Times New Roman" w:hAnsi="Times New Roman"/>
          <w:sz w:val="24"/>
          <w:szCs w:val="24"/>
          <w:highlight w:val="white"/>
        </w:rPr>
        <w:t xml:space="preserve"> (Phred-scaled variant quality) &lt; 50.0</w:t>
      </w:r>
    </w:p>
    <w:p>
      <w:pPr>
        <w:pStyle w:val="LOnormal"/>
        <w:ind w:left="720" w:hanging="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jc w:val="left"/>
        <w:rPr/>
      </w:pPr>
      <w:r>
        <w:rPr>
          <w:rFonts w:eastAsia="Times New Roman" w:cs="Times New Roman" w:ascii="Times New Roman" w:hAnsi="Times New Roman"/>
          <w:sz w:val="24"/>
          <w:szCs w:val="24"/>
          <w:highlight w:val="white"/>
        </w:rPr>
        <w:t>Similarly, Indels were filtered out according to the following conditions:</w:t>
      </w:r>
    </w:p>
    <w:p>
      <w:pPr>
        <w:pStyle w:val="LOnormal"/>
        <w:numPr>
          <w:ilvl w:val="0"/>
          <w:numId w:val="3"/>
        </w:numPr>
        <w:ind w:left="720" w:hanging="360"/>
        <w:jc w:val="left"/>
        <w:rPr/>
      </w:pPr>
      <w:r>
        <w:rPr>
          <w:rFonts w:eastAsia="Courier New" w:cs="Courier New" w:ascii="Courier New" w:hAnsi="Courier New"/>
        </w:rPr>
        <w:t>QD</w:t>
      </w:r>
      <w:r>
        <w:rPr>
          <w:rFonts w:eastAsia="Times New Roman" w:cs="Times New Roman" w:ascii="Times New Roman" w:hAnsi="Times New Roman"/>
          <w:sz w:val="24"/>
          <w:szCs w:val="24"/>
          <w:highlight w:val="white"/>
        </w:rPr>
        <w:t xml:space="preserve"> (quality by depth) &lt; 2.0</w:t>
      </w:r>
    </w:p>
    <w:p>
      <w:pPr>
        <w:pStyle w:val="LOnormal"/>
        <w:keepNext w:val="false"/>
        <w:keepLines w:val="false"/>
        <w:widowControl/>
        <w:numPr>
          <w:ilvl w:val="0"/>
          <w:numId w:val="3"/>
        </w:numPr>
        <w:shd w:val="clear" w:fill="auto"/>
        <w:spacing w:lineRule="auto" w:line="276" w:before="0" w:after="0"/>
        <w:ind w:left="720" w:right="0" w:hanging="360"/>
        <w:jc w:val="left"/>
        <w:rPr/>
      </w:pPr>
      <w:r>
        <w:rPr>
          <w:rFonts w:eastAsia="Courier New" w:cs="Courier New" w:ascii="Courier New" w:hAnsi="Courier New"/>
        </w:rPr>
        <w:t>FS</w:t>
      </w:r>
      <w:r>
        <w:rPr>
          <w:rFonts w:eastAsia="Times New Roman" w:cs="Times New Roman" w:ascii="Times New Roman" w:hAnsi="Times New Roman"/>
          <w:sz w:val="24"/>
          <w:szCs w:val="24"/>
          <w:highlight w:val="white"/>
        </w:rPr>
        <w:t xml:space="preserve"> (Phred-scaled probability of strand bias) &gt; 200.0</w:t>
      </w:r>
    </w:p>
    <w:p>
      <w:pPr>
        <w:pStyle w:val="LOnormal"/>
        <w:numPr>
          <w:ilvl w:val="0"/>
          <w:numId w:val="3"/>
        </w:numPr>
        <w:ind w:left="720" w:hanging="360"/>
        <w:jc w:val="left"/>
        <w:rPr/>
      </w:pPr>
      <w:r>
        <w:rPr>
          <w:rFonts w:eastAsia="Courier New" w:cs="Courier New" w:ascii="Courier New" w:hAnsi="Courier New"/>
        </w:rPr>
        <w:t>ReadPosRankSum</w:t>
      </w:r>
      <w:r>
        <w:rPr>
          <w:rFonts w:eastAsia="Times New Roman" w:cs="Times New Roman" w:ascii="Times New Roman" w:hAnsi="Times New Roman"/>
          <w:sz w:val="24"/>
          <w:szCs w:val="24"/>
          <w:highlight w:val="white"/>
        </w:rPr>
        <w:t xml:space="preserve"> (read position rank sum) &lt; -20.0</w:t>
      </w:r>
    </w:p>
    <w:p>
      <w:pPr>
        <w:pStyle w:val="LOnormal"/>
        <w:numPr>
          <w:ilvl w:val="0"/>
          <w:numId w:val="3"/>
        </w:numPr>
        <w:ind w:left="720" w:hanging="360"/>
        <w:jc w:val="left"/>
        <w:rPr/>
      </w:pPr>
      <w:r>
        <w:rPr>
          <w:rFonts w:eastAsia="Courier New" w:cs="Courier New" w:ascii="Courier New" w:hAnsi="Courier New"/>
        </w:rPr>
        <w:t>ExcessHet</w:t>
      </w:r>
      <w:r>
        <w:rPr>
          <w:rFonts w:eastAsia="Times New Roman" w:cs="Times New Roman" w:ascii="Times New Roman" w:hAnsi="Times New Roman"/>
          <w:sz w:val="24"/>
          <w:szCs w:val="24"/>
          <w:highlight w:val="white"/>
        </w:rPr>
        <w:t xml:space="preserve"> (Phred-scaled p-value for exact test of excess heterozygosity) &gt; 54.69</w:t>
      </w:r>
    </w:p>
    <w:p>
      <w:pPr>
        <w:pStyle w:val="LOnormal"/>
        <w:numPr>
          <w:ilvl w:val="0"/>
          <w:numId w:val="3"/>
        </w:numPr>
        <w:ind w:left="720" w:hanging="360"/>
        <w:jc w:val="left"/>
        <w:rPr/>
      </w:pPr>
      <w:r>
        <w:rPr>
          <w:rFonts w:eastAsia="Courier New" w:cs="Courier New" w:ascii="Courier New" w:hAnsi="Courier New"/>
        </w:rPr>
        <w:t>QUAL</w:t>
      </w:r>
      <w:r>
        <w:rPr>
          <w:rFonts w:eastAsia="Times New Roman" w:cs="Times New Roman" w:ascii="Times New Roman" w:hAnsi="Times New Roman"/>
          <w:sz w:val="24"/>
          <w:szCs w:val="24"/>
          <w:highlight w:val="white"/>
        </w:rPr>
        <w:t xml:space="preserve"> (Phred-scaled quality) &lt; 50.0</w:t>
      </w:r>
    </w:p>
    <w:p>
      <w:pPr>
        <w:pStyle w:val="LOnormal"/>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keepNext w:val="false"/>
        <w:keepLines w:val="false"/>
        <w:widowControl/>
        <w:shd w:val="clear" w:fill="auto"/>
        <w:spacing w:lineRule="auto" w:line="276" w:before="0" w:after="0"/>
        <w:ind w:left="0" w:right="0" w:hanging="0"/>
        <w:jc w:val="left"/>
        <w:rPr/>
      </w:pPr>
      <w:r>
        <w:rPr>
          <w:rFonts w:eastAsia="Times New Roman" w:cs="Times New Roman" w:ascii="Times New Roman" w:hAnsi="Times New Roman"/>
          <w:sz w:val="24"/>
          <w:szCs w:val="24"/>
          <w:highlight w:val="white"/>
        </w:rPr>
        <w:t xml:space="preserve">All threshold values were adopted from </w:t>
      </w:r>
      <w:r>
        <w:rPr>
          <w:rFonts w:eastAsia="Courier New" w:cs="Courier New" w:ascii="Courier New" w:hAnsi="Courier New"/>
        </w:rPr>
        <w:t>GATK</w:t>
      </w:r>
      <w:r>
        <w:rPr>
          <w:rFonts w:eastAsia="Times New Roman" w:cs="Times New Roman" w:ascii="Times New Roman" w:hAnsi="Times New Roman"/>
          <w:sz w:val="24"/>
          <w:szCs w:val="24"/>
          <w:highlight w:val="white"/>
        </w:rPr>
        <w:t xml:space="preserve"> Best Practices for hard filtering and recommended values, except for the increased threshold for the </w:t>
      </w:r>
      <w:r>
        <w:rPr>
          <w:rFonts w:eastAsia="Courier New" w:cs="Courier New" w:ascii="Courier New" w:hAnsi="Courier New"/>
        </w:rPr>
        <w:t>QUAL</w:t>
      </w:r>
      <w:r>
        <w:rPr>
          <w:rFonts w:eastAsia="Times New Roman" w:cs="Times New Roman" w:ascii="Times New Roman" w:hAnsi="Times New Roman"/>
          <w:sz w:val="24"/>
          <w:szCs w:val="24"/>
          <w:highlight w:val="white"/>
        </w:rPr>
        <w:t xml:space="preserve"> filter. </w:t>
      </w:r>
    </w:p>
    <w:p>
      <w:pPr>
        <w:pStyle w:val="LOnormal"/>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jc w:val="left"/>
        <w:rPr/>
      </w:pPr>
      <w:r>
        <w:rPr>
          <w:rFonts w:eastAsia="Times New Roman" w:cs="Times New Roman" w:ascii="Times New Roman" w:hAnsi="Times New Roman"/>
          <w:sz w:val="24"/>
          <w:szCs w:val="24"/>
          <w:highlight w:val="white"/>
        </w:rPr>
        <w:t xml:space="preserve">Filtered SNPs and indels were combined for each genome interval back to a single VCF file with </w:t>
      </w:r>
      <w:r>
        <w:rPr>
          <w:rFonts w:eastAsia="Courier New" w:cs="Courier New" w:ascii="Courier New" w:hAnsi="Courier New"/>
        </w:rPr>
        <w:t>bcftools</w:t>
      </w:r>
      <w:r>
        <w:rPr>
          <w:rFonts w:eastAsia="Times New Roman" w:cs="Times New Roman" w:ascii="Times New Roman" w:hAnsi="Times New Roman"/>
          <w:sz w:val="24"/>
          <w:szCs w:val="24"/>
          <w:highlight w:val="white"/>
        </w:rPr>
        <w:t xml:space="preserve"> </w:t>
      </w:r>
      <w:r>
        <w:rPr>
          <w:rFonts w:eastAsia="Courier New" w:cs="Courier New" w:ascii="Courier New" w:hAnsi="Courier New"/>
        </w:rPr>
        <w:t>concat</w:t>
      </w:r>
      <w:r>
        <w:rPr>
          <w:rFonts w:eastAsia="Times New Roman" w:cs="Times New Roman" w:ascii="Times New Roman" w:hAnsi="Times New Roman"/>
          <w:sz w:val="24"/>
          <w:szCs w:val="24"/>
          <w:highlight w:val="white"/>
        </w:rPr>
        <w:t xml:space="preserve">; the final callset was constructed by concatenating individual interval files and then restricting the resulting single file to the target genome intervals. Variant Quality Score Recalibration (VQSR) filters were implemented for SNPs and indels with </w:t>
      </w:r>
      <w:r>
        <w:rPr>
          <w:rFonts w:eastAsia="Courier New" w:cs="Courier New" w:ascii="Courier New" w:hAnsi="Courier New"/>
        </w:rPr>
        <w:t>GATK VariantRecalibrator</w:t>
      </w:r>
      <w:r>
        <w:rPr>
          <w:rFonts w:eastAsia="Times New Roman" w:cs="Times New Roman" w:ascii="Times New Roman" w:hAnsi="Times New Roman"/>
          <w:sz w:val="24"/>
          <w:szCs w:val="24"/>
          <w:highlight w:val="white"/>
        </w:rPr>
        <w:t xml:space="preserve"> and </w:t>
      </w:r>
      <w:r>
        <w:rPr>
          <w:rFonts w:eastAsia="Courier New" w:cs="Courier New" w:ascii="Courier New" w:hAnsi="Courier New"/>
        </w:rPr>
        <w:t>ApplyRecalibration</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rPr>
        <w:t xml:space="preserve">tools. The </w:t>
      </w:r>
      <w:r>
        <w:rPr>
          <w:rFonts w:eastAsia="Times New Roman" w:cs="Times New Roman" w:ascii="Times New Roman" w:hAnsi="Times New Roman"/>
          <w:sz w:val="24"/>
          <w:szCs w:val="24"/>
          <w:highlight w:val="white"/>
        </w:rPr>
        <w:t xml:space="preserve">tranche sensitivity threshold for both SNP and Indels was selected as 99.5%, for the indels the </w:t>
      </w:r>
      <w:r>
        <w:rPr>
          <w:rFonts w:eastAsia="Courier New" w:cs="Courier New" w:ascii="Courier New" w:hAnsi="Courier New"/>
        </w:rPr>
        <w:t>maxGaussian</w:t>
      </w:r>
      <w:r>
        <w:rPr>
          <w:rFonts w:eastAsia="Times New Roman" w:cs="Times New Roman" w:ascii="Times New Roman" w:hAnsi="Times New Roman"/>
          <w:sz w:val="24"/>
          <w:szCs w:val="24"/>
          <w:highlight w:val="white"/>
        </w:rPr>
        <w:t xml:space="preserve"> parameter was lowered to 3 due to the low number of indels in the training set. The acquired VQSR filters were joined with hard filters for the same variants. </w:t>
      </w:r>
    </w:p>
    <w:p>
      <w:pPr>
        <w:pStyle w:val="LOnormal"/>
        <w:jc w:val="left"/>
        <w:rPr/>
      </w:pPr>
      <w:r>
        <w:rPr>
          <w:rFonts w:eastAsia="Times New Roman" w:cs="Times New Roman" w:ascii="Times New Roman" w:hAnsi="Times New Roman"/>
          <w:sz w:val="24"/>
          <w:szCs w:val="24"/>
          <w:highlight w:val="white"/>
        </w:rPr>
        <w:t xml:space="preserve">Genome low complexity regions were identified with </w:t>
      </w:r>
      <w:r>
        <w:rPr>
          <w:rFonts w:eastAsia="Courier New" w:cs="Courier New" w:ascii="Courier New" w:hAnsi="Courier New"/>
        </w:rPr>
        <w:t>SDUST</w:t>
      </w:r>
      <w:r>
        <w:rPr>
          <w:rFonts w:eastAsia="Times New Roman" w:cs="Times New Roman" w:ascii="Times New Roman" w:hAnsi="Times New Roman"/>
          <w:sz w:val="24"/>
          <w:szCs w:val="24"/>
          <w:highlight w:val="white"/>
        </w:rPr>
        <w:t xml:space="preserve"> (Morgulis </w:t>
      </w:r>
      <w:r>
        <w:rPr>
          <w:rFonts w:eastAsia="Times New Roman" w:cs="Times New Roman" w:ascii="Times New Roman" w:hAnsi="Times New Roman"/>
          <w:sz w:val="24"/>
          <w:szCs w:val="24"/>
        </w:rPr>
        <w:t xml:space="preserve">et al., </w:t>
      </w:r>
      <w:r>
        <w:rPr>
          <w:rFonts w:eastAsia="Times New Roman" w:cs="Times New Roman" w:ascii="Times New Roman" w:hAnsi="Times New Roman"/>
          <w:sz w:val="24"/>
          <w:szCs w:val="24"/>
          <w:highlight w:val="white"/>
        </w:rPr>
        <w:t xml:space="preserve">2006) at a score threshold of 30 following gnomAD practice. Variants in low complexity regions were marked with </w:t>
      </w:r>
      <w:r>
        <w:rPr>
          <w:rFonts w:eastAsia="Courier New" w:cs="Courier New" w:ascii="Courier New" w:hAnsi="Courier New"/>
        </w:rPr>
        <w:t>LowCompl</w:t>
      </w:r>
      <w:r>
        <w:rPr>
          <w:rFonts w:eastAsia="Times New Roman" w:cs="Times New Roman" w:ascii="Times New Roman" w:hAnsi="Times New Roman"/>
          <w:sz w:val="24"/>
          <w:szCs w:val="24"/>
          <w:highlight w:val="white"/>
        </w:rPr>
        <w:t xml:space="preserve"> flag. Heterozygous genotypes at multiallelic sites not involving reference allele (1/2, 2/3, etc) were set to unknown. Finally, allele counts and variant population frequencies (AN, AF, AC fields) were recalculated, variants without alternative alleles (lost e.g. due to genotype refinement) were removed, and multiallelic variants were split into biallelic variants using bcftools norm tool. This procedure generates the final VCF file with variant and genotype calls.</w:t>
      </w:r>
    </w:p>
    <w:p>
      <w:pPr>
        <w:pStyle w:val="LOnormal"/>
        <w:jc w:val="left"/>
        <w:rPr>
          <w:rFonts w:ascii="Montserrat" w:hAnsi="Montserrat" w:eastAsia="Montserrat" w:cs="Montserrat"/>
          <w:sz w:val="21"/>
          <w:szCs w:val="21"/>
          <w:highlight w:val="white"/>
        </w:rPr>
      </w:pPr>
      <w:r>
        <w:rPr>
          <w:rFonts w:eastAsia="Montserrat" w:cs="Montserrat" w:ascii="Montserrat" w:hAnsi="Montserrat"/>
          <w:sz w:val="21"/>
          <w:szCs w:val="21"/>
          <w:highlight w:val="white"/>
        </w:rPr>
      </w:r>
    </w:p>
    <w:p>
      <w:pPr>
        <w:pStyle w:val="Heading1"/>
        <w:jc w:val="left"/>
        <w:rPr/>
      </w:pPr>
      <w:bookmarkStart w:id="6" w:name="_2kdtmzbavdzy"/>
      <w:bookmarkEnd w:id="6"/>
      <w:r>
        <w:rPr/>
        <w:t xml:space="preserve">Supplementary references </w:t>
      </w:r>
    </w:p>
    <w:p>
      <w:pPr>
        <w:pStyle w:val="LOnormal"/>
        <w:spacing w:lineRule="auto" w:line="288" w:before="0" w:after="240"/>
        <w:ind w:left="0" w:hanging="0"/>
        <w:jc w:val="left"/>
        <w:rPr/>
      </w:pPr>
      <w:r>
        <w:rPr>
          <w:rFonts w:eastAsia="Times New Roman" w:cs="Times New Roman" w:ascii="Times New Roman" w:hAnsi="Times New Roman"/>
          <w:sz w:val="24"/>
          <w:szCs w:val="24"/>
        </w:rPr>
        <w:t>Andrews, S. (2010). FastQC: A Quality Control Tool for High Throughput Sequence Data. Available at: http://www.bioinformatics.babraham.ac.uk/projects/fastqc/%0A.</w:t>
      </w:r>
    </w:p>
    <w:p>
      <w:pPr>
        <w:pStyle w:val="LOnormal"/>
        <w:spacing w:lineRule="auto" w:line="288" w:before="240" w:after="240"/>
        <w:ind w:left="0" w:hanging="0"/>
        <w:jc w:val="left"/>
        <w:rPr/>
      </w:pPr>
      <w:r>
        <w:rPr>
          <w:rFonts w:eastAsia="Times New Roman" w:cs="Times New Roman" w:ascii="Times New Roman" w:hAnsi="Times New Roman"/>
          <w:sz w:val="24"/>
          <w:szCs w:val="24"/>
        </w:rPr>
        <w:t xml:space="preserve">Bolger, A. M., Lohse, M., and Usadel, B. (2014). Trimmomatic: a flexible trimmer for Illumina sequence data. </w:t>
      </w:r>
      <w:r>
        <w:rPr>
          <w:rFonts w:eastAsia="Times New Roman" w:cs="Times New Roman" w:ascii="Times New Roman" w:hAnsi="Times New Roman"/>
          <w:i/>
          <w:sz w:val="24"/>
          <w:szCs w:val="24"/>
        </w:rPr>
        <w:t>Bioinformatics</w:t>
      </w:r>
      <w:r>
        <w:rPr>
          <w:rFonts w:eastAsia="Times New Roman" w:cs="Times New Roman" w:ascii="Times New Roman" w:hAnsi="Times New Roman"/>
          <w:sz w:val="24"/>
          <w:szCs w:val="24"/>
        </w:rPr>
        <w:t xml:space="preserve"> 30, 2114–2120. doi:10.1093/bioinformatics/btu170.</w:t>
      </w:r>
    </w:p>
    <w:p>
      <w:pPr>
        <w:pStyle w:val="LOnormal"/>
        <w:spacing w:lineRule="auto" w:line="288" w:before="240" w:after="240"/>
        <w:ind w:left="0" w:hanging="0"/>
        <w:jc w:val="left"/>
        <w:rPr/>
      </w:pPr>
      <w:r>
        <w:rPr>
          <w:rFonts w:eastAsia="Times New Roman" w:cs="Times New Roman" w:ascii="Times New Roman" w:hAnsi="Times New Roman"/>
          <w:sz w:val="24"/>
          <w:szCs w:val="24"/>
        </w:rPr>
        <w:t>Broad Institute, G. R. (2018). Picard Toolkit. Available at: http://broadinstitute.github.io/picard/.</w:t>
      </w:r>
    </w:p>
    <w:p>
      <w:pPr>
        <w:pStyle w:val="LOnormal"/>
        <w:spacing w:lineRule="auto" w:line="288" w:before="240" w:after="240"/>
        <w:ind w:left="0" w:hanging="0"/>
        <w:jc w:val="left"/>
        <w:rPr/>
      </w:pPr>
      <w:r>
        <w:rPr>
          <w:rFonts w:eastAsia="Times New Roman" w:cs="Times New Roman" w:ascii="Times New Roman" w:hAnsi="Times New Roman"/>
          <w:sz w:val="24"/>
          <w:szCs w:val="24"/>
        </w:rPr>
        <w:t xml:space="preserve">Flickinger, M., Jun, G., Abecasis, G. R., Boehnke, M., and Kang, H. M. (2015). Correcting for Sample Contamination in Genotype Calling of DNA Sequence Data. </w:t>
      </w:r>
      <w:r>
        <w:rPr>
          <w:rFonts w:eastAsia="Times New Roman" w:cs="Times New Roman" w:ascii="Times New Roman" w:hAnsi="Times New Roman"/>
          <w:i/>
          <w:sz w:val="24"/>
          <w:szCs w:val="24"/>
        </w:rPr>
        <w:t>Am. J. Hum. Genet.</w:t>
      </w:r>
      <w:r>
        <w:rPr>
          <w:rFonts w:eastAsia="Times New Roman" w:cs="Times New Roman" w:ascii="Times New Roman" w:hAnsi="Times New Roman"/>
          <w:sz w:val="24"/>
          <w:szCs w:val="24"/>
        </w:rPr>
        <w:t xml:space="preserve"> 97, 284–290. doi:10.1016/j.ajhg.2015.07.002.</w:t>
      </w:r>
    </w:p>
    <w:p>
      <w:pPr>
        <w:pStyle w:val="LOnormal"/>
        <w:spacing w:lineRule="auto" w:line="288" w:before="240" w:after="240"/>
        <w:ind w:left="0" w:hanging="0"/>
        <w:jc w:val="left"/>
        <w:rPr/>
      </w:pPr>
      <w:r>
        <w:rPr>
          <w:rFonts w:eastAsia="Times New Roman" w:cs="Times New Roman" w:ascii="Times New Roman" w:hAnsi="Times New Roman"/>
          <w:sz w:val="24"/>
          <w:szCs w:val="24"/>
        </w:rPr>
        <w:t xml:space="preserve">Kish, L. (1965). Survey Sampling. </w:t>
      </w:r>
      <w:r>
        <w:rPr>
          <w:rFonts w:eastAsia="Times New Roman" w:cs="Times New Roman" w:ascii="Times New Roman" w:hAnsi="Times New Roman"/>
          <w:i/>
          <w:sz w:val="24"/>
          <w:szCs w:val="24"/>
        </w:rPr>
        <w:t>John Wiley Sons</w:t>
      </w:r>
      <w:r>
        <w:rPr>
          <w:rFonts w:eastAsia="Times New Roman" w:cs="Times New Roman" w:ascii="Times New Roman" w:hAnsi="Times New Roman"/>
          <w:sz w:val="24"/>
          <w:szCs w:val="24"/>
        </w:rPr>
        <w:t>.</w:t>
      </w:r>
    </w:p>
    <w:p>
      <w:pPr>
        <w:pStyle w:val="LOnormal"/>
        <w:spacing w:lineRule="auto" w:line="288" w:before="240" w:after="240"/>
        <w:ind w:left="0" w:hanging="0"/>
        <w:jc w:val="left"/>
        <w:rPr/>
      </w:pPr>
      <w:r>
        <w:rPr>
          <w:rFonts w:eastAsia="Times New Roman" w:cs="Times New Roman" w:ascii="Times New Roman" w:hAnsi="Times New Roman"/>
          <w:sz w:val="24"/>
          <w:szCs w:val="24"/>
        </w:rPr>
        <w:t xml:space="preserve">Li, H., and Durbin, R. (2009). Fast and accurate short read alignment with Burrows-Wheeler transform. </w:t>
      </w:r>
      <w:r>
        <w:rPr>
          <w:rFonts w:eastAsia="Times New Roman" w:cs="Times New Roman" w:ascii="Times New Roman" w:hAnsi="Times New Roman"/>
          <w:i/>
          <w:sz w:val="24"/>
          <w:szCs w:val="24"/>
        </w:rPr>
        <w:t>Bioinformatics</w:t>
      </w:r>
      <w:r>
        <w:rPr>
          <w:rFonts w:eastAsia="Times New Roman" w:cs="Times New Roman" w:ascii="Times New Roman" w:hAnsi="Times New Roman"/>
          <w:sz w:val="24"/>
          <w:szCs w:val="24"/>
        </w:rPr>
        <w:t xml:space="preserve"> 25, 1754–1760. doi:10.1093/bioinformatics/btp324.</w:t>
      </w:r>
    </w:p>
    <w:p>
      <w:pPr>
        <w:pStyle w:val="LOnormal"/>
        <w:spacing w:lineRule="auto" w:line="288" w:before="240" w:after="240"/>
        <w:ind w:left="0" w:hanging="0"/>
        <w:jc w:val="left"/>
        <w:rPr/>
      </w:pPr>
      <w:r>
        <w:rPr>
          <w:rFonts w:eastAsia="Times New Roman" w:cs="Times New Roman" w:ascii="Times New Roman" w:hAnsi="Times New Roman"/>
          <w:sz w:val="24"/>
          <w:szCs w:val="24"/>
        </w:rPr>
        <w:t xml:space="preserve">Morgulis, A., Gertz, E. M., Schäffer, A. A., and Agarwala, R. (2006). A Fast and Symmetric DUST Implementation to Mask Low-Complexity DNA Sequences. </w:t>
      </w:r>
      <w:r>
        <w:rPr>
          <w:rFonts w:eastAsia="Times New Roman" w:cs="Times New Roman" w:ascii="Times New Roman" w:hAnsi="Times New Roman"/>
          <w:i/>
          <w:sz w:val="24"/>
          <w:szCs w:val="24"/>
        </w:rPr>
        <w:t>J. Comput. Biol.</w:t>
      </w:r>
      <w:r>
        <w:rPr>
          <w:rFonts w:eastAsia="Times New Roman" w:cs="Times New Roman" w:ascii="Times New Roman" w:hAnsi="Times New Roman"/>
          <w:sz w:val="24"/>
          <w:szCs w:val="24"/>
        </w:rPr>
        <w:t xml:space="preserve"> 13, 1028–1040. doi:10.1089/cmb.2006.13.1028.</w:t>
      </w:r>
    </w:p>
    <w:p>
      <w:pPr>
        <w:pStyle w:val="LOnormal"/>
        <w:keepNext w:val="false"/>
        <w:keepLines w:val="false"/>
        <w:widowControl/>
        <w:shd w:val="clear" w:fill="auto"/>
        <w:spacing w:lineRule="auto" w:line="288" w:before="240" w:after="240"/>
        <w:ind w:left="0" w:right="0" w:hanging="0"/>
        <w:jc w:val="left"/>
        <w:rPr/>
      </w:pPr>
      <w:r>
        <w:rPr>
          <w:rFonts w:eastAsia="Times New Roman" w:cs="Times New Roman" w:ascii="Times New Roman" w:hAnsi="Times New Roman"/>
          <w:sz w:val="24"/>
          <w:szCs w:val="24"/>
        </w:rPr>
        <w:t xml:space="preserve">Poplin, R., Ruano-Rubio, V., DePristo, M., Fennell, T., Carneiro, M., Van der Auwera, G., et al. (2017). Scaling accurate genetic variant discovery to tens of thousands of samples. </w:t>
      </w:r>
      <w:r>
        <w:rPr>
          <w:rFonts w:eastAsia="Times New Roman" w:cs="Times New Roman" w:ascii="Times New Roman" w:hAnsi="Times New Roman"/>
          <w:i/>
          <w:sz w:val="24"/>
          <w:szCs w:val="24"/>
        </w:rPr>
        <w:t>bioRxiv</w:t>
      </w:r>
      <w:r>
        <w:rPr>
          <w:rFonts w:eastAsia="Times New Roman" w:cs="Times New Roman" w:ascii="Times New Roman" w:hAnsi="Times New Roman"/>
          <w:sz w:val="24"/>
          <w:szCs w:val="24"/>
        </w:rPr>
        <w:t>. doi:10.1101/201178.</w:t>
      </w:r>
    </w:p>
    <w:p>
      <w:pPr>
        <w:pStyle w:val="LOnormal"/>
        <w:keepNext w:val="false"/>
        <w:keepLines w:val="false"/>
        <w:widowControl/>
        <w:shd w:val="clear" w:fill="auto"/>
        <w:spacing w:lineRule="auto" w:line="288" w:before="240" w:after="240"/>
        <w:ind w:left="0" w:right="0" w:hanging="0"/>
        <w:jc w:val="left"/>
        <w:rPr/>
      </w:pPr>
      <w:r>
        <w:rPr/>
      </w:r>
    </w:p>
    <w:sectPr>
      <w:headerReference w:type="even" r:id="rId2"/>
      <w:headerReference w:type="default" r:id="rId3"/>
      <w:headerReference w:type="first" r:id="rId4"/>
      <w:footerReference w:type="even" r:id="rId5"/>
      <w:footerReference w:type="default" r:id="rId6"/>
      <w:type w:val="nextPage"/>
      <w:pgSz w:w="12240" w:h="15840"/>
      <w:pgMar w:left="1282" w:right="1181" w:header="720" w:top="1138" w:footer="720" w:bottom="113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240"/>
      <w:rPr>
        <w:color w:val="C00000"/>
        <w:szCs w:val="24"/>
      </w:rPr>
    </w:pPr>
    <w:r>
      <w:rPr>
        <w:color w:val="C00000"/>
        <w:szCs w:val="24"/>
      </w:rPr>
      <mc:AlternateContent>
        <mc:Choice Requires="wps">
          <w:drawing>
            <wp:anchor behindDoc="1" distT="0" distB="0" distL="0" distR="0" simplePos="0" locked="0" layoutInCell="1" allowOverlap="1" relativeHeight="7" wp14:anchorId="382EAD14">
              <wp:simplePos x="0" y="0"/>
              <wp:positionH relativeFrom="margin">
                <wp:align>right</wp:align>
              </wp:positionH>
              <wp:positionV relativeFrom="paragraph">
                <wp:posOffset>635</wp:posOffset>
              </wp:positionV>
              <wp:extent cx="1509395" cy="433705"/>
              <wp:effectExtent l="0" t="0" r="0" b="0"/>
              <wp:wrapNone/>
              <wp:docPr id="2" name="Text Box 1"/>
              <a:graphic xmlns:a="http://schemas.openxmlformats.org/drawingml/2006/main">
                <a:graphicData uri="http://schemas.microsoft.com/office/word/2010/wordprocessingShape">
                  <wps:wsp>
                    <wps:cNvSpPr/>
                    <wps:spPr>
                      <a:xfrm>
                        <a:off x="0" y="0"/>
                        <a:ext cx="1508760" cy="433080"/>
                      </a:xfrm>
                      <a:prstGeom prst="rect">
                        <a:avLst/>
                      </a:prstGeom>
                      <a:noFill/>
                      <a:ln w="6480">
                        <a:noFill/>
                      </a:ln>
                    </wps:spPr>
                    <wps:style>
                      <a:lnRef idx="0"/>
                      <a:fillRef idx="0"/>
                      <a:effectRef idx="0"/>
                      <a:fontRef idx="minor"/>
                    </wps:style>
                    <wps:txbx>
                      <w:txbxContent>
                        <w:p>
                          <w:pPr>
                            <w:pStyle w:val="FrameContents"/>
                            <w:spacing w:before="120" w:after="240"/>
                            <w:jc w:val="right"/>
                            <w:rPr/>
                          </w:pPr>
                          <w:r>
                            <w:rPr>
                              <w:color w:val="000000" w:themeColor="text1"/>
                              <w:szCs w:val="40"/>
                            </w:rPr>
                            <w:fldChar w:fldCharType="begin"/>
                          </w:r>
                          <w:r>
                            <w:rPr>
                              <w:szCs w:val="40"/>
                            </w:rPr>
                            <w:instrText> PAGE \* ARABIC </w:instrText>
                          </w:r>
                          <w:r>
                            <w:rPr>
                              <w:szCs w:val="40"/>
                            </w:rPr>
                            <w:fldChar w:fldCharType="separate"/>
                          </w:r>
                          <w:r>
                            <w:rPr>
                              <w:szCs w:val="40"/>
                            </w:rPr>
                            <w:t>6</w:t>
                          </w:r>
                          <w:r>
                            <w:rPr>
                              <w:szCs w:val="40"/>
                            </w:rPr>
                            <w:fldChar w:fldCharType="end"/>
                          </w:r>
                        </w:p>
                      </w:txbxContent>
                    </wps:txbx>
                    <wps:bodyPr>
                      <a:prstTxWarp prst="textNoShape"/>
                      <a:spAutoFit/>
                    </wps:bodyPr>
                  </wps:wsp>
                </a:graphicData>
              </a:graphic>
            </wp:anchor>
          </w:drawing>
        </mc:Choice>
        <mc:Fallback>
          <w:pict>
            <v:rect id="shape_0" ID="Text Box 1" stroked="f" style="position:absolute;margin-left:370pt;margin-top:0pt;width:118.75pt;height:34.05pt;mso-position-horizontal:right;mso-position-horizontal-relative:margin;mso-position-vertical:top" wp14:anchorId="382EAD14">
              <w10:wrap type="square"/>
              <v:fill o:detectmouseclick="t" on="false"/>
              <v:stroke color="#3465a4" weight="6480" joinstyle="round" endcap="flat"/>
              <v:textbox>
                <w:txbxContent>
                  <w:p>
                    <w:pPr>
                      <w:pStyle w:val="FrameContents"/>
                      <w:spacing w:before="120" w:after="240"/>
                      <w:jc w:val="right"/>
                      <w:rPr/>
                    </w:pPr>
                    <w:r>
                      <w:rPr>
                        <w:color w:val="000000" w:themeColor="text1"/>
                        <w:szCs w:val="40"/>
                      </w:rPr>
                      <w:fldChar w:fldCharType="begin"/>
                    </w:r>
                    <w:r>
                      <w:rPr>
                        <w:szCs w:val="40"/>
                      </w:rPr>
                      <w:instrText> PAGE \* ARABIC </w:instrText>
                    </w:r>
                    <w:r>
                      <w:rPr>
                        <w:szCs w:val="40"/>
                      </w:rPr>
                      <w:fldChar w:fldCharType="separate"/>
                    </w:r>
                    <w:r>
                      <w:rPr>
                        <w:szCs w:val="40"/>
                      </w:rPr>
                      <w:t>6</w:t>
                    </w:r>
                    <w:r>
                      <w:rPr>
                        <w:szCs w:val="40"/>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240"/>
      <w:rPr>
        <w:b/>
        <w:b/>
        <w:sz w:val="20"/>
        <w:szCs w:val="24"/>
      </w:rPr>
    </w:pPr>
    <w:r>
      <w:rPr>
        <w:b/>
        <w:sz w:val="20"/>
        <w:szCs w:val="24"/>
      </w:rPr>
      <mc:AlternateContent>
        <mc:Choice Requires="wps">
          <w:drawing>
            <wp:anchor behindDoc="1" distT="0" distB="0" distL="0" distR="0" simplePos="0" locked="0" layoutInCell="1" allowOverlap="1" relativeHeight="4" wp14:anchorId="70F9F55F">
              <wp:simplePos x="0" y="0"/>
              <wp:positionH relativeFrom="margin">
                <wp:align>right</wp:align>
              </wp:positionH>
              <wp:positionV relativeFrom="paragraph">
                <wp:posOffset>635</wp:posOffset>
              </wp:positionV>
              <wp:extent cx="1509395" cy="433705"/>
              <wp:effectExtent l="0" t="0" r="0" b="0"/>
              <wp:wrapNone/>
              <wp:docPr id="4" name="Text Box 56"/>
              <a:graphic xmlns:a="http://schemas.openxmlformats.org/drawingml/2006/main">
                <a:graphicData uri="http://schemas.microsoft.com/office/word/2010/wordprocessingShape">
                  <wps:wsp>
                    <wps:cNvSpPr/>
                    <wps:spPr>
                      <a:xfrm>
                        <a:off x="0" y="0"/>
                        <a:ext cx="1508760" cy="433080"/>
                      </a:xfrm>
                      <a:prstGeom prst="rect">
                        <a:avLst/>
                      </a:prstGeom>
                      <a:noFill/>
                      <a:ln w="6480">
                        <a:noFill/>
                      </a:ln>
                    </wps:spPr>
                    <wps:style>
                      <a:lnRef idx="0"/>
                      <a:fillRef idx="0"/>
                      <a:effectRef idx="0"/>
                      <a:fontRef idx="minor"/>
                    </wps:style>
                    <wps:txbx>
                      <w:txbxContent>
                        <w:p>
                          <w:pPr>
                            <w:pStyle w:val="FrameContents"/>
                            <w:spacing w:before="120" w:after="240"/>
                            <w:jc w:val="right"/>
                            <w:rPr/>
                          </w:pPr>
                          <w:r>
                            <w:rPr>
                              <w:color w:val="000000" w:themeColor="text1"/>
                              <w:szCs w:val="40"/>
                            </w:rPr>
                            <w:fldChar w:fldCharType="begin"/>
                          </w:r>
                          <w:r>
                            <w:rPr>
                              <w:szCs w:val="40"/>
                            </w:rPr>
                            <w:instrText> PAGE \* ARABIC </w:instrText>
                          </w:r>
                          <w:r>
                            <w:rPr>
                              <w:szCs w:val="40"/>
                            </w:rPr>
                            <w:fldChar w:fldCharType="separate"/>
                          </w:r>
                          <w:r>
                            <w:rPr>
                              <w:szCs w:val="40"/>
                            </w:rPr>
                            <w:t>7</w:t>
                          </w:r>
                          <w:r>
                            <w:rPr>
                              <w:szCs w:val="40"/>
                            </w:rPr>
                            <w:fldChar w:fldCharType="end"/>
                          </w:r>
                        </w:p>
                      </w:txbxContent>
                    </wps:txbx>
                    <wps:bodyPr>
                      <a:prstTxWarp prst="textNoShape"/>
                      <a:spAutoFit/>
                    </wps:bodyPr>
                  </wps:wsp>
                </a:graphicData>
              </a:graphic>
            </wp:anchor>
          </w:drawing>
        </mc:Choice>
        <mc:Fallback>
          <w:pict>
            <v:rect id="shape_0" ID="Text Box 56" stroked="f" style="position:absolute;margin-left:370pt;margin-top:0pt;width:118.75pt;height:34.05pt;mso-position-horizontal:right;mso-position-horizontal-relative:margin;mso-position-vertical:top" wp14:anchorId="70F9F55F">
              <w10:wrap type="square"/>
              <v:fill o:detectmouseclick="t" on="false"/>
              <v:stroke color="#3465a4" weight="6480" joinstyle="round" endcap="flat"/>
              <v:textbox>
                <w:txbxContent>
                  <w:p>
                    <w:pPr>
                      <w:pStyle w:val="FrameContents"/>
                      <w:spacing w:before="120" w:after="240"/>
                      <w:jc w:val="right"/>
                      <w:rPr/>
                    </w:pPr>
                    <w:r>
                      <w:rPr>
                        <w:color w:val="000000" w:themeColor="text1"/>
                        <w:szCs w:val="40"/>
                      </w:rPr>
                      <w:fldChar w:fldCharType="begin"/>
                    </w:r>
                    <w:r>
                      <w:rPr>
                        <w:szCs w:val="40"/>
                      </w:rPr>
                      <w:instrText> PAGE \* ARABIC </w:instrText>
                    </w:r>
                    <w:r>
                      <w:rPr>
                        <w:szCs w:val="40"/>
                      </w:rPr>
                      <w:fldChar w:fldCharType="separate"/>
                    </w:r>
                    <w:r>
                      <w:rPr>
                        <w:szCs w:val="40"/>
                      </w:rPr>
                      <w:t>7</w:t>
                    </w:r>
                    <w:r>
                      <w:rPr>
                        <w:szCs w:val="40"/>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120" w:after="240"/>
      <w:jc w:val="left"/>
      <w:rPr>
        <w:rFonts w:cs="Times New Roman"/>
      </w:rPr>
    </w:pPr>
    <w:r>
      <w:rPr>
        <w:rFonts w:cs="Times New Roman"/>
      </w:rPr>
      <w:tab/>
      <w:tab/>
      <w:t>Supplementary Material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844" w:leader="none"/>
        <w:tab w:val="right" w:pos="9689" w:leader="none"/>
      </w:tabs>
      <w:spacing w:before="120" w:after="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120" w:after="240"/>
      <w:jc w:val="left"/>
      <w:rPr/>
    </w:pPr>
    <w:r>
      <w:rPr/>
      <w:drawing>
        <wp:inline distT="0" distB="0" distL="0" distR="0">
          <wp:extent cx="1382395" cy="497205"/>
          <wp:effectExtent l="0" t="0" r="0" b="0"/>
          <wp:docPr id="1"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stretch>
                    <a:fillRect/>
                  </a:stretch>
                </pic:blipFill>
                <pic:spPr bwMode="auto">
                  <a:xfrm>
                    <a:off x="0" y="0"/>
                    <a:ext cx="1382395" cy="497205"/>
                  </a:xfrm>
                  <a:prstGeom prst="rect">
                    <a:avLst/>
                  </a:prstGeom>
                </pic:spPr>
              </pic:pic>
            </a:graphicData>
          </a:graphic>
        </wp:inline>
      </w:drawing>
    </w:r>
    <w:r>
      <w:rPr>
        <w:b/>
      </w:rPr>
      <w:tab/>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567"/>
        </w:tabs>
        <w:ind w:left="567" w:hanging="567"/>
      </w:pPr>
    </w:lvl>
    <w:lvl w:ilvl="1">
      <w:start w:val="1"/>
      <w:pStyle w:val="Heading2"/>
      <w:numFmt w:val="decimal"/>
      <w:lvlText w:val="%1.%2"/>
      <w:lvlJc w:val="left"/>
      <w:pPr>
        <w:tabs>
          <w:tab w:val="num" w:pos="567"/>
        </w:tabs>
        <w:ind w:left="567" w:hanging="567"/>
      </w:pPr>
    </w:lvl>
    <w:lvl w:ilvl="2">
      <w:start w:val="1"/>
      <w:pStyle w:val="Heading3"/>
      <w:numFmt w:val="decimal"/>
      <w:lvlText w:val="%1.%2.%3"/>
      <w:lvlJc w:val="left"/>
      <w:pPr>
        <w:tabs>
          <w:tab w:val="num" w:pos="567"/>
        </w:tabs>
        <w:ind w:left="567" w:hanging="567"/>
      </w:pPr>
    </w:lvl>
    <w:lvl w:ilvl="3">
      <w:start w:val="1"/>
      <w:pStyle w:val="Heading4"/>
      <w:numFmt w:val="decimal"/>
      <w:lvlText w:val="%1.%2.%3.%4"/>
      <w:lvlJc w:val="left"/>
      <w:pPr>
        <w:tabs>
          <w:tab w:val="num" w:pos="567"/>
        </w:tabs>
        <w:ind w:left="567" w:hanging="567"/>
      </w:pPr>
    </w:lvl>
    <w:lvl w:ilvl="4">
      <w:start w:val="1"/>
      <w:pStyle w:val="Heading5"/>
      <w:numFmt w:val="decimal"/>
      <w:lvlText w:val="%1.%2.%3.%4.%5"/>
      <w:lvlJc w:val="left"/>
      <w:pPr>
        <w:tabs>
          <w:tab w:val="num" w:pos="567"/>
        </w:tabs>
        <w:ind w:left="567" w:hanging="567"/>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b6715"/>
    <w:pPr>
      <w:widowControl/>
      <w:bidi w:val="0"/>
      <w:spacing w:lineRule="auto" w:line="240" w:before="120" w:after="240"/>
      <w:jc w:val="left"/>
    </w:pPr>
    <w:rPr>
      <w:rFonts w:ascii="Times New Roman" w:hAnsi="Times New Roman" w:eastAsia="Calibri" w:cs="" w:cstheme="minorBidi" w:eastAsiaTheme="minorHAnsi"/>
      <w:color w:val="auto"/>
      <w:kern w:val="0"/>
      <w:sz w:val="24"/>
      <w:szCs w:val="22"/>
      <w:lang w:val="en-US" w:eastAsia="en-US" w:bidi="ar-SA"/>
    </w:rPr>
  </w:style>
  <w:style w:type="paragraph" w:styleId="Heading1">
    <w:name w:val="Heading 1"/>
    <w:next w:val="Normal"/>
    <w:link w:val="Heading1Char"/>
    <w:uiPriority w:val="2"/>
    <w:qFormat/>
    <w:rsid w:val="00ab6715"/>
    <w:pPr>
      <w:widowControl/>
      <w:numPr>
        <w:ilvl w:val="0"/>
        <w:numId w:val="1"/>
      </w:numPr>
      <w:bidi w:val="0"/>
      <w:spacing w:before="240" w:after="200" w:lineRule="auto" w:line="276"/>
      <w:jc w:val="left"/>
      <w:outlineLvl w:val="0"/>
    </w:pPr>
    <w:rPr>
      <w:rFonts w:ascii="Calibri" w:hAnsi="Calibri" w:eastAsia="Calibri" w:cs="" w:asciiTheme="minorHAnsi" w:cstheme="minorBidi" w:eastAsiaTheme="minorHAnsi" w:hAnsiTheme="minorHAnsi"/>
      <w:b/>
      <w:color w:val="auto"/>
      <w:kern w:val="0"/>
      <w:sz w:val="24"/>
      <w:szCs w:val="22"/>
      <w:lang w:val="en-US" w:eastAsia="en-US" w:bidi="ar-SA"/>
    </w:rPr>
  </w:style>
  <w:style w:type="paragraph" w:styleId="Heading2">
    <w:name w:val="Heading 2"/>
    <w:basedOn w:val="Heading1"/>
    <w:next w:val="Normal"/>
    <w:link w:val="Heading2Char"/>
    <w:uiPriority w:val="2"/>
    <w:qFormat/>
    <w:rsid w:val="00ab6715"/>
    <w:pPr>
      <w:numPr>
        <w:ilvl w:val="1"/>
        <w:numId w:val="1"/>
      </w:numPr>
      <w:spacing w:before="240" w:after="200"/>
      <w:outlineLvl w:val="1"/>
    </w:pPr>
    <w:rPr/>
  </w:style>
  <w:style w:type="paragraph" w:styleId="Heading3">
    <w:name w:val="Heading 3"/>
    <w:basedOn w:val="Normal"/>
    <w:next w:val="Normal"/>
    <w:link w:val="Heading3Char"/>
    <w:uiPriority w:val="2"/>
    <w:qFormat/>
    <w:rsid w:val="00ab6715"/>
    <w:pPr>
      <w:keepNext w:val="true"/>
      <w:keepLines/>
      <w:numPr>
        <w:ilvl w:val="2"/>
        <w:numId w:val="1"/>
      </w:numPr>
      <w:spacing w:before="40" w:after="120"/>
      <w:outlineLvl w:val="2"/>
    </w:pPr>
    <w:rPr>
      <w:rFonts w:eastAsia="" w:cs="" w:cstheme="majorBidi" w:eastAsiaTheme="majorEastAsia"/>
      <w:b/>
      <w:szCs w:val="24"/>
    </w:rPr>
  </w:style>
  <w:style w:type="paragraph" w:styleId="Heading4">
    <w:name w:val="Heading 4"/>
    <w:basedOn w:val="Heading3"/>
    <w:next w:val="Normal"/>
    <w:link w:val="Heading4Char"/>
    <w:uiPriority w:val="2"/>
    <w:qFormat/>
    <w:rsid w:val="00ab6715"/>
    <w:pPr>
      <w:numPr>
        <w:ilvl w:val="3"/>
        <w:numId w:val="1"/>
      </w:numPr>
      <w:outlineLvl w:val="3"/>
    </w:pPr>
    <w:rPr>
      <w:iCs/>
    </w:rPr>
  </w:style>
  <w:style w:type="paragraph" w:styleId="Heading5">
    <w:name w:val="Heading 5"/>
    <w:basedOn w:val="Heading4"/>
    <w:next w:val="Normal"/>
    <w:link w:val="Heading5Char"/>
    <w:uiPriority w:val="2"/>
    <w:qFormat/>
    <w:rsid w:val="00ab6715"/>
    <w:pPr>
      <w:numPr>
        <w:ilvl w:val="4"/>
        <w:numId w:val="1"/>
      </w:numPr>
      <w:outlineLvl w:val="4"/>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2"/>
    <w:qFormat/>
    <w:rsid w:val="00ab6715"/>
    <w:rPr>
      <w:rFonts w:ascii="Times New Roman" w:hAnsi="Times New Roman" w:eastAsia="Cambria" w:cs="Times New Roman"/>
      <w:b/>
      <w:sz w:val="24"/>
      <w:szCs w:val="24"/>
    </w:rPr>
  </w:style>
  <w:style w:type="character" w:styleId="Heading2Char" w:customStyle="1">
    <w:name w:val="Heading 2 Char"/>
    <w:basedOn w:val="DefaultParagraphFont"/>
    <w:link w:val="Heading2"/>
    <w:uiPriority w:val="2"/>
    <w:qFormat/>
    <w:rsid w:val="00ab6715"/>
    <w:rPr>
      <w:rFonts w:ascii="Times New Roman" w:hAnsi="Times New Roman" w:eastAsia="Cambria" w:cs="Times New Roman"/>
      <w:b/>
      <w:sz w:val="24"/>
      <w:szCs w:val="24"/>
    </w:rPr>
  </w:style>
  <w:style w:type="character" w:styleId="SubtitleChar" w:customStyle="1">
    <w:name w:val="Subtitle Char"/>
    <w:basedOn w:val="DefaultParagraphFont"/>
    <w:link w:val="Subtitle"/>
    <w:uiPriority w:val="99"/>
    <w:qFormat/>
    <w:rsid w:val="00ab6715"/>
    <w:rPr>
      <w:rFonts w:ascii="Times New Roman" w:hAnsi="Times New Roman" w:cs="Times New Roman"/>
      <w:b/>
      <w:sz w:val="24"/>
      <w:szCs w:val="24"/>
    </w:rPr>
  </w:style>
  <w:style w:type="character" w:styleId="BalloonTextChar" w:customStyle="1">
    <w:name w:val="Balloon Text Char"/>
    <w:basedOn w:val="DefaultParagraphFont"/>
    <w:link w:val="BalloonText"/>
    <w:uiPriority w:val="99"/>
    <w:semiHidden/>
    <w:qFormat/>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character" w:styleId="Annotationreference">
    <w:name w:val="annotation reference"/>
    <w:basedOn w:val="DefaultParagraphFont"/>
    <w:uiPriority w:val="99"/>
    <w:semiHidden/>
    <w:unhideWhenUsed/>
    <w:qFormat/>
    <w:rsid w:val="00ab6715"/>
    <w:rPr>
      <w:sz w:val="16"/>
      <w:szCs w:val="16"/>
    </w:rPr>
  </w:style>
  <w:style w:type="character" w:styleId="CommentTextChar" w:customStyle="1">
    <w:name w:val="Comment Text Char"/>
    <w:basedOn w:val="DefaultParagraphFont"/>
    <w:link w:val="CommentText"/>
    <w:uiPriority w:val="99"/>
    <w:semiHidden/>
    <w:qFormat/>
    <w:rsid w:val="00ab6715"/>
    <w:rPr>
      <w:rFonts w:ascii="Times New Roman" w:hAnsi="Times New Roman"/>
      <w:sz w:val="20"/>
      <w:szCs w:val="20"/>
    </w:rPr>
  </w:style>
  <w:style w:type="character" w:styleId="CommentSubjectChar" w:customStyle="1">
    <w:name w:val="Comment Subject Char"/>
    <w:basedOn w:val="CommentTextChar"/>
    <w:link w:val="CommentSubject"/>
    <w:uiPriority w:val="99"/>
    <w:semiHidden/>
    <w:qFormat/>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Characters">
    <w:name w:val="Endnote Characters"/>
    <w:basedOn w:val="DefaultParagraphFont"/>
    <w:uiPriority w:val="99"/>
    <w:semiHidden/>
    <w:unhideWhenUsed/>
    <w:qFormat/>
    <w:rsid w:val="00ab6715"/>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uiPriority w:val="99"/>
    <w:semiHidden/>
    <w:qFormat/>
    <w:rsid w:val="00ab6715"/>
    <w:rPr>
      <w:rFonts w:ascii="Times New Roman" w:hAnsi="Times New Roman"/>
      <w:sz w:val="20"/>
      <w:szCs w:val="20"/>
    </w:rPr>
  </w:style>
  <w:style w:type="character" w:styleId="FollowedHyperlink">
    <w:name w:val="FollowedHyperlink"/>
    <w:basedOn w:val="DefaultParagraphFont"/>
    <w:uiPriority w:val="99"/>
    <w:semiHidden/>
    <w:unhideWhenUsed/>
    <w:qFormat/>
    <w:rsid w:val="00ab6715"/>
    <w:rPr>
      <w:color w:val="800080" w:themeColor="followedHyperlink"/>
      <w:u w:val="single"/>
    </w:rPr>
  </w:style>
  <w:style w:type="character" w:styleId="FooterChar" w:customStyle="1">
    <w:name w:val="Footer Char"/>
    <w:basedOn w:val="DefaultParagraphFont"/>
    <w:link w:val="Footer"/>
    <w:uiPriority w:val="99"/>
    <w:qFormat/>
    <w:rsid w:val="00ab6715"/>
    <w:rPr>
      <w:rFonts w:ascii="Times New Roman" w:hAnsi="Times New Roman"/>
      <w:sz w:val="24"/>
    </w:rPr>
  </w:style>
  <w:style w:type="character" w:styleId="FootnoteCharacters">
    <w:name w:val="Footnote Characters"/>
    <w:basedOn w:val="DefaultParagraphFont"/>
    <w:uiPriority w:val="99"/>
    <w:semiHidden/>
    <w:unhideWhenUsed/>
    <w:qFormat/>
    <w:rsid w:val="00ab6715"/>
    <w:rPr>
      <w:vertAlign w:val="superscript"/>
    </w:rPr>
  </w:style>
  <w:style w:type="character" w:styleId="FootnoteAnchor">
    <w:name w:val="Footnote Anchor"/>
    <w:rPr>
      <w:vertAlign w:val="superscript"/>
    </w:rPr>
  </w:style>
  <w:style w:type="character" w:styleId="FootnoteTextChar" w:customStyle="1">
    <w:name w:val="Footnote Text Char"/>
    <w:basedOn w:val="DefaultParagraphFont"/>
    <w:link w:val="FootnoteText"/>
    <w:uiPriority w:val="99"/>
    <w:semiHidden/>
    <w:qFormat/>
    <w:rsid w:val="00ab6715"/>
    <w:rPr>
      <w:rFonts w:ascii="Times New Roman" w:hAnsi="Times New Roman"/>
      <w:sz w:val="20"/>
      <w:szCs w:val="20"/>
    </w:rPr>
  </w:style>
  <w:style w:type="character" w:styleId="HeaderChar" w:customStyle="1">
    <w:name w:val="Header Char"/>
    <w:basedOn w:val="DefaultParagraphFont"/>
    <w:link w:val="Header"/>
    <w:uiPriority w:val="99"/>
    <w:qFormat/>
    <w:rsid w:val="00ab6715"/>
    <w:rPr>
      <w:rFonts w:ascii="Times New Roman" w:hAnsi="Times New Roman"/>
      <w:b/>
      <w:sz w:val="24"/>
    </w:rPr>
  </w:style>
  <w:style w:type="character" w:styleId="InternetLink">
    <w:name w:val="Internet 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qFormat/>
    <w:rsid w:val="00ab6715"/>
    <w:rPr/>
  </w:style>
  <w:style w:type="character" w:styleId="Heading3Char" w:customStyle="1">
    <w:name w:val="Heading 3 Char"/>
    <w:basedOn w:val="DefaultParagraphFont"/>
    <w:link w:val="Heading3"/>
    <w:uiPriority w:val="2"/>
    <w:qFormat/>
    <w:rsid w:val="00ab6715"/>
    <w:rPr>
      <w:rFonts w:ascii="Times New Roman" w:hAnsi="Times New Roman" w:eastAsia="" w:cs="" w:cstheme="majorBidi" w:eastAsiaTheme="majorEastAsia"/>
      <w:b/>
      <w:sz w:val="24"/>
      <w:szCs w:val="24"/>
    </w:rPr>
  </w:style>
  <w:style w:type="character" w:styleId="Heading4Char" w:customStyle="1">
    <w:name w:val="Heading 4 Char"/>
    <w:basedOn w:val="DefaultParagraphFont"/>
    <w:link w:val="Heading4"/>
    <w:uiPriority w:val="2"/>
    <w:qFormat/>
    <w:rsid w:val="00ab6715"/>
    <w:rPr>
      <w:rFonts w:ascii="Times New Roman" w:hAnsi="Times New Roman" w:eastAsia="" w:cs="" w:cstheme="majorBidi" w:eastAsiaTheme="majorEastAsia"/>
      <w:b/>
      <w:iCs/>
      <w:sz w:val="24"/>
      <w:szCs w:val="24"/>
    </w:rPr>
  </w:style>
  <w:style w:type="character" w:styleId="Heading5Char" w:customStyle="1">
    <w:name w:val="Heading 5 Char"/>
    <w:basedOn w:val="DefaultParagraphFont"/>
    <w:link w:val="Heading5"/>
    <w:uiPriority w:val="2"/>
    <w:qFormat/>
    <w:rsid w:val="00ab6715"/>
    <w:rPr>
      <w:rFonts w:ascii="Times New Roman" w:hAnsi="Times New Roman" w:eastAsia="" w:cs="" w:cstheme="majorBidi" w:eastAsiaTheme="majorEastAsia"/>
      <w:b/>
      <w:iCs/>
      <w:sz w:val="24"/>
      <w:szCs w:val="24"/>
    </w:rPr>
  </w:style>
  <w:style w:type="character" w:styleId="QuoteChar" w:customStyle="1">
    <w:name w:val="Quote Char"/>
    <w:basedOn w:val="DefaultParagraphFont"/>
    <w:link w:val="Quote"/>
    <w:uiPriority w:val="29"/>
    <w:qFormat/>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character" w:styleId="TitleChar" w:customStyle="1">
    <w:name w:val="Title Char"/>
    <w:basedOn w:val="DefaultParagraphFont"/>
    <w:link w:val="Title"/>
    <w:qFormat/>
    <w:rsid w:val="00ab6715"/>
    <w:rPr>
      <w:rFonts w:ascii="Times New Roman" w:hAnsi="Times New Roman" w:cs="Times New Roman"/>
      <w:b/>
      <w:sz w:val="32"/>
      <w:szCs w:val="32"/>
    </w:rPr>
  </w:style>
  <w:style w:type="character" w:styleId="ListLabel1">
    <w:name w:val="ListLabel 1"/>
    <w:qFormat/>
    <w:rPr>
      <w:b/>
      <w:lang w:val="en-GB"/>
    </w:rPr>
  </w:style>
  <w:style w:type="character" w:styleId="ListLabel2">
    <w:name w:val="ListLabel 2"/>
    <w:qFormat/>
    <w:rPr>
      <w:b/>
      <w:i w:val="false"/>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lang w:val="en-GB"/>
    </w:rPr>
  </w:style>
  <w:style w:type="character" w:styleId="ListLabel10">
    <w:name w:val="ListLabel 10"/>
    <w:qFormat/>
    <w:rPr>
      <w:b/>
      <w:i w:val="false"/>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link w:val="SubtitleChar"/>
    <w:uiPriority w:val="99"/>
    <w:unhideWhenUsed/>
    <w:qFormat/>
    <w:rsid w:val="00ab6715"/>
    <w:pPr>
      <w:spacing w:before="240" w:after="240"/>
    </w:pPr>
    <w:rPr>
      <w:rFonts w:cs="Times New Roman"/>
      <w:b/>
      <w:szCs w:val="24"/>
    </w:rPr>
  </w:style>
  <w:style w:type="paragraph" w:styleId="AuthorList" w:customStyle="1">
    <w:name w:val="Author List"/>
    <w:basedOn w:val="Subtitle"/>
    <w:next w:val="Normal"/>
    <w:uiPriority w:val="1"/>
    <w:qFormat/>
    <w:rsid w:val="00ab6715"/>
    <w:pPr/>
    <w:rPr/>
  </w:style>
  <w:style w:type="paragraph" w:styleId="BalloonText">
    <w:name w:val="Balloon Text"/>
    <w:basedOn w:val="Normal"/>
    <w:link w:val="BalloonTextChar"/>
    <w:uiPriority w:val="99"/>
    <w:semiHidden/>
    <w:unhideWhenUsed/>
    <w:qFormat/>
    <w:rsid w:val="00ab6715"/>
    <w:pPr>
      <w:spacing w:before="120" w:after="0"/>
    </w:pPr>
    <w:rPr>
      <w:rFonts w:ascii="Tahoma" w:hAnsi="Tahoma" w:cs="Tahoma"/>
      <w:sz w:val="16"/>
      <w:szCs w:val="16"/>
    </w:rPr>
  </w:style>
  <w:style w:type="paragraph" w:styleId="Caption1">
    <w:name w:val="caption"/>
    <w:basedOn w:val="Normal"/>
    <w:next w:val="NoSpacing"/>
    <w:uiPriority w:val="35"/>
    <w:unhideWhenUsed/>
    <w:qFormat/>
    <w:rsid w:val="00ab6715"/>
    <w:pPr>
      <w:keepNext w:val="true"/>
    </w:pPr>
    <w:rPr>
      <w:rFonts w:cs="Times New Roman"/>
      <w:b/>
      <w:bCs/>
      <w:szCs w:val="24"/>
    </w:rPr>
  </w:style>
  <w:style w:type="paragraph" w:styleId="NoSpacing">
    <w:name w:val="No Spacing"/>
    <w:uiPriority w:val="99"/>
    <w:unhideWhenUsed/>
    <w:qFormat/>
    <w:rsid w:val="00ab6715"/>
    <w:pPr>
      <w:widowControl/>
      <w:bidi w:val="0"/>
      <w:spacing w:lineRule="auto" w:line="240" w:before="0" w:after="0"/>
      <w:jc w:val="left"/>
    </w:pPr>
    <w:rPr>
      <w:rFonts w:ascii="Times New Roman" w:hAnsi="Times New Roman" w:eastAsia="Calibri" w:cs="" w:cstheme="minorBidi" w:eastAsiaTheme="minorHAnsi"/>
      <w:color w:val="auto"/>
      <w:kern w:val="0"/>
      <w:sz w:val="24"/>
      <w:szCs w:val="22"/>
      <w:lang w:val="en-US" w:eastAsia="en-US" w:bidi="ar-SA"/>
    </w:rPr>
  </w:style>
  <w:style w:type="paragraph" w:styleId="Annotationtext">
    <w:name w:val="annotation text"/>
    <w:basedOn w:val="Normal"/>
    <w:link w:val="CommentTextChar"/>
    <w:uiPriority w:val="99"/>
    <w:semiHidden/>
    <w:unhideWhenUsed/>
    <w:qFormat/>
    <w:rsid w:val="00ab6715"/>
    <w:pPr/>
    <w:rPr>
      <w:sz w:val="20"/>
      <w:szCs w:val="20"/>
    </w:rPr>
  </w:style>
  <w:style w:type="paragraph" w:styleId="Annotationsubject">
    <w:name w:val="annotation subject"/>
    <w:basedOn w:val="Annotationtext"/>
    <w:next w:val="Annotationtext"/>
    <w:link w:val="CommentSubjectChar"/>
    <w:uiPriority w:val="99"/>
    <w:semiHidden/>
    <w:unhideWhenUsed/>
    <w:qFormat/>
    <w:rsid w:val="00ab6715"/>
    <w:pPr/>
    <w:rPr>
      <w:b/>
      <w:bCs/>
    </w:rPr>
  </w:style>
  <w:style w:type="paragraph" w:styleId="Endnote">
    <w:name w:val="Endnote Text"/>
    <w:basedOn w:val="Normal"/>
    <w:link w:val="EndnoteTextChar"/>
    <w:uiPriority w:val="99"/>
    <w:semiHidden/>
    <w:unhideWhenUsed/>
    <w:rsid w:val="00ab6715"/>
    <w:pPr>
      <w:spacing w:before="120" w:after="0"/>
    </w:pPr>
    <w:rPr>
      <w:sz w:val="20"/>
      <w:szCs w:val="20"/>
    </w:rPr>
  </w:style>
  <w:style w:type="paragraph" w:styleId="Footer">
    <w:name w:val="Footer"/>
    <w:basedOn w:val="Normal"/>
    <w:link w:val="FooterChar"/>
    <w:uiPriority w:val="99"/>
    <w:unhideWhenUsed/>
    <w:rsid w:val="00ab6715"/>
    <w:pPr>
      <w:tabs>
        <w:tab w:val="clear" w:pos="720"/>
        <w:tab w:val="center" w:pos="4844" w:leader="none"/>
        <w:tab w:val="right" w:pos="9689" w:leader="none"/>
      </w:tabs>
      <w:spacing w:before="120" w:after="0"/>
    </w:pPr>
    <w:rPr/>
  </w:style>
  <w:style w:type="paragraph" w:styleId="Footnote">
    <w:name w:val="Footnote Text"/>
    <w:basedOn w:val="Normal"/>
    <w:link w:val="FootnoteTextChar"/>
    <w:uiPriority w:val="99"/>
    <w:semiHidden/>
    <w:unhideWhenUsed/>
    <w:rsid w:val="00ab6715"/>
    <w:pPr>
      <w:spacing w:before="120" w:after="0"/>
    </w:pPr>
    <w:rPr>
      <w:sz w:val="20"/>
      <w:szCs w:val="20"/>
    </w:rPr>
  </w:style>
  <w:style w:type="paragraph" w:styleId="Header">
    <w:name w:val="Header"/>
    <w:basedOn w:val="Normal"/>
    <w:link w:val="HeaderChar"/>
    <w:uiPriority w:val="99"/>
    <w:unhideWhenUsed/>
    <w:rsid w:val="00ab6715"/>
    <w:pPr>
      <w:tabs>
        <w:tab w:val="clear" w:pos="720"/>
        <w:tab w:val="center" w:pos="4844" w:leader="none"/>
        <w:tab w:val="right" w:pos="9689" w:leader="none"/>
      </w:tabs>
    </w:pPr>
    <w:rPr>
      <w:b/>
    </w:rPr>
  </w:style>
  <w:style w:type="paragraph" w:styleId="ListParagraph">
    <w:name w:val="List Paragraph"/>
    <w:basedOn w:val="Normal"/>
    <w:uiPriority w:val="3"/>
    <w:qFormat/>
    <w:rsid w:val="00ab6715"/>
    <w:pPr>
      <w:spacing w:before="120" w:after="240"/>
      <w:contextualSpacing/>
    </w:pPr>
    <w:rPr>
      <w:rFonts w:eastAsia="Cambria" w:cs="Times New Roman"/>
      <w:szCs w:val="24"/>
    </w:rPr>
  </w:style>
  <w:style w:type="paragraph" w:styleId="NormalWeb">
    <w:name w:val="Normal (Web)"/>
    <w:basedOn w:val="Normal"/>
    <w:uiPriority w:val="99"/>
    <w:unhideWhenUsed/>
    <w:qFormat/>
    <w:rsid w:val="00ab6715"/>
    <w:pPr>
      <w:spacing w:beforeAutospacing="1"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hanging="0"/>
      <w:jc w:val="center"/>
    </w:pPr>
    <w:rPr>
      <w:i/>
      <w:iCs/>
      <w:color w:val="404040" w:themeColor="text1" w:themeTint="bf"/>
    </w:r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paragraph" w:styleId="SupplementaryMaterial" w:customStyle="1">
    <w:name w:val="Supplementary Material"/>
    <w:basedOn w:val="Title"/>
    <w:next w:val="Title"/>
    <w:qFormat/>
    <w:rsid w:val="0001436a"/>
    <w:pPr>
      <w:spacing w:before="240" w:after="120"/>
    </w:pPr>
    <w:rPr>
      <w:i/>
    </w:rPr>
  </w:style>
  <w:style w:type="paragraph" w:styleId="FrameContents">
    <w:name w:val="Frame Contents"/>
    <w:basedOn w:val="Normal"/>
    <w:qFormat/>
    <w:pPr/>
    <w:rPr/>
  </w:style>
  <w:style w:type="paragraph" w:styleId="LOnormal">
    <w:name w:val="LO-normal"/>
    <w:qFormat/>
    <w:pPr>
      <w:widowControl/>
      <w:bidi w:val="0"/>
      <w:spacing w:lineRule="auto" w:line="276" w:before="0" w:after="200"/>
      <w:jc w:val="left"/>
    </w:pPr>
    <w:rPr>
      <w:rFonts w:ascii="Arial" w:hAnsi="Arial" w:eastAsia="Arial" w:cs="Arial"/>
      <w:color w:val="auto"/>
      <w:kern w:val="0"/>
      <w:sz w:val="22"/>
      <w:szCs w:val="22"/>
      <w:lang w:val="en" w:eastAsia="zh-CN" w:bidi="hi-IN"/>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numbering" w:styleId="Headings" w:customStyle="1">
    <w:name w:val="Headings"/>
    <w:uiPriority w:val="99"/>
    <w:qFormat/>
    <w:rsid w:val="00ab67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b6715"/>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Application>LibreOffice/6.2.7.1$Windows_X86_64 LibreOffice_project/23edc44b61b830b7d749943e020e96f5a7df63bf</Application>
  <Pages>7</Pages>
  <Words>1984</Words>
  <Characters>11545</Characters>
  <CharactersWithSpaces>13296</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dc:description/>
  <dc:language>en-US</dc:language>
  <cp:lastModifiedBy>Vasily Ramensky</cp:lastModifiedBy>
  <cp:lastPrinted>2013-10-03T12:51:00Z</cp:lastPrinted>
  <dcterms:modified xsi:type="dcterms:W3CDTF">2021-05-13T02:47:49Z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