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6" w:type="dxa"/>
        <w:tblLook w:val="04A0" w:firstRow="1" w:lastRow="0" w:firstColumn="1" w:lastColumn="0" w:noHBand="0" w:noVBand="1"/>
      </w:tblPr>
      <w:tblGrid>
        <w:gridCol w:w="2268"/>
        <w:gridCol w:w="1418"/>
        <w:gridCol w:w="1843"/>
        <w:gridCol w:w="1417"/>
        <w:gridCol w:w="1360"/>
      </w:tblGrid>
      <w:tr w:rsidR="00CE6665" w:rsidRPr="00567B5C" w:rsidTr="00EF03D3">
        <w:trPr>
          <w:trHeight w:val="315"/>
        </w:trPr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eastAsia="zh-CN"/>
              </w:rPr>
              <w:t>Supplementary Table 1. Newcastle-Ottawa quality assessment scale for cohort studies</w:t>
            </w:r>
          </w:p>
        </w:tc>
      </w:tr>
      <w:tr w:rsidR="00CE6665" w:rsidRPr="00567B5C" w:rsidTr="00EF03D3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Study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Selection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Comparability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Outcome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Total score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You 2007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Myhre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Stelzle 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6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Cavender 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White 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Tahhan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Masson 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Omland 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Bhalla 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Paget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Wolsk 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Mishra 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Hillis 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Inoue 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Oliveira 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Pratesi 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Huang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Takagi 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Eynatten 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Chow 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Reiser 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O'Donoghue, 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Niizeki, 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Zhang,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Wu 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Yndestad 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Akcay 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Avci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Bolignano 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Chen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Chen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Shen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Li 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Li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Hamsten 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lastRenderedPageBreak/>
              <w:t>Pavlov 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Tofler 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Giovannucci 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Wang 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Anderson 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Brondum-Jacobsen 2012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Peng,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Werner, 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67B5C" w:rsidTr="00EF03D3">
        <w:trPr>
          <w:trHeight w:val="315"/>
        </w:trPr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67B5C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67B5C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The maximum score possible for the involved criteria are: 4 in selection, 2 in comparability, and 3 in outcome.</w:t>
            </w:r>
          </w:p>
        </w:tc>
      </w:tr>
    </w:tbl>
    <w:p w:rsidR="00CE6665" w:rsidRDefault="00CE6665" w:rsidP="00094F77">
      <w:pPr>
        <w:sectPr w:rsidR="00CE6665" w:rsidSect="00A97715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8306" w:type="dxa"/>
        <w:tblLook w:val="04A0" w:firstRow="1" w:lastRow="0" w:firstColumn="1" w:lastColumn="0" w:noHBand="0" w:noVBand="1"/>
      </w:tblPr>
      <w:tblGrid>
        <w:gridCol w:w="1985"/>
        <w:gridCol w:w="1277"/>
        <w:gridCol w:w="2049"/>
        <w:gridCol w:w="1375"/>
        <w:gridCol w:w="1620"/>
      </w:tblGrid>
      <w:tr w:rsidR="00CE6665" w:rsidRPr="00527A51" w:rsidTr="00EF03D3">
        <w:trPr>
          <w:trHeight w:val="300"/>
        </w:trPr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lastRenderedPageBreak/>
              <w:t xml:space="preserve">Supplementary Table 2. </w:t>
            </w:r>
            <w:r w:rsidRPr="000926E4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Newcastle-Ottawa quality assessment scale for case-control studies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0926E4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Study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Selection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Comparability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Outcome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b/>
                <w:color w:val="000000"/>
                <w:kern w:val="0"/>
                <w:szCs w:val="24"/>
                <w:lang w:eastAsia="zh-CN"/>
              </w:rPr>
              <w:t>Total score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Morita 1993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Hotta 2000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221A56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Akbal, 2009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221A56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Ramesh, 2020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Elkhidir 2017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Yang 2005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6</w:t>
            </w:r>
          </w:p>
        </w:tc>
      </w:tr>
      <w:tr w:rsidR="00CE6665" w:rsidRPr="00527A51" w:rsidTr="00EF03D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Roy 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527A51" w:rsidTr="00EF03D3">
        <w:trPr>
          <w:trHeight w:val="300"/>
        </w:trPr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27A51" w:rsidRDefault="00CE6665" w:rsidP="00EF03D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</w:pP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 xml:space="preserve">The maximum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>point</w:t>
            </w:r>
            <w:r w:rsidRPr="00527A51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eastAsia="zh-CN"/>
              </w:rPr>
              <w:t xml:space="preserve"> possible for the involved criteria are: 4 in selection, 2 in comparability, and 3 in outcome.</w:t>
            </w:r>
          </w:p>
        </w:tc>
      </w:tr>
    </w:tbl>
    <w:p w:rsidR="00CE6665" w:rsidRDefault="00CE6665" w:rsidP="00094F77">
      <w:pPr>
        <w:sectPr w:rsidR="00CE6665" w:rsidSect="00A9771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276"/>
        <w:gridCol w:w="1701"/>
      </w:tblGrid>
      <w:tr w:rsidR="00CE6665" w:rsidRPr="00CF464C" w:rsidTr="00EF03D3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lastRenderedPageBreak/>
              <w:t xml:space="preserve">Supplementary Table 3. </w:t>
            </w: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Newcastle-Ottawa quality assessment scale adapted for cross-sectional studies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Study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Selection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Comparability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Outcome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b/>
                <w:color w:val="000000"/>
                <w:kern w:val="0"/>
                <w:szCs w:val="24"/>
                <w:lang w:eastAsia="zh-CN"/>
              </w:rPr>
              <w:t>Total score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Wang 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Fonarow 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Ng 2005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Gardener 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Shimabukuro 2003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Xu 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Bao 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Hsu 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Wang 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Chesnaye 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Zografos 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Ni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Xiao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Choi 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Barutcuoglu 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Wang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Fang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Hao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Zhang 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Lin 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Bobbert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Chow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Bobbert 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Liu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Majerczyk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Lambadiari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Sun 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Vague 1986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Wang 2017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Verdoia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Tanik 2020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221A56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Paquette, 2017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221A56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Mba, 2019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9</w:t>
            </w:r>
          </w:p>
        </w:tc>
      </w:tr>
      <w:tr w:rsidR="00CE6665" w:rsidRPr="00221A56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Toth, 2017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221A56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Lee, 2013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7</w:t>
            </w:r>
          </w:p>
        </w:tc>
      </w:tr>
      <w:tr w:rsidR="00CE6665" w:rsidRPr="00221A56" w:rsidTr="00EF03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Bae,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665" w:rsidRPr="00221A56" w:rsidRDefault="00CE6665" w:rsidP="00EF03D3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221A56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</w:t>
            </w:r>
          </w:p>
        </w:tc>
      </w:tr>
      <w:tr w:rsidR="00CE6665" w:rsidRPr="00CF464C" w:rsidTr="00EF03D3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464C" w:rsidRDefault="00CE6665" w:rsidP="00EF03D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The maximum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point</w:t>
            </w: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possible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for the involved criteria are: 5</w:t>
            </w:r>
            <w:r w:rsidRPr="00CF464C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in selection, 2 in comparability, and 3 in outcome.</w:t>
            </w:r>
          </w:p>
        </w:tc>
      </w:tr>
    </w:tbl>
    <w:p w:rsidR="00CE6665" w:rsidRDefault="00CE6665" w:rsidP="00094F77">
      <w:pPr>
        <w:sectPr w:rsidR="00CE6665" w:rsidSect="00A9771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14364" w:type="dxa"/>
        <w:tblLook w:val="04A0" w:firstRow="1" w:lastRow="0" w:firstColumn="1" w:lastColumn="0" w:noHBand="0" w:noVBand="1"/>
      </w:tblPr>
      <w:tblGrid>
        <w:gridCol w:w="1398"/>
        <w:gridCol w:w="680"/>
        <w:gridCol w:w="704"/>
        <w:gridCol w:w="720"/>
        <w:gridCol w:w="732"/>
        <w:gridCol w:w="719"/>
        <w:gridCol w:w="736"/>
        <w:gridCol w:w="746"/>
        <w:gridCol w:w="758"/>
        <w:gridCol w:w="680"/>
        <w:gridCol w:w="680"/>
        <w:gridCol w:w="680"/>
        <w:gridCol w:w="718"/>
        <w:gridCol w:w="718"/>
        <w:gridCol w:w="718"/>
        <w:gridCol w:w="680"/>
        <w:gridCol w:w="691"/>
        <w:gridCol w:w="1606"/>
      </w:tblGrid>
      <w:tr w:rsidR="00CE6665" w:rsidRPr="00C83559" w:rsidTr="00EF03D3">
        <w:trPr>
          <w:trHeight w:val="300"/>
        </w:trPr>
        <w:tc>
          <w:tcPr>
            <w:tcW w:w="14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lastRenderedPageBreak/>
              <w:t>Supplementa</w:t>
            </w:r>
            <w:r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 xml:space="preserve">ry </w:t>
            </w: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Table 4. AMSTAR-2 quality assessment of systematic reviews</w:t>
            </w:r>
          </w:p>
        </w:tc>
      </w:tr>
      <w:tr w:rsidR="00CE6665" w:rsidRPr="00C83559" w:rsidTr="00EF03D3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Study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Item 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83559" w:rsidRDefault="00CE6665" w:rsidP="00EF03D3">
            <w:pPr>
              <w:widowControl/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</w:pPr>
            <w:r w:rsidRPr="00C83559">
              <w:rPr>
                <w:rFonts w:eastAsia="Times New Roman" w:cstheme="minorHAnsi"/>
                <w:b/>
                <w:color w:val="000000"/>
                <w:kern w:val="0"/>
                <w:szCs w:val="24"/>
                <w:lang w:eastAsia="zh-CN"/>
              </w:rPr>
              <w:t>Overall quality</w:t>
            </w:r>
          </w:p>
        </w:tc>
      </w:tr>
      <w:tr w:rsidR="00CE6665" w:rsidRPr="00A9203F" w:rsidTr="00EF03D3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Liu 2018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H</w:t>
            </w: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igh</w:t>
            </w:r>
          </w:p>
        </w:tc>
      </w:tr>
      <w:tr w:rsidR="00CE6665" w:rsidRPr="00A9203F" w:rsidTr="00EF03D3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Yang 2019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L</w:t>
            </w: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ow</w:t>
            </w:r>
          </w:p>
        </w:tc>
      </w:tr>
      <w:tr w:rsidR="00CE6665" w:rsidRPr="00A9203F" w:rsidTr="00EF03D3">
        <w:trPr>
          <w:trHeight w:val="300"/>
        </w:trPr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Yarmolinsky 2016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M</w:t>
            </w: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oderate</w:t>
            </w:r>
          </w:p>
        </w:tc>
      </w:tr>
      <w:tr w:rsidR="00CE6665" w:rsidRPr="00A9203F" w:rsidTr="00EF03D3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Song 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</w:t>
            </w: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ritically low</w:t>
            </w:r>
          </w:p>
        </w:tc>
      </w:tr>
      <w:tr w:rsidR="00CE6665" w:rsidRPr="00A9203F" w:rsidTr="00EF03D3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Jung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M</w:t>
            </w: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oderate</w:t>
            </w:r>
          </w:p>
        </w:tc>
      </w:tr>
      <w:tr w:rsidR="00CE6665" w:rsidRPr="00A9203F" w:rsidTr="00EF03D3">
        <w:trPr>
          <w:trHeight w:val="330"/>
        </w:trPr>
        <w:tc>
          <w:tcPr>
            <w:tcW w:w="14364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kern w:val="0"/>
                <w:szCs w:val="24"/>
                <w:lang w:eastAsia="zh-CN"/>
              </w:rPr>
            </w:pPr>
            <w:r w:rsidRPr="00A9203F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Abbreviations: N, no; PY, partial yes; Y, yes.</w:t>
            </w:r>
          </w:p>
        </w:tc>
      </w:tr>
      <w:tr w:rsidR="00CE6665" w:rsidRPr="00A9203F" w:rsidTr="00EF03D3">
        <w:trPr>
          <w:trHeight w:val="330"/>
        </w:trPr>
        <w:tc>
          <w:tcPr>
            <w:tcW w:w="1436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665" w:rsidRPr="00A9203F" w:rsidRDefault="00CE6665" w:rsidP="00EF03D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The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rating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for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quality is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based on the evaluation of the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seven critical domains (items 2, 4, 7, 9, 11, 13, 15): (i) “High”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: no or one non-critical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weakness; (ii)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“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Moderate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”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: more than one non-critical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weakness; (iii)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“Low”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: one critical weakness with or without non-critical weaknesses; and (iv)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“Critically l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ow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”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more than one critical weakness with or without non-critical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6D4949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weaknesses.</w:t>
            </w:r>
          </w:p>
        </w:tc>
      </w:tr>
    </w:tbl>
    <w:p w:rsidR="00CE6665" w:rsidRDefault="00CE6665" w:rsidP="00094F77">
      <w:pPr>
        <w:sectPr w:rsidR="00CE6665" w:rsidSect="00CE6665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395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851"/>
        <w:gridCol w:w="1276"/>
        <w:gridCol w:w="1275"/>
        <w:gridCol w:w="6587"/>
      </w:tblGrid>
      <w:tr w:rsidR="00CE6665" w:rsidRPr="00EB4876" w:rsidTr="00B00833">
        <w:trPr>
          <w:trHeight w:val="264"/>
        </w:trPr>
        <w:tc>
          <w:tcPr>
            <w:tcW w:w="13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E350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bookmarkStart w:id="0" w:name="_GoBack"/>
            <w:bookmarkEnd w:id="0"/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5</w:t>
            </w: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cardiac troponin I</w:t>
            </w:r>
          </w:p>
        </w:tc>
      </w:tr>
      <w:tr w:rsidR="00CE6665" w:rsidRPr="00EB4876" w:rsidTr="00B00833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Median/mean follow-up (years)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EB4876" w:rsidTr="00B00833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You, 2007, Canada</w:t>
            </w:r>
            <w:r w:rsidRPr="005B32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ADHF patients, 2025 (76 ± 12)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cTnI levels &gt;0.5 μg/L had a significantly higher risk of all-cause mortality compared with patients with lower cTnI levels.</w:t>
            </w:r>
          </w:p>
        </w:tc>
      </w:tr>
      <w:tr w:rsidR="00CE6665" w:rsidRPr="00EB4876" w:rsidTr="00B00833">
        <w:trPr>
          <w:trHeight w:val="18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Myhre, 2018, USA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HF patients with preserved ejection fraction, 236 (72)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2.6</w:t>
            </w:r>
          </w:p>
        </w:tc>
        <w:tc>
          <w:tcPr>
            <w:tcW w:w="6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hs-cTnI levels were associated with risk of cardiovascular death and HF hospitalization.</w:t>
            </w:r>
          </w:p>
          <w:p w:rsidR="00CE6665" w:rsidRPr="00EB4876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0.75 for prediction of cardiovascular mortality.</w:t>
            </w:r>
          </w:p>
        </w:tc>
      </w:tr>
      <w:tr w:rsidR="00CE6665" w:rsidRPr="00EB4876" w:rsidTr="00B00833">
        <w:trPr>
          <w:trHeight w:val="18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Stelzle, 2017, UK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suspected ACS, 4748 (63 ± 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 months</w:t>
            </w:r>
          </w:p>
        </w:tc>
        <w:tc>
          <w:tcPr>
            <w:tcW w:w="6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events had higher hs-cTnI levels than patients without events.</w:t>
            </w:r>
          </w:p>
          <w:p w:rsidR="00CE6665" w:rsidRPr="00EB4876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 increased from 0.82 to 0.87 when hs-cTnI was added to the traditional risk factors model for prediction of HF hospitalization and cardiac death.</w:t>
            </w:r>
          </w:p>
        </w:tc>
      </w:tr>
      <w:tr w:rsidR="00CE6665" w:rsidRPr="00EB4876" w:rsidTr="00B0083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Cavender, 2017, USA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 with stabilized ACS, 3808 (60)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1.5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hs-cTnI levels ≥99th percentile were at increased risk of cardiovascular death, myocardial infarction, or stroke compared with patients with lower hs-cTnI levels.</w:t>
            </w:r>
          </w:p>
        </w:tc>
      </w:tr>
      <w:tr w:rsidR="00CE6665" w:rsidRPr="00EB4876" w:rsidTr="00B00833">
        <w:trPr>
          <w:trHeight w:val="10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White, 2014, Australia</w:t>
            </w:r>
            <w:r w:rsidRPr="005B32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Stable CAD patients, 7863 (62)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6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cTnI levels were predictive of subsequent myocardial infarction and cardiovascular mortality.</w:t>
            </w:r>
          </w:p>
          <w:p w:rsidR="00CE6665" w:rsidRPr="00EB4876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0.67. NRI: 4.8%.</w:t>
            </w:r>
          </w:p>
        </w:tc>
      </w:tr>
      <w:tr w:rsidR="00CE6665" w:rsidRPr="00EB4876" w:rsidTr="00B00833">
        <w:trPr>
          <w:trHeight w:val="2530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Tahhan, 2018, USA</w:t>
            </w:r>
            <w:r w:rsidRPr="005B32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0"/>
                <w:szCs w:val="24"/>
                <w:lang w:val="en-GB"/>
              </w:rPr>
              <w:t>(46)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undergoing heart catheterization, 3087 (63 ± 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5.2</w:t>
            </w:r>
          </w:p>
        </w:tc>
        <w:tc>
          <w:tcPr>
            <w:tcW w:w="6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hs-cTnI levels in patients with more severe CAD than patients with normal coronary angiography.</w:t>
            </w:r>
          </w:p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hs-cTnI levels were associated with risk of cardiovascular mortality or myocardial infarction.</w:t>
            </w:r>
          </w:p>
          <w:p w:rsidR="00CE6665" w:rsidRPr="00EB4876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hs-cTnI to model with traditional risk factors improved the AUC from 0.68 to 0.71 for prediction of adverse cardiovascular events.</w:t>
            </w:r>
          </w:p>
        </w:tc>
      </w:tr>
      <w:tr w:rsidR="00CE6665" w:rsidRPr="00EB4876" w:rsidTr="00B00833">
        <w:trPr>
          <w:trHeight w:val="264"/>
        </w:trPr>
        <w:tc>
          <w:tcPr>
            <w:tcW w:w="13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EB4876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Abbreviations: ACS, acute coronary syndrome; ADHF, acute decompensated heart failure; AUC, area under curve; CAD, coronary artery disease; HF, heart failure; hs-cTnI, high-sensitivity cardiac troponin I;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NR, not reported;</w:t>
            </w:r>
            <w:r w:rsidRPr="00EB4876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NRI, net reclassification index; T2DM, type 2 diabetes mellitus.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F841F5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193"/>
        <w:gridCol w:w="1130"/>
        <w:gridCol w:w="1934"/>
        <w:gridCol w:w="853"/>
        <w:gridCol w:w="1289"/>
        <w:gridCol w:w="1184"/>
        <w:gridCol w:w="6451"/>
      </w:tblGrid>
      <w:tr w:rsidR="00CE6665" w:rsidRPr="002B394A" w:rsidTr="00B00833">
        <w:trPr>
          <w:trHeight w:val="300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6</w:t>
            </w: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BNP/NT-proBNP</w:t>
            </w:r>
          </w:p>
        </w:tc>
      </w:tr>
      <w:tr w:rsidR="00CE6665" w:rsidRPr="002B394A" w:rsidTr="00B00833">
        <w:trPr>
          <w:trHeight w:val="481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Median/mean follow-up (years)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2B394A" w:rsidTr="00B00833">
        <w:trPr>
          <w:trHeight w:val="1012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Masson, 2008, Italy</w:t>
            </w:r>
            <w:r w:rsidRPr="003A31F1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(48)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stable symptomatic HF, 1742 (63 ± 11)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NT-proBNP levels at baseline and 4 months were associated with a significant risk of all-cause mortality during a median follow-up of 2 years.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AUC=0.66 (NT-proBNP at baseline); AUC=0.70 (NT-proBNP at 4 months) for prediction of all-cause mortality.</w:t>
            </w:r>
          </w:p>
        </w:tc>
      </w:tr>
      <w:tr w:rsidR="00CE6665" w:rsidRPr="002B394A" w:rsidTr="00B00833">
        <w:trPr>
          <w:trHeight w:val="1264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Wang, 2004, USA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(49)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Individuals without HF from Framingham Heart Offspring Study, 3532 (59)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Lower plasma BNP in obese individuals than in lean individuals.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BNP levels were inversely correlated with body mass index.</w:t>
            </w:r>
          </w:p>
        </w:tc>
      </w:tr>
      <w:tr w:rsidR="00CE6665" w:rsidRPr="002B394A" w:rsidTr="00B00833">
        <w:trPr>
          <w:trHeight w:val="108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Morita, 1993, Japan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Case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-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Acute MI patients, 50 (66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2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plasma BNP levels in patients than in controls.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 BNP increased markedly in the early phase of acute MI.</w:t>
            </w:r>
          </w:p>
        </w:tc>
      </w:tr>
      <w:tr w:rsidR="00CE6665" w:rsidRPr="002B394A" w:rsidTr="00B00833">
        <w:trPr>
          <w:trHeight w:val="284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Omland, 2007,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 xml:space="preserve">Norway </w:t>
            </w:r>
            <w:r w:rsidRPr="003A31F1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Patients with stable CAD and preserved LV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function, 3761 (64)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4.8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plasma BNP levels were associated with risk of congestive heart failure during a median follow-up of 4.8 years.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AUC increased from 0.82 to 0.84 when BNP was added to the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conventional risk factor model.</w:t>
            </w:r>
          </w:p>
        </w:tc>
      </w:tr>
      <w:tr w:rsidR="00CE6665" w:rsidRPr="002B394A" w:rsidTr="00B00833">
        <w:trPr>
          <w:trHeight w:val="41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Bhalla, 2004, USA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patients, 482 (57)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2.3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BNP levels ≥120 pg/mL had a higher risk of all-cause mortality than patients with lower BNP levels.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0.72.</w:t>
            </w:r>
          </w:p>
        </w:tc>
      </w:tr>
      <w:tr w:rsidR="00CE6665" w:rsidRPr="002B394A" w:rsidTr="00B00833">
        <w:trPr>
          <w:trHeight w:val="30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Paget, 2011, France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(53)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Hypertensive patients, 684 (52)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5.7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NT-proBNP levels were associated with all-cause mortality in hypertensive patients and in patients without LV hypertrophy.</w:t>
            </w:r>
          </w:p>
        </w:tc>
      </w:tr>
      <w:tr w:rsidR="00CE6665" w:rsidRPr="002B394A" w:rsidTr="00B00833">
        <w:trPr>
          <w:trHeight w:val="115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Wolsk, 2017, Denmark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(54)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ACS and T2DM, 5525 (62)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2.2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Higher BNP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or NT-proBNP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levels were associated with adverse cardiovascular outcomes.</w:t>
            </w:r>
          </w:p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BNP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or NT-proBNP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to risk factor model significantly improved the AUC from 0.77 to 0.83 for prediction of cardiovascular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death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BNP: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NRI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=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.0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%; IDI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=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5.6%.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NT-proBNP: NRI=30.9%; IDI=4.0%.</w:t>
            </w:r>
          </w:p>
        </w:tc>
      </w:tr>
      <w:tr w:rsidR="00CE6665" w:rsidRPr="002B394A" w:rsidTr="00B00833">
        <w:trPr>
          <w:trHeight w:val="1133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Fonarow, 2008, USA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hospitalized with HF, 42636 patient episodes (74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11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BNP ≥840 pg/mL and increased cardiac troponin levels were at increased mortality risk compared with patients with lower BNP and no increase in cardiac troponin.</w:t>
            </w:r>
          </w:p>
        </w:tc>
      </w:tr>
      <w:tr w:rsidR="00CE6665" w:rsidRPr="002B394A" w:rsidTr="00B00833">
        <w:trPr>
          <w:trHeight w:val="709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Mishra, 2014, USA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CAD patients, 983 (67)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6.5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BNP levels were associated with increased risk of MACE.</w:t>
            </w:r>
          </w:p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BNP to risk factor model significantly increased the AUC from 0.63 to 0.72 for prediction of MACE.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NRI: 56%. IDI: 11%.</w:t>
            </w:r>
          </w:p>
        </w:tc>
      </w:tr>
      <w:tr w:rsidR="00CE6665" w:rsidRPr="002B394A" w:rsidTr="00B00833">
        <w:trPr>
          <w:trHeight w:val="1985"/>
        </w:trPr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Hillis, 2014, Australia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(57)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patients, 3862 (67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7</w:t>
            </w: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NT-proBNP and hs-cTnT levels were strongly associated with cardiovascular events and mortality.</w:t>
            </w:r>
          </w:p>
          <w:p w:rsidR="00CE6665" w:rsidRPr="002B394A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NT-proBNP to risk factor model significantly improved the AUC from 0.70 to 0.74, and the combination of NT-proBNP and hs-cTnT improved the AUC further to 0.75 for prediction of cardiovascular events.</w:t>
            </w:r>
          </w:p>
        </w:tc>
      </w:tr>
      <w:tr w:rsidR="00CE6665" w:rsidRPr="002B394A" w:rsidTr="00B00833">
        <w:trPr>
          <w:trHeight w:val="30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2B394A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2B394A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Abbreviations: ACS, acute coronary syndrome; AUC, area under curve; BNP, B-type natriuretic peptide; CAD, coronary artery disease; hs-cTnT, high-sensitivity cardiac troponin T; HF, heart failure; IDI, integrated discrimination improvement; LV, left ventricular; MACE, major adverse cardiovascular event; MI, myocardial infarction; N/A, not applicable; NT-proBNP, N-terminal pro-B-type natriuretic peptide; NR, not reported; NRI, net reclassification index; T2DM, type 2 diabetes mellitus.</w:t>
            </w:r>
          </w:p>
        </w:tc>
      </w:tr>
    </w:tbl>
    <w:p w:rsidR="00CE6665" w:rsidRDefault="00CE6665" w:rsidP="00B00833">
      <w:pPr>
        <w:sectPr w:rsidR="00CE6665" w:rsidSect="003A31F1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835"/>
        <w:gridCol w:w="851"/>
        <w:gridCol w:w="1275"/>
        <w:gridCol w:w="1134"/>
        <w:gridCol w:w="5529"/>
      </w:tblGrid>
      <w:tr w:rsidR="00CE6665" w:rsidRPr="00115F87" w:rsidTr="00B00833">
        <w:trPr>
          <w:trHeight w:val="240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7</w:t>
            </w: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adiponectin</w:t>
            </w:r>
          </w:p>
        </w:tc>
      </w:tr>
      <w:tr w:rsidR="00CE6665" w:rsidRPr="00115F87" w:rsidTr="00B00833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Median/mean follow-up (years)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115F87" w:rsidTr="00B00833">
        <w:trPr>
          <w:trHeight w:val="11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Hotta, 2000, Japan</w:t>
            </w:r>
            <w:r w:rsidRPr="001718CD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Case-control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 = 183 (60)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Healthy controls = 82 (57)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69; 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Lower plasma adiponectin in patients than in controls.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Adiponectin levels were negatively correlated with body mass index, fasting plasma glucose and insulin levels.</w:t>
            </w:r>
          </w:p>
        </w:tc>
      </w:tr>
      <w:tr w:rsidR="00CE6665" w:rsidRPr="00115F87" w:rsidTr="00B00833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Ng, 2005, Australia</w:t>
            </w:r>
            <w:r w:rsidRPr="001718CD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Healthy males, 41 (47 ± 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 adiponectin was inversely associated with triglycerides, cholesterol and VLDL apolipoprotein B concentrations.</w:t>
            </w:r>
          </w:p>
        </w:tc>
      </w:tr>
      <w:tr w:rsidR="00CE6665" w:rsidRPr="00115F87" w:rsidTr="00B00833">
        <w:trPr>
          <w:trHeight w:val="14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Inoue, 2007, Japan</w:t>
            </w:r>
            <w:r w:rsidRPr="001718CD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CAD patients, 149 (63 ± 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Lower adiponectin levels in patients with multivessel CAD than patients with single vessel CAD.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adiponectin was associated with cardiovascular events during 7 years of follow-up.</w:t>
            </w:r>
          </w:p>
        </w:tc>
      </w:tr>
      <w:tr w:rsidR="00CE6665" w:rsidRPr="00115F87" w:rsidTr="00B00833">
        <w:trPr>
          <w:trHeight w:val="7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Gardener, 2011, USA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Healthy individuals, 1522 (66 ± 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plasma adiponectin was associated with increased carotid IMT.</w:t>
            </w:r>
          </w:p>
        </w:tc>
      </w:tr>
      <w:tr w:rsidR="00CE6665" w:rsidRPr="00115F87" w:rsidTr="00B00833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Shimabukuro, 2003, Japan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Healthy individuals, 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plasma adiponectin levels were closely correlated with resistance vessel endothelial dysfunction.</w:t>
            </w:r>
          </w:p>
        </w:tc>
      </w:tr>
      <w:tr w:rsidR="00CE6665" w:rsidRPr="00115F87" w:rsidTr="00B00833">
        <w:trPr>
          <w:trHeight w:val="3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Liu, 2018, China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Meta-analysis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 studies published between 2005 and 2015 for accuracy analysis</w:t>
            </w:r>
          </w:p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Inclusion criteria: studies involved adiponectin measurement upon diagnosis of metabolic syndrome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Sample size = 1248 participants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 for accuracy of adiponectin upon metabolic syndrome diagnosis ranging from 0.67 to 0.89.</w:t>
            </w:r>
          </w:p>
        </w:tc>
      </w:tr>
      <w:tr w:rsidR="00CE6665" w:rsidRPr="00115F87" w:rsidTr="00B00833">
        <w:trPr>
          <w:trHeight w:val="28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Yang, 2019, China</w:t>
            </w:r>
            <w:r w:rsidRPr="001718CD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Meta-analysis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12 prospective studies published between 2006 and 2016</w:t>
            </w:r>
          </w:p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Inclusion criteria: studies involved CAD patients and adiponectin measurement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Total sample size = 10974 CAD patients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adiponectin levels were associated with cardiovascular and all-cause mortality.</w:t>
            </w:r>
          </w:p>
        </w:tc>
      </w:tr>
      <w:tr w:rsidR="00CE6665" w:rsidRPr="00115F87" w:rsidTr="00B00833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Oliveira, 2013, Brazil</w:t>
            </w:r>
            <w:r w:rsidRPr="001718CD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ACS, 114 (62 ± 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1.1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Adiponectin was associated with higher risk of cardiovascular events. Significant correlation between adiponectin and BNP.</w:t>
            </w:r>
          </w:p>
        </w:tc>
      </w:tr>
      <w:tr w:rsidR="00CE6665" w:rsidRPr="00115F87" w:rsidTr="00B00833">
        <w:trPr>
          <w:trHeight w:val="1440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Pratesi, 2016, Italy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Stable CAD patients, 138 (69 ± 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3.8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adiponectin levels &gt;13.2 ng/mL had a significantly higher risk of all-cause mortality than patients with lower adiponectin levels.</w:t>
            </w:r>
          </w:p>
          <w:p w:rsidR="00CE6665" w:rsidRPr="00115F8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0.78.</w:t>
            </w:r>
          </w:p>
        </w:tc>
      </w:tr>
      <w:tr w:rsidR="00CE6665" w:rsidRPr="00115F87" w:rsidTr="00B00833">
        <w:trPr>
          <w:trHeight w:val="240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115F8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15F8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Abbreviations: ACS, acute coronary syndrome; AUC, area under curve; BNP, B-type natriuretic peptide; CAD, coronary artery disease; IMT, intima-media thickness; N/A, not applicable; T2DM, type 2 diabetes mellitus; VLDL, very low-density lipoprotein.</w:t>
            </w:r>
          </w:p>
        </w:tc>
      </w:tr>
    </w:tbl>
    <w:p w:rsidR="00CE6665" w:rsidRPr="005E350A" w:rsidRDefault="00CE6665" w:rsidP="00B00833">
      <w:pPr>
        <w:sectPr w:rsidR="00CE6665" w:rsidRPr="005E350A" w:rsidSect="003A31F1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126"/>
        <w:gridCol w:w="992"/>
        <w:gridCol w:w="1276"/>
        <w:gridCol w:w="1276"/>
        <w:gridCol w:w="5812"/>
      </w:tblGrid>
      <w:tr w:rsidR="00CE6665" w:rsidRPr="007F7229" w:rsidTr="00B00833">
        <w:trPr>
          <w:trHeight w:val="3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8</w:t>
            </w: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A-FABP </w:t>
            </w:r>
          </w:p>
        </w:tc>
      </w:tr>
      <w:tr w:rsidR="00CE6665" w:rsidRPr="007F7229" w:rsidTr="00B00833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Median/mean follow-up (years)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7F7229" w:rsidTr="00B00833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Xu, 2006,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Overweight/obese individuals = 129 (54)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Lean individuals = 100 (58)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67; 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serum A-FABP in overweight/obese than in lean individuals.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Serum A-FABP was positively correlated with waist circumference, blood pressure, dyslipidemia, fasting insulin and the HOMA-IR index. </w:t>
            </w:r>
          </w:p>
        </w:tc>
      </w:tr>
      <w:tr w:rsidR="00CE6665" w:rsidRPr="007F7229" w:rsidTr="00B00833">
        <w:trPr>
          <w:trHeight w:val="1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Bao, 2011, China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Adults undergoing coronary angiography, 341 (65)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serum A-FABP in patients with CAD than non-CAD subjects.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 positive correlation between serum A-FABP and the severity of coronary atherosclerosis.</w:t>
            </w:r>
          </w:p>
        </w:tc>
      </w:tr>
      <w:tr w:rsidR="00CE6665" w:rsidRPr="007F7229" w:rsidTr="00B00833">
        <w:trPr>
          <w:trHeight w:val="10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Hsu, 2010, Taiwan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CAD patients, 98 (68 ± 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A-FABP was positively correlated with metabolic syndrome.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 correlation between serum A-FABP levels and number of metabolic syndrome diagnostic criteria.</w:t>
            </w:r>
          </w:p>
        </w:tc>
      </w:tr>
      <w:tr w:rsidR="00CE6665" w:rsidRPr="007F7229" w:rsidTr="00B00833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Huang, 2018, Taiwan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CAD patients, 106 (66 ± 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serum A-FABP levels were associated with adverse cardiovascular events.</w:t>
            </w:r>
          </w:p>
        </w:tc>
      </w:tr>
      <w:tr w:rsidR="00CE6665" w:rsidRPr="007F7229" w:rsidTr="00B00833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Takagi, 2017, Japan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stable angina undergoing PCI, 130 (72 ± 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 A-FABP was an independent predictor of long-term cardiovascular events.</w:t>
            </w:r>
          </w:p>
        </w:tc>
      </w:tr>
      <w:tr w:rsidR="00CE6665" w:rsidRPr="007F7229" w:rsidTr="00B00833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Eynatten, 2012, Germany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CAD patients, 1069 (60)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A-FABP levels were associated with cardiovascular mortality during 10-years follow-up.</w:t>
            </w:r>
          </w:p>
        </w:tc>
      </w:tr>
      <w:tr w:rsidR="00CE6665" w:rsidRPr="007F7229" w:rsidTr="00B00833">
        <w:trPr>
          <w:trHeight w:val="144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Chow, 2013, China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(73)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General population, 849 men and 998 women (mean: 57)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9.4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A-FABP levels were associated with long-term adverse cardiovascular events.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NRI and IDI significantly improved by the addition of A-FABP to the traditional risk factor model (NRI: 18.6%; IDI: 0.25%).</w:t>
            </w:r>
          </w:p>
        </w:tc>
      </w:tr>
      <w:tr w:rsidR="00CE6665" w:rsidRPr="007F7229" w:rsidTr="00B00833">
        <w:trPr>
          <w:trHeight w:val="251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Reiser, 2015, Switzerland</w:t>
            </w:r>
            <w:r w:rsidRPr="00D80F0C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(74)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STEMI = 269 (63)</w:t>
            </w:r>
          </w:p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NSTEMI = 170 64)</w:t>
            </w:r>
          </w:p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Stable CAD = 68 (62)</w:t>
            </w:r>
          </w:p>
          <w:p w:rsidR="00CE6665" w:rsidRPr="007F7229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Controls = 313 (60)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77; 81; 87;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30-day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serum A-FABP levels in STEMI patients than controls.</w:t>
            </w:r>
          </w:p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serum A-FABP levels in patients with ACS were associated with cardiovascular events during 30-day follow-up.</w:t>
            </w:r>
          </w:p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AUC = 0.65 for A-FABP alone; AUC = 0.68 for the combination of A-FABP and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NT-pro</w:t>
            </w: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BNP.</w:t>
            </w:r>
          </w:p>
        </w:tc>
      </w:tr>
      <w:tr w:rsidR="00CE6665" w:rsidRPr="007F7229" w:rsidTr="00B00833">
        <w:trPr>
          <w:trHeight w:val="312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7F7229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Abbreviations: ACS, acute coronary syndrome; A-FABP, adipocyte fatty acid-binding protein; AUC, area under curve;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NT-pro</w:t>
            </w: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BNP,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N-terminal pro-</w:t>
            </w: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B-type natriuretic peptide; CAD, coronary artery disease; HOMA-IR, homeostatic model assessment of insulin resistance; IDI, integrated </w:t>
            </w: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discrimination improvement; N/A, not applicable; NRI, net reclassification index; NSTEMI, non ST-elevation myocardial infarction; PCI, percutaneous coronary intervention; STEMI, ST-elevation myocardial infarction.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1718C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526"/>
        <w:gridCol w:w="1166"/>
        <w:gridCol w:w="2732"/>
        <w:gridCol w:w="725"/>
        <w:gridCol w:w="1215"/>
        <w:gridCol w:w="1272"/>
        <w:gridCol w:w="5308"/>
        <w:gridCol w:w="14"/>
      </w:tblGrid>
      <w:tr w:rsidR="00CE6665" w:rsidRPr="005010F8" w:rsidTr="00B00833">
        <w:trPr>
          <w:gridAfter w:val="1"/>
          <w:wAfter w:w="14" w:type="dxa"/>
          <w:trHeight w:val="315"/>
        </w:trPr>
        <w:tc>
          <w:tcPr>
            <w:tcW w:w="13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kern w:val="0"/>
                <w:szCs w:val="24"/>
                <w:lang w:eastAsia="zh-CN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9</w:t>
            </w: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. Summary of studies involving H-FABP</w:t>
            </w:r>
          </w:p>
        </w:tc>
      </w:tr>
      <w:tr w:rsidR="00CE6665" w:rsidRPr="005010F8" w:rsidTr="00B00833">
        <w:trPr>
          <w:trHeight w:val="945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Author, year, country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(reference)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Study design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Study population, n (mean age ± SD, years)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Male (%)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Specimen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Median/</w:t>
            </w:r>
          </w:p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mean follow-up (years)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zh-CN"/>
              </w:rPr>
              <w:t>Findings</w:t>
            </w:r>
          </w:p>
        </w:tc>
      </w:tr>
      <w:tr w:rsidR="00CE6665" w:rsidRPr="005010F8" w:rsidTr="00B00833">
        <w:trPr>
          <w:trHeight w:val="15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Akbal, 2009, Turkey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kern w:val="0"/>
                <w:szCs w:val="24"/>
                <w:lang w:eastAsia="zh-CN"/>
              </w:rPr>
              <w:t>(75)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Case-control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Patients with metabolic syndrome = 55 (55)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br/>
              <w:t>Healthy controls = 73 (50)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40; 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Higher serum H-FABP levels in patients with metabolic syndrome than control subjects.</w:t>
            </w:r>
          </w:p>
        </w:tc>
      </w:tr>
      <w:tr w:rsidR="00CE6665" w:rsidRPr="005010F8" w:rsidTr="00B00833">
        <w:trPr>
          <w:trHeight w:val="94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Ramesh, 2020, India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kern w:val="0"/>
                <w:szCs w:val="24"/>
                <w:lang w:eastAsia="zh-CN"/>
              </w:rPr>
              <w:t>(76)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Case-control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Prediabetics = 50 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br/>
              <w:t>Healthy controls = 50 (mean: 36)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48; 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Higher serum H-FABP levels in prediabetic patients than in controls.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br/>
              <w:t>Serum H-FABP levels were positively correlated with carotid IMT and high-sensitivity CRP.</w:t>
            </w:r>
          </w:p>
        </w:tc>
      </w:tr>
      <w:tr w:rsidR="00CE6665" w:rsidRPr="005010F8" w:rsidTr="00B00833">
        <w:trPr>
          <w:trHeight w:val="63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O'Donoghue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,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2016, USA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kern w:val="0"/>
                <w:szCs w:val="24"/>
                <w:lang w:eastAsia="zh-CN"/>
              </w:rPr>
              <w:t>(77)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Cohort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Patients with ACS, 2287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10-month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High H-FABP levels were associated with the composite endpoint of all-cause mortality, non-fatal MI, or CHF.</w:t>
            </w:r>
          </w:p>
        </w:tc>
      </w:tr>
      <w:tr w:rsidR="00CE6665" w:rsidRPr="005010F8" w:rsidTr="00B00833">
        <w:trPr>
          <w:trHeight w:val="993"/>
        </w:trPr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Niizeki, 2005, Japan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kern w:val="0"/>
                <w:szCs w:val="24"/>
                <w:lang w:eastAsia="zh-CN"/>
              </w:rPr>
              <w:t>(78)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Cohort</w:t>
            </w:r>
          </w:p>
        </w:tc>
        <w:tc>
          <w:tcPr>
            <w:tcW w:w="273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Patients with CHF, 186 (67 ± 12)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59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1.5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Patients with H-FABP levels &gt;4.3 ng/ml had a higher risk of cardiac events compared with patients with lower H-FABP levels.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br/>
              <w:t>AUC: 0.79.</w:t>
            </w:r>
          </w:p>
        </w:tc>
      </w:tr>
      <w:tr w:rsidR="00CE6665" w:rsidRPr="005010F8" w:rsidTr="00B00833">
        <w:trPr>
          <w:trHeight w:val="63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lastRenderedPageBreak/>
              <w:t>Zhang, 2020, China</w:t>
            </w:r>
            <w:r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kern w:val="0"/>
                <w:szCs w:val="24"/>
                <w:lang w:eastAsia="zh-CN"/>
              </w:rPr>
              <w:t>(79)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Cohort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Stable CAD patients, 4594 (58 ± 10)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Plasma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7.1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High H-FABP levels were associated with adverse cardiovascular events in CAD patients with pre-DM and DM.</w:t>
            </w:r>
          </w:p>
        </w:tc>
      </w:tr>
      <w:tr w:rsidR="00CE6665" w:rsidRPr="005010F8" w:rsidTr="00B00833">
        <w:trPr>
          <w:gridAfter w:val="1"/>
          <w:wAfter w:w="14" w:type="dxa"/>
          <w:trHeight w:val="315"/>
        </w:trPr>
        <w:tc>
          <w:tcPr>
            <w:tcW w:w="1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 xml:space="preserve">Abbreviations: ACS, acute coronary syndrome; AUC, area under curve; CAD, coronary artery disease; CHF, chronic heart failure; DM, diabetes mellitus; HbA1c, hemoglobin A1c; H-FABP, heart-type fatty acid-binding protein; IFG, impaired fasting glucose; IGT, impaired glucose tolerance; IMT, intima-media thickness; MI, myocardial infarction; </w:t>
            </w:r>
            <w:r w:rsidRPr="007F7229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N/A, not applicable; </w:t>
            </w:r>
            <w:r w:rsidRPr="005E350A">
              <w:rPr>
                <w:rFonts w:eastAsia="Times New Roman" w:cstheme="minorHAnsi"/>
                <w:color w:val="000000"/>
                <w:kern w:val="0"/>
                <w:szCs w:val="24"/>
                <w:lang w:eastAsia="zh-CN"/>
              </w:rPr>
              <w:t>NGT, normal glucose tolerance.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1718C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325"/>
        <w:gridCol w:w="1089"/>
        <w:gridCol w:w="2933"/>
        <w:gridCol w:w="823"/>
        <w:gridCol w:w="1278"/>
        <w:gridCol w:w="1275"/>
        <w:gridCol w:w="5387"/>
      </w:tblGrid>
      <w:tr w:rsidR="00CE6665" w:rsidRPr="00442928" w:rsidTr="00B00833">
        <w:trPr>
          <w:trHeight w:val="3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442928" w:rsidRDefault="00CE6665" w:rsidP="00B008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10</w:t>
            </w: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lipocalin-2</w:t>
            </w:r>
          </w:p>
        </w:tc>
      </w:tr>
      <w:tr w:rsidR="00CE6665" w:rsidRPr="00442928" w:rsidTr="00B00833">
        <w:trPr>
          <w:trHeight w:val="312"/>
        </w:trPr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44EA2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</w:t>
            </w:r>
          </w:p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mean follow-up (years)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442928" w:rsidTr="00B00833">
        <w:trPr>
          <w:trHeight w:val="1007"/>
        </w:trPr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Wang, 2007,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(18)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Overweight individuals = 80</w:t>
            </w:r>
          </w:p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Obese individuals = 49</w:t>
            </w:r>
          </w:p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Lean individuals = 100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(33-72)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 lipocalin-2 was positively correlated with waist circumference, blood pressure, hyperglycemia, hypertriglyceridemia and the HOMA-IR index.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 correlation between lipocalin-2 and high-sensitivity CRP.</w:t>
            </w:r>
          </w:p>
        </w:tc>
      </w:tr>
      <w:tr w:rsidR="00CE6665" w:rsidRPr="00442928" w:rsidTr="00B00833">
        <w:trPr>
          <w:trHeight w:val="622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Chesnaye, 2016, Mexico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Healthy individuals, 24 men and 29 women (mean: 41 ± 10)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Significantly higher lipocalin-2 levels in males than females.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 lipocalin-2 levels were correlated with age, body mass index, HOMA-IR, triglycerides, and high-density lipoprotein.</w:t>
            </w:r>
          </w:p>
        </w:tc>
      </w:tr>
      <w:tr w:rsidR="00CE6665" w:rsidRPr="00442928" w:rsidTr="00B00833">
        <w:trPr>
          <w:trHeight w:val="180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Elkhidir, 2017, Sudan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Case-control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 = 57 (51)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Non-diabetic controls = 30 (50)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serum lipocalin-2 in T2DM patients than controls.</w:t>
            </w:r>
          </w:p>
        </w:tc>
      </w:tr>
      <w:tr w:rsidR="00CE6665" w:rsidRPr="00442928" w:rsidTr="00B00833">
        <w:trPr>
          <w:trHeight w:val="1843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Zografos, 2009, Greece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Angiographically confirmed CAD = 31 (65)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Controls with normal coronary arteries = 42 (58)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87; 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serum lipocalin-2 levels in patients with CAD than controls with normal coronary arteries. Serum lipocalin-2 was correlated with the severity of CAD.</w:t>
            </w:r>
          </w:p>
        </w:tc>
      </w:tr>
      <w:tr w:rsidR="00CE6665" w:rsidRPr="00442928" w:rsidTr="00B00833">
        <w:trPr>
          <w:trHeight w:val="1238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Ni, 2013, China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Angiographically confirmed CAD = 188 (67)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Controls with normal coronary arteries = 73 (64)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Higher lipocalin-2 levels in patients with CAD than non-CAD subjects.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 lipocalin-2 was positively correlated with the number of metabolic syndrome components in men.</w:t>
            </w:r>
          </w:p>
        </w:tc>
      </w:tr>
      <w:tr w:rsidR="00CE6665" w:rsidRPr="00442928" w:rsidTr="00B00833">
        <w:trPr>
          <w:trHeight w:val="2552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Xiao, 2013,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 divided into two groups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subclinical atherosclerosis = 78 (57)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without atherosclerosis = 206 (53)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49; 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 difference in serum lipocalin-2 levels between patients with and without subclinical atherosclerosis.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Positive correlation between lipocalin-2 and carotid IMT.</w:t>
            </w:r>
          </w:p>
        </w:tc>
      </w:tr>
      <w:tr w:rsidR="00CE6665" w:rsidRPr="00442928" w:rsidTr="00B00833">
        <w:trPr>
          <w:trHeight w:val="144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Wu, 2014, China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General population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287 men and 420 women (mean: 59 ± 14)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6.2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lipocalin-2 levels were associated with cardiovascular events in male subjects.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lipocalin-2 to traditional risk factor model improved the AUC from 0.77 to 0.81.</w:t>
            </w:r>
          </w:p>
        </w:tc>
      </w:tr>
      <w:tr w:rsidR="00CE6665" w:rsidRPr="00442928" w:rsidTr="00B00833">
        <w:trPr>
          <w:trHeight w:val="108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Choi, 2008, Korea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49 Stable CAD patients and 42 controls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(mean: 61)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Significantly higher lipcoalin-2 levels in CAD patients than healthy controls.</w:t>
            </w:r>
          </w:p>
        </w:tc>
      </w:tr>
      <w:tr w:rsidR="00CE6665" w:rsidRPr="00442928" w:rsidTr="00B00833">
        <w:trPr>
          <w:trHeight w:val="1479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Yndestad, 2009, Norway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(89)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CHF, 150 (56 ± 12)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2.3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in NYHA class III/IV had higher lipocalin-2 levels than controls.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lipocalin-2 levels were associated with the composite endpoint of non-fatal MI, stroke, and cardiovascular and total mortality.</w:t>
            </w:r>
          </w:p>
        </w:tc>
      </w:tr>
      <w:tr w:rsidR="00CE6665" w:rsidRPr="00442928" w:rsidTr="00B00833">
        <w:trPr>
          <w:trHeight w:val="144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Akcay, 2012, Turkey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(90)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PCI treated STEMI patients, 106 (52)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lipocalin-2 levels &gt;46 ng/mL had higher incidence of MACE and death compared with patients with lower lipocalin-2 levels.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 = 0.76 for prediction of mortality.</w:t>
            </w:r>
          </w:p>
        </w:tc>
      </w:tr>
      <w:tr w:rsidR="00CE6665" w:rsidRPr="00442928" w:rsidTr="00B00833">
        <w:trPr>
          <w:trHeight w:val="362"/>
        </w:trPr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Avci, 2020, Turkey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(91)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STEMI patients divided into two groups</w:t>
            </w:r>
          </w:p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Preserved LVEF = 34 (56)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Reduced LVEF = 34 (67)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82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6-month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lipocalin-2 levels were associated with cardiovascular mortality in STEMI patients.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0.85</w:t>
            </w:r>
          </w:p>
        </w:tc>
      </w:tr>
      <w:tr w:rsidR="00CE6665" w:rsidRPr="00442928" w:rsidTr="00B00833">
        <w:trPr>
          <w:trHeight w:val="1440"/>
        </w:trPr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Bolignano, 2009, Italy</w:t>
            </w:r>
            <w:r w:rsidRPr="00ED120A">
              <w:rPr>
                <w:rFonts w:eastAsia="Times New Roman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val="en-GB"/>
              </w:rPr>
              <w:t>(92)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Elderly with CHF, 46 (78 ± 7)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lipocalin-2 levels &gt;783 ng/mL had a significantly higher risk of mortality compared to patients with lower lipocalin-2 levels.</w:t>
            </w:r>
          </w:p>
          <w:p w:rsidR="00CE6665" w:rsidRPr="00442928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0.68.</w:t>
            </w:r>
          </w:p>
        </w:tc>
      </w:tr>
      <w:tr w:rsidR="00CE6665" w:rsidRPr="00442928" w:rsidTr="00B00833">
        <w:trPr>
          <w:trHeight w:val="312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442928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Abbreviations: AUC, area under curve; CAD, coronary artery disease; CHF, chronic heart failure; CRP, c-reactive protein; HOMA-IR, homeostatic model assessment of insulin resistance; IMT, intima-media thickness; LVEF, left ventricular ejection fraction; MACE, major </w:t>
            </w:r>
            <w:r w:rsidRPr="00442928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adverse cardiovascular event; MI, myocardial infarction; N/A, not applicable; NR, not reported; NYHA, New York Heart Association; PCI, percutaneous coronary intervention; STEMI, ST-elevation myocardial infarction; T2DM, type 2 diabetes mellitus.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D80F0C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497"/>
        <w:gridCol w:w="1238"/>
        <w:gridCol w:w="2368"/>
        <w:gridCol w:w="993"/>
        <w:gridCol w:w="1184"/>
        <w:gridCol w:w="1225"/>
        <w:gridCol w:w="5529"/>
      </w:tblGrid>
      <w:tr w:rsidR="00CE6665" w:rsidRPr="001D2DEF" w:rsidTr="00B00833">
        <w:trPr>
          <w:trHeight w:val="3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1D2DEF" w:rsidRDefault="00CE6665" w:rsidP="00B008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11</w:t>
            </w: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. Summary of studies involving FGF-19 and FGF-21</w:t>
            </w:r>
          </w:p>
        </w:tc>
      </w:tr>
      <w:tr w:rsidR="00CE6665" w:rsidRPr="001D2DEF" w:rsidTr="00B00833">
        <w:trPr>
          <w:trHeight w:val="312"/>
        </w:trPr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</w:t>
            </w:r>
          </w:p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mean follow-up (years)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1D2DEF" w:rsidTr="00B00833">
        <w:trPr>
          <w:trHeight w:val="1167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Barutcuoglu, 2011, Turkey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(20)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T2DM with metabolic syndrome = 26 (54)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Healthy controls = 12 (50)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Lower serum FGF-19 levels in patients with metabolic syndrome than controls.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FGF-19 levels were negatively correlated with body mass index and HbA1c.</w:t>
            </w:r>
          </w:p>
        </w:tc>
      </w:tr>
      <w:tr w:rsidR="00CE6665" w:rsidRPr="001D2DEF" w:rsidTr="00B00833">
        <w:trPr>
          <w:trHeight w:val="839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Wang, 2013,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(21)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30 GDM patients and 60 controls (29 ± 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Serum FGF-19 levels were significantly lower in patients than in controls, in contrast with FGF-21 levels. Both serum FGF-19 and FGF-21 levels were strongly correlated with HOMA-IR and adiponectin.</w:t>
            </w:r>
          </w:p>
        </w:tc>
      </w:tr>
      <w:tr w:rsidR="00CE6665" w:rsidRPr="001D2DEF" w:rsidTr="00B00833">
        <w:trPr>
          <w:trHeight w:val="283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Fang, 2013,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(94)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T2DM patients = 104 (50)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IFG = 91 (50)</w:t>
            </w:r>
          </w:p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IGT = 93 (48)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NGT = 81 (41)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55; 47; 46; 57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Lower serum FGF-19 levels in patients with IFG and T2DM than in NGT subjects.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 FGF-19 levels were inversely associated with fasting glucose levels.</w:t>
            </w:r>
          </w:p>
        </w:tc>
      </w:tr>
      <w:tr w:rsidR="00CE6665" w:rsidRPr="001D2DEF" w:rsidTr="00B00833">
        <w:trPr>
          <w:trHeight w:val="170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Hao, 2013,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(95)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Angiographically confirmed CAD = 228 (67)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Controls with normal coronary arteries = 87 (65)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71; 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Lower serum FGF-19 levels in CAD patients than non-CAD subjects.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serum FGF-19 was associated with the presence and severity of CAD.</w:t>
            </w:r>
          </w:p>
        </w:tc>
      </w:tr>
      <w:tr w:rsidR="00CE6665" w:rsidRPr="001D2DEF" w:rsidTr="00B00833">
        <w:trPr>
          <w:trHeight w:val="123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Zhang, 2008,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(96)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Overweight/obese individuals = 127 (55)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Lean individuals = 105 (57)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49; 50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Serum FGF-21 was positively correlated with body mass index, fasting insulin, triglycerides, HOMA-IR and serum A-FABP levels.</w:t>
            </w:r>
          </w:p>
        </w:tc>
      </w:tr>
      <w:tr w:rsidR="00CE6665" w:rsidRPr="001D2DEF" w:rsidTr="00B00833">
        <w:trPr>
          <w:trHeight w:val="569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Lin, 2010,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(97)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135 CAD patients and 61 controls (69 ± 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Higher serum FGF-21 levels in patients than controls.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serum FGF-21 was associated with fasting glucose, apolipoprotein A1 and triglyceride.</w:t>
            </w:r>
          </w:p>
        </w:tc>
      </w:tr>
      <w:tr w:rsidR="00CE6665" w:rsidRPr="001D2DEF" w:rsidTr="00B00833">
        <w:trPr>
          <w:trHeight w:val="31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Bobbert, 2013, Germany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noProof/>
                <w:color w:val="000000"/>
                <w:kern w:val="0"/>
                <w:szCs w:val="24"/>
              </w:rPr>
              <w:t>(98)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Healthy individuals, 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FGF-21 was associated with incident metabolic syndrome, future T2DM and progression to impaired glucose metabolism.</w:t>
            </w:r>
          </w:p>
        </w:tc>
      </w:tr>
      <w:tr w:rsidR="00CE6665" w:rsidRPr="001D2DEF" w:rsidTr="00B00833">
        <w:trPr>
          <w:trHeight w:val="1049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Chen, 2011,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(99)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T2DM = 298 (59)</w:t>
            </w:r>
          </w:p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IFG/IGT = 558 (55)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NGT = 1044 (49)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50; 51; 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5.4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Higher plasma FGF-21 levels in IGT/IFG vs. T2DM and NGT.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High FGF-21 levels predicted the development of T2DM.</w:t>
            </w:r>
          </w:p>
        </w:tc>
      </w:tr>
      <w:tr w:rsidR="00CE6665" w:rsidRPr="001D2DEF" w:rsidTr="00B00833">
        <w:trPr>
          <w:trHeight w:val="141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Chow, 2013,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Adults undergoing carotid IMT measurement, 285 men and 385 women (mean: 58)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serum FGF-21 was associated with carotid IMT in women.</w:t>
            </w:r>
          </w:p>
        </w:tc>
      </w:tr>
      <w:tr w:rsidR="00CE6665" w:rsidRPr="001D2DEF" w:rsidTr="00B00833">
        <w:trPr>
          <w:trHeight w:val="10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Chen, 2018,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(101)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Patients with acute MI, 165 (64 ± 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Patients with FGF-21 levels ≥123 pg/mL had a higher risk of MACE compared with patients with lower FGF-21 levels.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0.67.</w:t>
            </w:r>
          </w:p>
        </w:tc>
      </w:tr>
      <w:tr w:rsidR="00CE6665" w:rsidRPr="001D2DEF" w:rsidTr="00B00833">
        <w:trPr>
          <w:trHeight w:val="104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Shen, 2018,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(102)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CAD patients, 169 (67)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serum FGF-21 was associated with MACE in CAD patients.</w:t>
            </w:r>
          </w:p>
          <w:p w:rsidR="00CE6665" w:rsidRPr="001D2DEF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0.67.</w:t>
            </w:r>
          </w:p>
        </w:tc>
      </w:tr>
      <w:tr w:rsidR="00CE6665" w:rsidRPr="001D2DEF" w:rsidTr="00B00833">
        <w:trPr>
          <w:trHeight w:val="312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Li, 2016, China</w:t>
            </w:r>
            <w:r w:rsidRPr="007257B6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(103)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CAD patients, 1668 (63)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4.9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serum FGF-21 levels were associated with cardiovascular and all-cause mortality during a median follow-up of 4.9 years.</w:t>
            </w:r>
          </w:p>
        </w:tc>
      </w:tr>
      <w:tr w:rsidR="00CE6665" w:rsidRPr="001D2DEF" w:rsidTr="00B00833">
        <w:trPr>
          <w:trHeight w:val="432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1D2DEF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Abbreviations: A-FABP, adipocyte fatty acid-binding protein; AUC, area under curve; CAD, coronary artery disease; FGF, fibroblast growth factor; GDM, gestational diabetes mellitus; HbA1c, hemoglobin A1c; HOMA-IR, homeostatic model assessment of insulin resistance; IFG, impaired fasting glucose; IGT, impaired glucose tolerance; IMT, intima-media thickness; MACE, major adverse cardiovascular event; MI, myocardial infarction;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N/A, not applicable; </w:t>
            </w: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NGT, normal glucose tolerance;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NR, not reported;</w:t>
            </w:r>
            <w:r w:rsidRPr="001D2DEF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T2DM, type 2 diabetes mellitus.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ED120A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360"/>
        <w:gridCol w:w="1089"/>
        <w:gridCol w:w="2792"/>
        <w:gridCol w:w="725"/>
        <w:gridCol w:w="1279"/>
        <w:gridCol w:w="1263"/>
        <w:gridCol w:w="5528"/>
      </w:tblGrid>
      <w:tr w:rsidR="00CE6665" w:rsidRPr="00CF2347" w:rsidTr="00B00833">
        <w:trPr>
          <w:trHeight w:val="3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2347" w:rsidRDefault="00CE6665" w:rsidP="00B008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12</w:t>
            </w: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. Summary of studies involving RBP4</w:t>
            </w:r>
          </w:p>
        </w:tc>
      </w:tr>
      <w:tr w:rsidR="00CE6665" w:rsidRPr="00CF2347" w:rsidTr="00B00833">
        <w:trPr>
          <w:trHeight w:val="1048"/>
        </w:trPr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age, years)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</w:t>
            </w:r>
          </w:p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mean follow-up (years)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CF2347" w:rsidTr="00B00833">
        <w:trPr>
          <w:trHeight w:val="1579"/>
        </w:trPr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Yang, 2005, USA</w:t>
            </w:r>
            <w:r w:rsidRPr="005D5BFD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(105)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Case-control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Obese diabetic = 10 (58)</w:t>
            </w:r>
          </w:p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Obese non-diabetic = 7 (48)</w:t>
            </w:r>
          </w:p>
          <w:p w:rsidR="00CE6665" w:rsidRPr="00CF234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Lean non-diabetic = 5 (38)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Serum RBP4 levels were increased in obesity and T2DM.</w:t>
            </w:r>
          </w:p>
        </w:tc>
      </w:tr>
      <w:tr w:rsidR="00CE6665" w:rsidRPr="00CF2347" w:rsidTr="00B00833">
        <w:trPr>
          <w:trHeight w:val="312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Bobbert, 2010, Germany</w:t>
            </w:r>
            <w:r w:rsidRPr="005D5BFD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Adults undergoing carotid IMT measurement, 96 (55)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Significant correlation between RBP4 and carotid IMT.</w:t>
            </w:r>
          </w:p>
        </w:tc>
      </w:tr>
      <w:tr w:rsidR="00CE6665" w:rsidRPr="00CF2347" w:rsidTr="00B00833">
        <w:trPr>
          <w:trHeight w:val="312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Liu, 2014, China</w:t>
            </w:r>
            <w:r w:rsidRPr="005D5BFD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(23)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Healthy individuals, 1748 (65)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plasma RBP4 levels were associated with metabolic syndrome and its components including hypertriglyceridemia, reduced HDL cholesterol and hyperglycemia. RBP4 was strongly correlated with inflammatory markers and oxidative stress.</w:t>
            </w:r>
          </w:p>
        </w:tc>
      </w:tr>
      <w:tr w:rsidR="00CE6665" w:rsidRPr="00CF2347" w:rsidTr="00B00833">
        <w:trPr>
          <w:trHeight w:val="312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Majerczyk, 2018, Poland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Elderly, 3038 (78)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serum RBP4 levels were associated with the presence and the number of components of metabolic syndrome.</w:t>
            </w:r>
          </w:p>
        </w:tc>
      </w:tr>
      <w:tr w:rsidR="00CE6665" w:rsidRPr="00CF2347" w:rsidTr="00B00833">
        <w:trPr>
          <w:trHeight w:val="1276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Lambadiari, 2014, Greece</w:t>
            </w:r>
            <w:r w:rsidRPr="005D5BFD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Angiographically confirmed CAD = 305 (65)</w:t>
            </w:r>
          </w:p>
          <w:p w:rsidR="00CE6665" w:rsidRPr="00CF234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Controls with normal coronary arteries = 91 (62)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88; 81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Higher serum RBP4 in CAD patients than non-CAD subjects. AUC= 0.72 for the discrimination between presence and absence of CAD.</w:t>
            </w:r>
          </w:p>
          <w:p w:rsidR="00CE6665" w:rsidRPr="00CF234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RBP4 was positively associated with CAD severity in patients with CAD.</w:t>
            </w:r>
          </w:p>
        </w:tc>
      </w:tr>
      <w:tr w:rsidR="00CE6665" w:rsidRPr="00CF2347" w:rsidTr="00B00833">
        <w:trPr>
          <w:trHeight w:val="951"/>
        </w:trPr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Sun, 2013, USA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(108)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468 female patients with CAD and 472 controls </w:t>
            </w:r>
          </w:p>
          <w:p w:rsidR="00CE6665" w:rsidRPr="00CF234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(59)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RBP4 levels were associated with increased risk of CAD during the first 8 years of follow-up.</w:t>
            </w:r>
          </w:p>
        </w:tc>
      </w:tr>
      <w:tr w:rsidR="00CE6665" w:rsidRPr="00CF2347" w:rsidTr="00B00833">
        <w:trPr>
          <w:trHeight w:val="951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Li, 2020, China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(109)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Elderly with CHF, 934 (69)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serum RBP4 was associated with the composite endpoint of cardiovascular mortality and CHF rehospitalization.</w:t>
            </w:r>
          </w:p>
          <w:p w:rsidR="00CE6665" w:rsidRPr="00CF2347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0.74.</w:t>
            </w:r>
          </w:p>
        </w:tc>
      </w:tr>
      <w:tr w:rsidR="00CE6665" w:rsidRPr="00CF2347" w:rsidTr="00B00833">
        <w:trPr>
          <w:trHeight w:val="408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CF2347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Abbreviations: AUC, area under curve; CAD, coronary artery disease; CHF, chronic heart failure; HDL, high-density lipoprotein; IMT, intima-media thickness;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N/A, not applicable; NR, not reported;</w:t>
            </w:r>
            <w:r w:rsidRPr="00CF2347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RBP, retinol-binding protein; T2DM, type 2 diabetes mellitus.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7257B6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5" w:type="dxa"/>
        <w:tblLook w:val="04A0" w:firstRow="1" w:lastRow="0" w:firstColumn="1" w:lastColumn="0" w:noHBand="0" w:noVBand="1"/>
      </w:tblPr>
      <w:tblGrid>
        <w:gridCol w:w="1683"/>
        <w:gridCol w:w="1089"/>
        <w:gridCol w:w="3355"/>
        <w:gridCol w:w="762"/>
        <w:gridCol w:w="1350"/>
        <w:gridCol w:w="1494"/>
        <w:gridCol w:w="4302"/>
      </w:tblGrid>
      <w:tr w:rsidR="00CE6665" w:rsidRPr="009C4B0B" w:rsidTr="00B00833">
        <w:trPr>
          <w:trHeight w:val="312"/>
        </w:trPr>
        <w:tc>
          <w:tcPr>
            <w:tcW w:w="14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9C4B0B" w:rsidRDefault="00CE6665" w:rsidP="00B008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13</w:t>
            </w: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</w:rPr>
              <w:t>. Summary of studies involving PAI-1</w:t>
            </w:r>
          </w:p>
        </w:tc>
      </w:tr>
      <w:tr w:rsidR="00CE6665" w:rsidRPr="009C4B0B" w:rsidTr="00B00833">
        <w:trPr>
          <w:trHeight w:val="916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</w:t>
            </w:r>
          </w:p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mean follow-up (years)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9C4B0B" w:rsidTr="00B00833">
        <w:trPr>
          <w:trHeight w:val="691"/>
        </w:trPr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Vague, 1986, Belgium</w:t>
            </w:r>
            <w:r w:rsidRPr="00E75B0F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(113)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Healthy individuals, 35 (15-45)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PAI-1 was positively correlated with body mass index and plasma insulin levels.</w:t>
            </w:r>
          </w:p>
        </w:tc>
      </w:tr>
      <w:tr w:rsidR="00CE6665" w:rsidRPr="009C4B0B" w:rsidTr="00B00833">
        <w:trPr>
          <w:trHeight w:val="568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Yarmolinsky, 2016, Brazil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Meta-analysis</w:t>
            </w: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52 epidemiological studies published between 1988 and 2012</w:t>
            </w:r>
          </w:p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Inclusion criteria: studies involved assessment of T2DM and PAI-1 measurement</w:t>
            </w:r>
          </w:p>
          <w:p w:rsidR="00CE6665" w:rsidRPr="009C4B0B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Total sample size = 17209 participants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PAI-1 levels were associated with the risk of T2DM.</w:t>
            </w:r>
          </w:p>
        </w:tc>
      </w:tr>
      <w:tr w:rsidR="00CE6665" w:rsidRPr="009C4B0B" w:rsidTr="00B00833">
        <w:trPr>
          <w:trHeight w:val="709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Hamsten, 1987, Sweden</w:t>
            </w:r>
            <w:r w:rsidRPr="00E75B0F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Male patients with a first MI, 109 (40 ± 3)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PAI-1 levels were independently associated with reinfarction.</w:t>
            </w:r>
          </w:p>
        </w:tc>
      </w:tr>
      <w:tr w:rsidR="00CE6665" w:rsidRPr="009C4B0B" w:rsidTr="00B00833">
        <w:trPr>
          <w:trHeight w:val="18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Song, 2017, USA</w:t>
            </w:r>
            <w:r w:rsidRPr="00E75B0F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Meta-analysis</w:t>
            </w: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14 studies published between 1992 and 2016</w:t>
            </w:r>
          </w:p>
          <w:p w:rsidR="00CE6665" w:rsidRPr="009C4B0B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Inclusion criteria: studies involved CAD and PAI-1 measurement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PAI-1 levels were associated with the risk of CAD.</w:t>
            </w:r>
          </w:p>
        </w:tc>
      </w:tr>
      <w:tr w:rsidR="00CE6665" w:rsidRPr="009C4B0B" w:rsidTr="00B00833">
        <w:trPr>
          <w:trHeight w:val="2127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lastRenderedPageBreak/>
              <w:t>Jung, 2018, Canada</w:t>
            </w:r>
            <w:r w:rsidRPr="00BF53B4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Meta-analysis</w:t>
            </w: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38 studies published between 1991 and 2016</w:t>
            </w:r>
          </w:p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Inclusion criteria: studies involved components of MACE and PAI-1 measurement</w:t>
            </w:r>
          </w:p>
          <w:p w:rsidR="00CE6665" w:rsidRPr="009C4B0B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Total sample size = 11557 participants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High PAI-1 levels were associated with MACE in both primary and secondary event populations.</w:t>
            </w:r>
          </w:p>
        </w:tc>
      </w:tr>
      <w:tr w:rsidR="00CE6665" w:rsidRPr="009C4B0B" w:rsidTr="00B00833">
        <w:trPr>
          <w:trHeight w:val="384"/>
        </w:trPr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Pavlov, 2018, Croatia</w:t>
            </w:r>
            <w:r w:rsidRPr="00E75B0F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(118)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STEMI patients treated with primary PCI, 87 (61 ± 12)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Patients with PAI-1 activity rise &gt;3.7 U/mL had a higher risk of 5-year mortality.</w:t>
            </w:r>
          </w:p>
          <w:p w:rsidR="00CE6665" w:rsidRPr="009C4B0B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AUC: 0.75.</w:t>
            </w:r>
          </w:p>
        </w:tc>
      </w:tr>
      <w:tr w:rsidR="00CE6665" w:rsidRPr="009C4B0B" w:rsidTr="00B00833">
        <w:trPr>
          <w:trHeight w:val="1420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Tofler, 2016, USA</w:t>
            </w:r>
            <w:r w:rsidRPr="00E75B0F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</w:t>
            </w:r>
            <w:r>
              <w:rPr>
                <w:noProof/>
              </w:rPr>
              <w:t>(119)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Individuals without prior CVD from Framingham Heart Offspring Study, 3203 (55)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Antigen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Increasing PAI-1 levels were independently associated with subsequent major cardiovascular events.</w:t>
            </w:r>
          </w:p>
          <w:p w:rsidR="00CE6665" w:rsidRPr="009C4B0B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Addition of PAI-1 to traditional risk factor model modestly improved the AUC from 0.808 to 0.812. NRI: 4.8%.</w:t>
            </w:r>
          </w:p>
        </w:tc>
      </w:tr>
      <w:tr w:rsidR="00CE6665" w:rsidRPr="009C4B0B" w:rsidTr="00B00833">
        <w:trPr>
          <w:trHeight w:val="123"/>
        </w:trPr>
        <w:tc>
          <w:tcPr>
            <w:tcW w:w="14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9C4B0B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Abbreviations: AUC, area under curve; CAD, coronary artery disease; CVD, cardiovascular disease; MACE, major adverse cardiovascular event; MI, myocardial infarction; N/A, not applicable; NR, not reported; NRI, net reclassification index; PAI, plasminogen activator inhibitor; PCI, percutaneous coronary intervention; STEMI, ST-elevation myocardial infarction; T2DM, type 2 diabetes mellitus.</w:t>
            </w:r>
          </w:p>
        </w:tc>
      </w:tr>
    </w:tbl>
    <w:p w:rsidR="00CE6665" w:rsidRDefault="00CE6665" w:rsidP="00B00833">
      <w:pPr>
        <w:rPr>
          <w:lang w:val="en-GB"/>
        </w:rPr>
        <w:sectPr w:rsidR="00CE6665" w:rsidSect="005D5BF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850"/>
        <w:gridCol w:w="1276"/>
        <w:gridCol w:w="1276"/>
        <w:gridCol w:w="5812"/>
      </w:tblGrid>
      <w:tr w:rsidR="00CE6665" w:rsidRPr="007A0464" w:rsidTr="00B00833">
        <w:trPr>
          <w:trHeight w:val="3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Table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4</w:t>
            </w: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. Summary of studies involving 25-hydroxyvitamin D</w:t>
            </w:r>
          </w:p>
        </w:tc>
      </w:tr>
      <w:tr w:rsidR="00CE6665" w:rsidRPr="007A0464" w:rsidTr="00B00833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Author, year, 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 xml:space="preserve"> (reference)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Study population, n (mean age ± SD, years)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Male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Specimen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Median/mean follow-up (years)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Findings</w:t>
            </w:r>
          </w:p>
        </w:tc>
      </w:tr>
      <w:tr w:rsidR="00CE6665" w:rsidRPr="007A0464" w:rsidTr="00B0083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Wang, 2017, China</w:t>
            </w:r>
            <w:r w:rsidRPr="004F2B6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T2DM patients undergoing carotid IMT measurement, 314 (52)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Serum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serum 25-OH D3 levels were associated with the presence of carotid atherosclerotic plaque.</w:t>
            </w:r>
          </w:p>
        </w:tc>
      </w:tr>
      <w:tr w:rsidR="00CE6665" w:rsidRPr="007A0464" w:rsidTr="00B00833">
        <w:trPr>
          <w:trHeight w:val="12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Verdoia, 2014, Italy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Adults undergoing coronary angiography, 1484 (68)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Significantly lower 25-OH D3 in patients with significant CAD than those without coronary disease.</w:t>
            </w:r>
          </w:p>
          <w:p w:rsidR="00CE6665" w:rsidRPr="007A0464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25-OH D3 levels were associated with a higher prevalence of severe CAD.</w:t>
            </w:r>
          </w:p>
        </w:tc>
      </w:tr>
      <w:tr w:rsidR="00CE6665" w:rsidRPr="007A0464" w:rsidTr="00B00833">
        <w:trPr>
          <w:trHeight w:val="70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Roy, 2015, India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Case-control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120 acute MI patients and 120 controls </w:t>
            </w:r>
          </w:p>
          <w:p w:rsidR="00CE6665" w:rsidRPr="007A0464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(</w:t>
            </w: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88; 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Lower serum 25-OH D levels in acute MI patients than controls.</w:t>
            </w:r>
          </w:p>
          <w:p w:rsidR="00CE6665" w:rsidRPr="007A0464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Vitamin D deficiency (25-OH D &lt;10 ng/mL) was associated with a higher risk of acute MI.</w:t>
            </w:r>
          </w:p>
        </w:tc>
      </w:tr>
      <w:tr w:rsidR="00CE6665" w:rsidRPr="007A0464" w:rsidTr="00B00833">
        <w:trPr>
          <w:trHeight w:val="1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Giovannucci, 2008, USA</w:t>
            </w:r>
            <w:r>
              <w:rPr>
                <w:noProof/>
              </w:rPr>
              <w:t>(124)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454 male patients with MI and 900 controls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(</w:t>
            </w: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deficient levels of 25-OH D (≤15 ng/mL) had a higher risk of MI compared with patients with sufficient 25-OH D levels (≥30 ng/mL).</w:t>
            </w:r>
          </w:p>
        </w:tc>
      </w:tr>
      <w:tr w:rsidR="00CE6665" w:rsidRPr="007A0464" w:rsidTr="00B00833">
        <w:trPr>
          <w:trHeight w:val="42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lastRenderedPageBreak/>
              <w:t>Wang, 2008, USA</w:t>
            </w:r>
            <w:r w:rsidRPr="004F2B6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Individuals without prior CVD from Framingham Heart Offspring Study, 1739 (59 ± 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Vitamin D deficiency (25-OH D &lt;15 ng/mL) was associated with the risk of cardiovascular events.</w:t>
            </w:r>
          </w:p>
        </w:tc>
      </w:tr>
      <w:tr w:rsidR="00CE6665" w:rsidRPr="007A0464" w:rsidTr="00B00833">
        <w:trPr>
          <w:trHeight w:val="18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Anderson, 2010, USA</w:t>
            </w:r>
            <w:r w:rsidRPr="004F2B6B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General population, 41504 (55 ± 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vitamin D deficiency (25-OH D &lt;15 ng/mL) had a higher prevalence of cardiovascular risk factors.</w:t>
            </w:r>
          </w:p>
          <w:p w:rsidR="00CE6665" w:rsidRPr="007A0464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Vitamin D deficiency was associated with adverse cardiovascular events in patients aged 50 years and older.</w:t>
            </w:r>
          </w:p>
        </w:tc>
      </w:tr>
      <w:tr w:rsidR="00CE6665" w:rsidRPr="007A0464" w:rsidTr="00B00833">
        <w:trPr>
          <w:trHeight w:val="312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Brondum-Jacobsen, 2012, Denmark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(127)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Cohort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General population, 10170 (57)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Plasma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Decreasing plasma 25-OH D levels were associated with increased risk of ischemic heart disease, MI, and early death.</w:t>
            </w:r>
          </w:p>
        </w:tc>
      </w:tr>
      <w:tr w:rsidR="00CE6665" w:rsidRPr="007A0464" w:rsidTr="00B00833">
        <w:trPr>
          <w:trHeight w:val="14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Tanik, 2020, Turkey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 xml:space="preserve"> </w:t>
            </w:r>
            <w:r>
              <w:rPr>
                <w:noProof/>
              </w:rPr>
              <w:t>(128)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Cross-sectional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Patients with APE, 99 (66 ± 17)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Serum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N/A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Low serum 25-OH D levels were associated with in-hospital mortality.</w:t>
            </w:r>
          </w:p>
          <w:p w:rsidR="00CE6665" w:rsidRPr="007A0464" w:rsidRDefault="00CE6665" w:rsidP="00B00833">
            <w:pPr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  <w:t>25-OH D cutoff to predict in-hospital mortality ≤6.47 ng/mL. AUC: 0.81.</w:t>
            </w:r>
          </w:p>
        </w:tc>
      </w:tr>
      <w:tr w:rsidR="00CE6665" w:rsidRPr="007A0464" w:rsidTr="00B00833">
        <w:trPr>
          <w:trHeight w:val="360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7A0464" w:rsidRDefault="00CE6665" w:rsidP="00B00833">
            <w:pPr>
              <w:widowControl/>
              <w:rPr>
                <w:rFonts w:ascii="Calibri" w:eastAsia="Times New Roman" w:hAnsi="Calibri" w:cs="Times New Roman"/>
                <w:color w:val="000000"/>
                <w:kern w:val="0"/>
                <w:szCs w:val="24"/>
                <w:lang w:val="en-GB"/>
              </w:rPr>
            </w:pP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Abbreviations: 25-OH, 25-hydroxyvitamin; APE, acute pulmonary embolism; AUC, area under curve; CAD, coronary artery disease; CVD, cardiovascular disease; IMT, intima-media thickness; MI, myocardial infarction;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N/A, not applicable; NR, not reported;</w:t>
            </w: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T2DM, type 2 diabetes mellitus.</w:t>
            </w:r>
          </w:p>
        </w:tc>
      </w:tr>
    </w:tbl>
    <w:p w:rsidR="00CE6665" w:rsidRDefault="00CE6665" w:rsidP="00B00833">
      <w:pPr>
        <w:sectPr w:rsidR="00CE6665" w:rsidSect="004F2B6B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325"/>
        <w:gridCol w:w="1089"/>
        <w:gridCol w:w="2781"/>
        <w:gridCol w:w="725"/>
        <w:gridCol w:w="1184"/>
        <w:gridCol w:w="1352"/>
        <w:gridCol w:w="5670"/>
      </w:tblGrid>
      <w:tr w:rsidR="00CE6665" w:rsidRPr="00FB7CA5" w:rsidTr="00B00833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kern w:val="0"/>
                <w:szCs w:val="24"/>
                <w:lang w:eastAsia="zh-CN"/>
              </w:rPr>
            </w:pPr>
            <w:r w:rsidRPr="00CF3C4D">
              <w:rPr>
                <w:b/>
                <w:bCs/>
              </w:rPr>
              <w:lastRenderedPageBreak/>
              <w:t xml:space="preserve">Supplementary </w:t>
            </w: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Table 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5</w:t>
            </w: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. Summary of studies involving PCSK9</w:t>
            </w:r>
          </w:p>
        </w:tc>
      </w:tr>
      <w:tr w:rsidR="00CE6665" w:rsidRPr="00FB7CA5" w:rsidTr="00B00833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Author, year, country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4"/>
                <w:lang w:val="en-GB"/>
              </w:rPr>
              <w:t>(reference)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Study design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Study population, n (mean age ± SD, years)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Male (%)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Specimen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Median/</w:t>
            </w:r>
          </w:p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mean follow-up (years)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Findings</w:t>
            </w:r>
          </w:p>
        </w:tc>
      </w:tr>
      <w:tr w:rsidR="00CE6665" w:rsidRPr="00FB7CA5" w:rsidTr="00B00833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Paquette, 2017, Kenya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(129)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Cross-sectional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Patients with metabolic syndrome = 141 (45)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Healthy controls = 1179 (37)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31; 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Plasma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Higher plasma PCSK9 in patients with metabolic syndrome than controls.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Plasma PCSK9 was positively correlated with lipid parameters.</w:t>
            </w:r>
          </w:p>
        </w:tc>
      </w:tr>
      <w:tr w:rsidR="00CE6665" w:rsidRPr="00FB7CA5" w:rsidTr="00B00833">
        <w:trPr>
          <w:trHeight w:val="126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Mba, 2019, Cameroon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Cross-sectional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T2DM = 54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Obese = 54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Lean = 54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(mean: 55)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Plasma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Higher PCSK9 levels in obese and T2DM individuals than in lean controls.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Plasma PCSK9 was positively correlated with BMI.</w:t>
            </w:r>
          </w:p>
        </w:tc>
      </w:tr>
      <w:tr w:rsidR="00CE6665" w:rsidRPr="00FB7CA5" w:rsidTr="00B00833">
        <w:trPr>
          <w:trHeight w:val="94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Toth, 2017, Slovakia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Cross-sectional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Obese = 40 (37)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Overweight = 30 (37)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Normal weight = 50 (32)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66; 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Plasma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Higher plasma levels of PCSK9 in obese patients than non-obese.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Significant correlation between PCSK9 levels and subclinical vascular changes.</w:t>
            </w:r>
          </w:p>
        </w:tc>
      </w:tr>
      <w:tr w:rsidR="00CE6665" w:rsidRPr="00FB7CA5" w:rsidTr="00B00833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Lee, 2013, Korea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Cross-sectional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Hypertensive patients, 126 (63 ± 10)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Serum PCSK9 was associated with carotid IMT.</w:t>
            </w:r>
          </w:p>
        </w:tc>
      </w:tr>
      <w:tr w:rsidR="00CE6665" w:rsidRPr="00FB7CA5" w:rsidTr="00B00833">
        <w:trPr>
          <w:trHeight w:val="1418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Bae, 2018, Korea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Cross-sectional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Patients with suspected ACS, 121 (59)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Higher serum PCSK9 in patients with coronary artery lesions.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Significant positive association between PCSK9 and the severity of coronary artery occlusion.</w:t>
            </w:r>
          </w:p>
        </w:tc>
      </w:tr>
      <w:tr w:rsidR="00CE6665" w:rsidRPr="00FB7CA5" w:rsidTr="00B00833">
        <w:trPr>
          <w:trHeight w:val="315"/>
        </w:trPr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Peng, 2020, China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(134)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Cohort</w:t>
            </w: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Stable CAD patients, 1225 (58 ± 10)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68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Plasma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3.3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Plasma PCSK9 was positively correlated with lipid profiles, fasting glucose and HbA1c.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br/>
              <w:t>High PCSK9 levels were associated with MACE in stable CAD patients with T2DM.</w:t>
            </w:r>
          </w:p>
        </w:tc>
      </w:tr>
      <w:tr w:rsidR="00CE6665" w:rsidRPr="00FB7CA5" w:rsidTr="00B00833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Werner, 2014, Germany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kern w:val="0"/>
                <w:szCs w:val="24"/>
                <w:lang w:eastAsia="zh-CN"/>
              </w:rPr>
              <w:t>(135)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Cohort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Stable CAD patients, 504 (68)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Serum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High PCSK9 concentrations were associated with cardiovascular events in patients with stable CAD on statin treatment.</w:t>
            </w:r>
          </w:p>
        </w:tc>
      </w:tr>
      <w:tr w:rsidR="00CE6665" w:rsidRPr="00FB7CA5" w:rsidTr="00B00833">
        <w:trPr>
          <w:trHeight w:val="315"/>
        </w:trPr>
        <w:tc>
          <w:tcPr>
            <w:tcW w:w="14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65" w:rsidRPr="005E350A" w:rsidRDefault="00CE6665" w:rsidP="00B00833">
            <w:pPr>
              <w:widowControl/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</w:pP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 xml:space="preserve">Abbreviations: ACS, acute coronary syndrome; CAD, coronary artery disease; HbA1c, hemoglobin A1c; IMT, intima-media thickness; MACE, major adverse cardiovascular event; </w:t>
            </w:r>
            <w:r w:rsidRPr="009C4B0B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>N/A, not applicable; NR, not reported;</w:t>
            </w:r>
            <w:r w:rsidRPr="007A0464">
              <w:rPr>
                <w:rFonts w:ascii="Calibri" w:eastAsia="Times New Roman" w:hAnsi="Calibri" w:cs="Times New Roman"/>
                <w:color w:val="000000"/>
                <w:kern w:val="0"/>
                <w:szCs w:val="24"/>
              </w:rPr>
              <w:t xml:space="preserve"> </w:t>
            </w:r>
            <w:r w:rsidRPr="005E350A">
              <w:rPr>
                <w:rFonts w:eastAsia="Times New Roman" w:cs="Times New Roman"/>
                <w:color w:val="000000"/>
                <w:kern w:val="0"/>
                <w:szCs w:val="24"/>
                <w:lang w:eastAsia="zh-CN"/>
              </w:rPr>
              <w:t>PCSK9, proprotein convertase subtilisin/kexin type 9; T2DM, type 2 diabetes mellitus.</w:t>
            </w:r>
          </w:p>
        </w:tc>
      </w:tr>
    </w:tbl>
    <w:p w:rsidR="00CE6665" w:rsidRPr="004C52CA" w:rsidRDefault="00CE6665" w:rsidP="00B00833">
      <w:pPr>
        <w:rPr>
          <w:rFonts w:cstheme="minorHAnsi"/>
          <w:szCs w:val="24"/>
        </w:rPr>
      </w:pPr>
    </w:p>
    <w:p w:rsidR="00CE6665" w:rsidRPr="00E1512E" w:rsidRDefault="00CE6665" w:rsidP="00B00833"/>
    <w:p w:rsidR="00CE6665" w:rsidRPr="004C52CA" w:rsidRDefault="00CE6665" w:rsidP="00B00833">
      <w:pPr>
        <w:rPr>
          <w:rFonts w:cstheme="minorHAnsi"/>
          <w:szCs w:val="24"/>
        </w:rPr>
      </w:pPr>
    </w:p>
    <w:p w:rsidR="00CE6665" w:rsidRPr="00E1512E" w:rsidRDefault="00CE6665"/>
    <w:p w:rsidR="00840543" w:rsidRDefault="00840543"/>
    <w:sectPr w:rsidR="00840543" w:rsidSect="00CE666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833" w:rsidRDefault="00CE6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0833" w:rsidRDefault="00CE666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479"/>
    <w:multiLevelType w:val="hybridMultilevel"/>
    <w:tmpl w:val="7B1C3DF4"/>
    <w:lvl w:ilvl="0" w:tplc="7BACDEE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A858FD"/>
    <w:multiLevelType w:val="hybridMultilevel"/>
    <w:tmpl w:val="41BA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6665"/>
    <w:rsid w:val="00840543"/>
    <w:rsid w:val="00C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BFC7"/>
  <w15:chartTrackingRefBased/>
  <w15:docId w15:val="{6BF53B73-8D59-4EDE-946E-979A1A9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65"/>
    <w:pPr>
      <w:widowControl w:val="0"/>
    </w:pPr>
  </w:style>
  <w:style w:type="character" w:default="1" w:styleId="DefaultParagraphFont">
    <w:name w:val="Default Paragraph Font"/>
    <w:uiPriority w:val="1"/>
    <w:unhideWhenUsed/>
    <w:rsid w:val="00CE66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6665"/>
  </w:style>
  <w:style w:type="paragraph" w:customStyle="1" w:styleId="EndNoteBibliographyTitle">
    <w:name w:val="EndNote Bibliography Title"/>
    <w:basedOn w:val="Normal"/>
    <w:link w:val="EndNoteBibliographyTitleChar"/>
    <w:rsid w:val="00CE666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66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E6665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666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CE66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65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CE66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65"/>
  </w:style>
  <w:style w:type="paragraph" w:styleId="Footer">
    <w:name w:val="footer"/>
    <w:basedOn w:val="Normal"/>
    <w:link w:val="FooterChar"/>
    <w:uiPriority w:val="99"/>
    <w:unhideWhenUsed/>
    <w:rsid w:val="00CE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6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E6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666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E6665"/>
  </w:style>
  <w:style w:type="paragraph" w:styleId="BodyText">
    <w:name w:val="Body Text"/>
    <w:basedOn w:val="Normal"/>
    <w:link w:val="BodyTextChar"/>
    <w:rsid w:val="00CE6665"/>
    <w:pPr>
      <w:widowControl/>
      <w:spacing w:after="120"/>
    </w:pPr>
    <w:rPr>
      <w:rFonts w:ascii="Times New Roman" w:eastAsia="新細明體" w:hAnsi="Times New Roman" w:cs="Times New Roman"/>
      <w:kern w:val="0"/>
      <w:szCs w:val="24"/>
      <w:lang w:eastAsia="zh-HK"/>
    </w:rPr>
  </w:style>
  <w:style w:type="character" w:customStyle="1" w:styleId="BodyTextChar">
    <w:name w:val="Body Text Char"/>
    <w:basedOn w:val="DefaultParagraphFont"/>
    <w:link w:val="BodyText"/>
    <w:rsid w:val="00CE6665"/>
    <w:rPr>
      <w:rFonts w:ascii="Times New Roman" w:eastAsia="新細明體" w:hAnsi="Times New Roman" w:cs="Times New Roman"/>
      <w:kern w:val="0"/>
      <w:szCs w:val="24"/>
      <w:lang w:eastAsia="zh-HK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666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666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UDM, HKU.</Company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Wong</dc:creator>
  <cp:keywords/>
  <dc:description/>
  <cp:lastModifiedBy>Debbie Wong</cp:lastModifiedBy>
  <cp:revision>1</cp:revision>
  <dcterms:created xsi:type="dcterms:W3CDTF">2021-09-15T09:04:00Z</dcterms:created>
  <dcterms:modified xsi:type="dcterms:W3CDTF">2021-09-15T09:22:00Z</dcterms:modified>
</cp:coreProperties>
</file>