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9E" w:rsidRPr="0061229E" w:rsidRDefault="0061229E" w:rsidP="0061229E">
      <w:pPr>
        <w:rPr>
          <w:rFonts w:hint="eastAsia"/>
        </w:rPr>
      </w:pPr>
      <w:bookmarkStart w:id="0" w:name="_Hlk81646068"/>
      <w:bookmarkEnd w:id="0"/>
      <w:r>
        <w:rPr>
          <w:noProof/>
        </w:rPr>
        <w:drawing>
          <wp:inline distT="0" distB="0" distL="0" distR="0">
            <wp:extent cx="5274310" cy="11848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9E" w:rsidRDefault="0061229E" w:rsidP="0061229E">
      <w:pPr>
        <w:rPr>
          <w:rFonts w:ascii="Calibri" w:hAnsi="Calibri" w:cs="Calibri"/>
          <w:szCs w:val="21"/>
        </w:rPr>
      </w:pPr>
      <w:r w:rsidRPr="0061229E">
        <w:rPr>
          <w:rFonts w:ascii="Calibri" w:hAnsi="Calibri" w:cs="Calibri" w:hint="eastAsia"/>
          <w:szCs w:val="21"/>
        </w:rPr>
        <w:t>F</w:t>
      </w:r>
      <w:r w:rsidRPr="0061229E">
        <w:rPr>
          <w:rFonts w:ascii="Calibri" w:hAnsi="Calibri" w:cs="Calibri"/>
          <w:szCs w:val="21"/>
        </w:rPr>
        <w:t>igure S1: Scatter plot to shown the connection between clinical pathology, clusters and risk scores. A. The risk score was significant related to tumor grade; B</w:t>
      </w:r>
      <w:r w:rsidRPr="0061229E">
        <w:rPr>
          <w:rFonts w:ascii="Calibri" w:hAnsi="Calibri" w:cs="Calibri" w:hint="eastAsia"/>
          <w:szCs w:val="21"/>
        </w:rPr>
        <w:t>.</w:t>
      </w:r>
      <w:r w:rsidRPr="0061229E">
        <w:rPr>
          <w:rFonts w:ascii="Calibri" w:hAnsi="Calibri" w:cs="Calibri"/>
          <w:szCs w:val="21"/>
        </w:rPr>
        <w:t xml:space="preserve"> The risk score was significant related to tumor stage; C. The risk score was significant related to tumor T stage; D. The risk score was significant related to clusters (cluster 1 vs. cluster 2 and cluster 2 vs. cluster 3).</w:t>
      </w:r>
    </w:p>
    <w:p w:rsidR="0061229E" w:rsidRDefault="0061229E" w:rsidP="0061229E">
      <w:pPr>
        <w:rPr>
          <w:rFonts w:ascii="Calibri" w:hAnsi="Calibri" w:cs="Calibri"/>
          <w:szCs w:val="21"/>
        </w:rPr>
      </w:pPr>
    </w:p>
    <w:p w:rsidR="0061229E" w:rsidRDefault="0061229E" w:rsidP="0061229E">
      <w:pPr>
        <w:rPr>
          <w:rFonts w:ascii="Calibri" w:hAnsi="Calibri" w:cs="Calibri"/>
          <w:szCs w:val="21"/>
        </w:rPr>
      </w:pPr>
    </w:p>
    <w:p w:rsidR="0061229E" w:rsidRDefault="0061229E" w:rsidP="0061229E">
      <w:pPr>
        <w:rPr>
          <w:rFonts w:ascii="Calibri" w:hAnsi="Calibri" w:cs="Calibri"/>
          <w:szCs w:val="21"/>
        </w:rPr>
      </w:pPr>
    </w:p>
    <w:p w:rsidR="0061229E" w:rsidRDefault="0061229E" w:rsidP="0061229E">
      <w:pPr>
        <w:rPr>
          <w:rFonts w:ascii="Calibri" w:hAnsi="Calibri" w:cs="Calibri"/>
          <w:szCs w:val="21"/>
        </w:rPr>
      </w:pPr>
    </w:p>
    <w:p w:rsidR="0061229E" w:rsidRPr="0061229E" w:rsidRDefault="0061229E" w:rsidP="0061229E">
      <w:pPr>
        <w:rPr>
          <w:rFonts w:ascii="Calibri" w:hAnsi="Calibri" w:cs="Calibri" w:hint="eastAsia"/>
          <w:szCs w:val="21"/>
        </w:rPr>
      </w:pPr>
    </w:p>
    <w:p w:rsidR="0061229E" w:rsidRDefault="0061229E" w:rsidP="00AF693E">
      <w:pPr>
        <w:rPr>
          <w:rFonts w:ascii="Calibri" w:hAnsi="Calibri" w:cs="Calibri" w:hint="eastAsia"/>
          <w:b/>
        </w:rPr>
      </w:pPr>
      <w:r>
        <w:rPr>
          <w:noProof/>
        </w:rPr>
        <w:drawing>
          <wp:inline distT="0" distB="0" distL="0" distR="0" wp14:anchorId="6FC7D993" wp14:editId="60F2D855">
            <wp:extent cx="3783519" cy="4729171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958" cy="475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9E" w:rsidRPr="0061229E" w:rsidRDefault="0061229E" w:rsidP="0061229E">
      <w:pPr>
        <w:rPr>
          <w:rFonts w:ascii="Calibri" w:hAnsi="Calibri" w:cs="Calibri"/>
          <w:szCs w:val="21"/>
        </w:rPr>
      </w:pPr>
      <w:r w:rsidRPr="00541CC0">
        <w:rPr>
          <w:rFonts w:ascii="Calibri" w:hAnsi="Calibri" w:cs="Calibri" w:hint="eastAsia"/>
          <w:b/>
        </w:rPr>
        <w:t>F</w:t>
      </w:r>
      <w:r w:rsidRPr="00541CC0">
        <w:rPr>
          <w:rFonts w:ascii="Calibri" w:hAnsi="Calibri" w:cs="Calibri"/>
          <w:b/>
        </w:rPr>
        <w:t>igure S</w:t>
      </w:r>
      <w:r>
        <w:rPr>
          <w:rFonts w:ascii="Calibri" w:hAnsi="Calibri" w:cs="Calibri"/>
          <w:b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zCs w:val="21"/>
        </w:rPr>
        <w:t>T</w:t>
      </w:r>
      <w:r w:rsidRPr="00AF0202">
        <w:rPr>
          <w:rFonts w:ascii="Calibri" w:hAnsi="Calibri" w:cs="Calibri"/>
          <w:szCs w:val="21"/>
        </w:rPr>
        <w:t xml:space="preserve">he </w:t>
      </w:r>
      <w:r>
        <w:rPr>
          <w:rFonts w:ascii="Calibri" w:hAnsi="Calibri" w:cs="Calibri"/>
          <w:szCs w:val="21"/>
        </w:rPr>
        <w:t>impacts</w:t>
      </w:r>
      <w:r w:rsidRPr="00AF0202">
        <w:rPr>
          <w:rFonts w:ascii="Calibri" w:hAnsi="Calibri" w:cs="Calibri"/>
          <w:szCs w:val="21"/>
        </w:rPr>
        <w:t xml:space="preserve"> of </w:t>
      </w:r>
      <w:r>
        <w:rPr>
          <w:rFonts w:ascii="Calibri" w:hAnsi="Calibri" w:cs="Calibri"/>
          <w:szCs w:val="21"/>
        </w:rPr>
        <w:t xml:space="preserve">risk </w:t>
      </w:r>
      <w:r w:rsidRPr="00AF0202">
        <w:rPr>
          <w:rFonts w:ascii="Calibri" w:hAnsi="Calibri" w:cs="Calibri"/>
          <w:szCs w:val="21"/>
        </w:rPr>
        <w:t xml:space="preserve">scores on patient </w:t>
      </w:r>
      <w:r>
        <w:rPr>
          <w:rFonts w:ascii="Calibri" w:hAnsi="Calibri" w:cs="Calibri"/>
          <w:szCs w:val="21"/>
        </w:rPr>
        <w:t>overall survival</w:t>
      </w:r>
      <w:r w:rsidRPr="00AF0202">
        <w:rPr>
          <w:rFonts w:ascii="Calibri" w:hAnsi="Calibri" w:cs="Calibri"/>
          <w:szCs w:val="21"/>
        </w:rPr>
        <w:t xml:space="preserve"> in different clinical subtypes</w:t>
      </w:r>
      <w:r>
        <w:rPr>
          <w:rFonts w:ascii="Calibri" w:hAnsi="Calibri" w:cs="Calibri"/>
          <w:szCs w:val="21"/>
        </w:rPr>
        <w:t xml:space="preserve"> </w:t>
      </w:r>
      <w:r w:rsidRPr="0061229E">
        <w:rPr>
          <w:rFonts w:ascii="Calibri" w:hAnsi="Calibri" w:cs="Calibri"/>
          <w:szCs w:val="21"/>
        </w:rPr>
        <w:t>and the results suggested that tumor grade, tumor stage and T stage subtypes significance related to patient’s survival.</w:t>
      </w:r>
    </w:p>
    <w:p w:rsidR="00AF693E" w:rsidRPr="0061229E" w:rsidRDefault="00AF693E"/>
    <w:p w:rsidR="00AF693E" w:rsidRPr="0061229E" w:rsidRDefault="00AF693E"/>
    <w:p w:rsidR="00AF693E" w:rsidRDefault="00AF693E">
      <w:pPr>
        <w:rPr>
          <w:rFonts w:hint="eastAsia"/>
        </w:rPr>
      </w:pPr>
    </w:p>
    <w:p w:rsidR="00AF693E" w:rsidRDefault="00AF693E">
      <w:r>
        <w:rPr>
          <w:noProof/>
        </w:rPr>
        <w:drawing>
          <wp:inline distT="0" distB="0" distL="0" distR="0">
            <wp:extent cx="3179505" cy="5518150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00" cy="552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9E" w:rsidRPr="001E609E" w:rsidRDefault="0061229E" w:rsidP="0061229E">
      <w:pPr>
        <w:rPr>
          <w:rFonts w:ascii="Calibri" w:hAnsi="Calibri" w:cs="Calibri"/>
        </w:rPr>
      </w:pPr>
      <w:r w:rsidRPr="00541CC0">
        <w:rPr>
          <w:rFonts w:ascii="Calibri" w:hAnsi="Calibri" w:cs="Calibri"/>
          <w:b/>
        </w:rPr>
        <w:t>Figure S</w:t>
      </w:r>
      <w:r>
        <w:rPr>
          <w:rFonts w:ascii="Calibri" w:hAnsi="Calibri" w:cs="Calibri"/>
          <w:b/>
        </w:rPr>
        <w:t>3</w:t>
      </w:r>
      <w:r>
        <w:rPr>
          <w:rFonts w:ascii="Calibri" w:hAnsi="Calibri" w:cs="Calibri"/>
        </w:rPr>
        <w:t xml:space="preserve">. The relationship between </w:t>
      </w:r>
      <w:r w:rsidRPr="009B4319">
        <w:rPr>
          <w:rFonts w:ascii="Calibri" w:hAnsi="Calibri" w:cs="Calibri"/>
          <w:i/>
        </w:rPr>
        <w:t>PD-L1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and the</w:t>
      </w:r>
      <w:r w:rsidRPr="0061229E">
        <w:rPr>
          <w:rFonts w:ascii="Calibri" w:hAnsi="Calibri" w:cs="Calibri"/>
        </w:rPr>
        <w:t xml:space="preserve"> high and low</w:t>
      </w:r>
      <w:r>
        <w:rPr>
          <w:rFonts w:ascii="Calibri" w:hAnsi="Calibri" w:cs="Calibri"/>
        </w:rPr>
        <w:t xml:space="preserve"> risk group. A. The high expression of </w:t>
      </w:r>
      <w:r w:rsidRPr="009B4319">
        <w:rPr>
          <w:rFonts w:ascii="Calibri" w:hAnsi="Calibri" w:cs="Calibri"/>
          <w:i/>
        </w:rPr>
        <w:t>PD-L</w:t>
      </w:r>
      <w:r>
        <w:rPr>
          <w:rFonts w:ascii="Calibri" w:hAnsi="Calibri" w:cs="Calibri"/>
          <w:i/>
        </w:rPr>
        <w:t xml:space="preserve">1 </w:t>
      </w:r>
      <w:r w:rsidRPr="001E609E">
        <w:rPr>
          <w:rFonts w:ascii="Calibri" w:hAnsi="Calibri" w:cs="Calibri"/>
        </w:rPr>
        <w:t>in</w:t>
      </w:r>
      <w:r>
        <w:rPr>
          <w:rFonts w:ascii="Calibri" w:hAnsi="Calibri" w:cs="Calibri"/>
          <w:i/>
        </w:rPr>
        <w:t xml:space="preserve"> </w:t>
      </w:r>
      <w:r w:rsidRPr="001E609E">
        <w:rPr>
          <w:rFonts w:ascii="Calibri" w:hAnsi="Calibri" w:cs="Calibri"/>
        </w:rPr>
        <w:t>high risk group;</w:t>
      </w:r>
      <w:r>
        <w:rPr>
          <w:rFonts w:ascii="Calibri" w:hAnsi="Calibri" w:cs="Calibri"/>
          <w:i/>
        </w:rPr>
        <w:t xml:space="preserve"> </w:t>
      </w:r>
      <w:r w:rsidRPr="001E609E">
        <w:rPr>
          <w:rFonts w:ascii="Calibri" w:hAnsi="Calibri" w:cs="Calibri"/>
        </w:rPr>
        <w:t xml:space="preserve">B. The correlation between </w:t>
      </w:r>
      <w:r w:rsidRPr="001E609E">
        <w:rPr>
          <w:rFonts w:ascii="Calibri" w:hAnsi="Calibri" w:cs="Calibri"/>
          <w:i/>
        </w:rPr>
        <w:t xml:space="preserve">PD-L1 </w:t>
      </w:r>
      <w:r w:rsidRPr="001E609E">
        <w:rPr>
          <w:rFonts w:ascii="Calibri" w:hAnsi="Calibri" w:cs="Calibri"/>
        </w:rPr>
        <w:t>and the prognosis</w:t>
      </w:r>
      <w:r>
        <w:rPr>
          <w:rFonts w:ascii="Calibri" w:hAnsi="Calibri" w:cs="Calibri"/>
        </w:rPr>
        <w:t>-</w:t>
      </w:r>
      <w:r w:rsidRPr="001E609E">
        <w:rPr>
          <w:rFonts w:ascii="Calibri" w:hAnsi="Calibri" w:cs="Calibri"/>
        </w:rPr>
        <w:t xml:space="preserve">related </w:t>
      </w:r>
      <w:proofErr w:type="spellStart"/>
      <w:r w:rsidRPr="001E609E">
        <w:rPr>
          <w:rFonts w:ascii="Calibri" w:hAnsi="Calibri" w:cs="Calibri"/>
        </w:rPr>
        <w:t>lncRNAs</w:t>
      </w:r>
      <w:proofErr w:type="spellEnd"/>
      <w:r w:rsidRPr="001E609E">
        <w:rPr>
          <w:rFonts w:ascii="Calibri" w:hAnsi="Calibri" w:cs="Calibri"/>
        </w:rPr>
        <w:t xml:space="preserve"> in TCGA-HCC. </w:t>
      </w:r>
    </w:p>
    <w:p w:rsidR="00A47B51" w:rsidRDefault="00A47B51">
      <w:pPr>
        <w:rPr>
          <w:rFonts w:hint="eastAsia"/>
        </w:rPr>
      </w:pPr>
    </w:p>
    <w:p w:rsidR="00A47B51" w:rsidRPr="0061229E" w:rsidRDefault="00A47B51">
      <w:pPr>
        <w:rPr>
          <w:rFonts w:ascii="Calibri" w:hAnsi="Calibri" w:cs="Calibri"/>
        </w:rPr>
      </w:pPr>
      <w:r w:rsidRPr="0061229E">
        <w:rPr>
          <w:rFonts w:ascii="Calibri" w:hAnsi="Calibri" w:cs="Calibri" w:hint="eastAsia"/>
        </w:rPr>
        <w:t>S</w:t>
      </w:r>
      <w:r w:rsidRPr="0061229E">
        <w:rPr>
          <w:rFonts w:ascii="Calibri" w:hAnsi="Calibri" w:cs="Calibri"/>
        </w:rPr>
        <w:t>upplement tables legends:</w:t>
      </w:r>
    </w:p>
    <w:p w:rsidR="00A47B51" w:rsidRDefault="00A47B51" w:rsidP="00A47B51">
      <w:pPr>
        <w:rPr>
          <w:rFonts w:ascii="Calibri" w:hAnsi="Calibri" w:cs="Calibri"/>
        </w:rPr>
      </w:pPr>
      <w:r w:rsidRPr="00E8615C">
        <w:rPr>
          <w:rFonts w:ascii="Calibri" w:hAnsi="Calibri" w:cs="Calibri"/>
          <w:b/>
        </w:rPr>
        <w:t>Table S1</w:t>
      </w:r>
      <w:r w:rsidRPr="00E8615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The information of 33 </w:t>
      </w:r>
      <w:r w:rsidRPr="00714344">
        <w:rPr>
          <w:rFonts w:ascii="Calibri" w:hAnsi="Calibri" w:cs="Calibri"/>
        </w:rPr>
        <w:t>pyro</w:t>
      </w:r>
      <w:r>
        <w:rPr>
          <w:rFonts w:ascii="Calibri" w:hAnsi="Calibri" w:cs="Calibri"/>
        </w:rPr>
        <w:t>pto</w:t>
      </w:r>
      <w:r w:rsidRPr="00714344">
        <w:rPr>
          <w:rFonts w:ascii="Calibri" w:hAnsi="Calibri" w:cs="Calibri"/>
        </w:rPr>
        <w:t>sis</w:t>
      </w:r>
      <w:r>
        <w:rPr>
          <w:rFonts w:ascii="Calibri" w:hAnsi="Calibri" w:cs="Calibri"/>
        </w:rPr>
        <w:t>-related genes (PRGs).</w:t>
      </w:r>
    </w:p>
    <w:p w:rsidR="00A47B51" w:rsidRDefault="00A47B51" w:rsidP="00A47B51">
      <w:pPr>
        <w:rPr>
          <w:rFonts w:ascii="Calibri" w:hAnsi="Calibri" w:cs="Calibri"/>
        </w:rPr>
      </w:pPr>
      <w:r w:rsidRPr="00E8615C">
        <w:rPr>
          <w:rFonts w:ascii="Calibri" w:hAnsi="Calibri" w:cs="Calibri" w:hint="eastAsia"/>
          <w:b/>
        </w:rPr>
        <w:t>T</w:t>
      </w:r>
      <w:r w:rsidRPr="00E8615C">
        <w:rPr>
          <w:rFonts w:ascii="Calibri" w:hAnsi="Calibri" w:cs="Calibri"/>
          <w:b/>
        </w:rPr>
        <w:t>able S2</w:t>
      </w:r>
      <w:r>
        <w:rPr>
          <w:rFonts w:ascii="Calibri" w:hAnsi="Calibri" w:cs="Calibri"/>
        </w:rPr>
        <w:t>. T</w:t>
      </w:r>
      <w:r w:rsidRPr="00E8615C">
        <w:rPr>
          <w:rFonts w:ascii="Calibri" w:hAnsi="Calibri" w:cs="Calibri"/>
        </w:rPr>
        <w:t xml:space="preserve">he location of CNV alteration of </w:t>
      </w:r>
      <w:r w:rsidRPr="00714344">
        <w:rPr>
          <w:rFonts w:ascii="Calibri" w:hAnsi="Calibri" w:cs="Calibri"/>
        </w:rPr>
        <w:t>pyro</w:t>
      </w:r>
      <w:r>
        <w:rPr>
          <w:rFonts w:ascii="Calibri" w:hAnsi="Calibri" w:cs="Calibri"/>
        </w:rPr>
        <w:t>pto</w:t>
      </w:r>
      <w:r w:rsidRPr="00714344">
        <w:rPr>
          <w:rFonts w:ascii="Calibri" w:hAnsi="Calibri" w:cs="Calibri"/>
        </w:rPr>
        <w:t>sis</w:t>
      </w:r>
      <w:r>
        <w:rPr>
          <w:rFonts w:ascii="Calibri" w:hAnsi="Calibri" w:cs="Calibri"/>
        </w:rPr>
        <w:t>-related genes</w:t>
      </w:r>
      <w:r w:rsidRPr="00E8615C">
        <w:rPr>
          <w:rFonts w:ascii="Calibri" w:hAnsi="Calibri" w:cs="Calibri"/>
        </w:rPr>
        <w:t xml:space="preserve"> on chromosomes</w:t>
      </w:r>
      <w:r>
        <w:rPr>
          <w:rFonts w:ascii="Calibri" w:hAnsi="Calibri" w:cs="Calibri"/>
        </w:rPr>
        <w:t>.</w:t>
      </w:r>
    </w:p>
    <w:p w:rsidR="00A47B51" w:rsidRDefault="00A47B51" w:rsidP="00A47B51">
      <w:pPr>
        <w:rPr>
          <w:rFonts w:ascii="Calibri" w:hAnsi="Calibri" w:cs="Calibri"/>
        </w:rPr>
      </w:pPr>
      <w:r w:rsidRPr="00E8615C">
        <w:rPr>
          <w:rFonts w:ascii="Calibri" w:hAnsi="Calibri" w:cs="Calibri" w:hint="eastAsia"/>
          <w:b/>
        </w:rPr>
        <w:t>T</w:t>
      </w:r>
      <w:r w:rsidRPr="00E8615C">
        <w:rPr>
          <w:rFonts w:ascii="Calibri" w:hAnsi="Calibri" w:cs="Calibri"/>
          <w:b/>
        </w:rPr>
        <w:t>able S3</w:t>
      </w:r>
      <w:r>
        <w:rPr>
          <w:rFonts w:ascii="Calibri" w:hAnsi="Calibri" w:cs="Calibri"/>
        </w:rPr>
        <w:t xml:space="preserve">. The </w:t>
      </w:r>
      <w:r w:rsidRPr="00E8615C">
        <w:rPr>
          <w:rFonts w:ascii="Calibri" w:hAnsi="Calibri" w:cs="Calibri"/>
        </w:rPr>
        <w:t>univariate Cox analysis</w:t>
      </w:r>
      <w:r>
        <w:rPr>
          <w:rFonts w:ascii="Calibri" w:hAnsi="Calibri" w:cs="Calibri"/>
        </w:rPr>
        <w:t xml:space="preserve"> identified </w:t>
      </w:r>
      <w:r>
        <w:rPr>
          <w:rFonts w:ascii="Calibri" w:hAnsi="Calibri" w:cs="Calibri"/>
          <w:bCs/>
          <w:szCs w:val="21"/>
        </w:rPr>
        <w:t>336</w:t>
      </w:r>
      <w:r w:rsidRPr="00F81CC5">
        <w:rPr>
          <w:rFonts w:ascii="Calibri" w:hAnsi="Calibri" w:cs="Calibri"/>
          <w:bCs/>
          <w:szCs w:val="21"/>
        </w:rPr>
        <w:t xml:space="preserve"> </w:t>
      </w:r>
      <w:proofErr w:type="spellStart"/>
      <w:r w:rsidRPr="00714344">
        <w:rPr>
          <w:rFonts w:ascii="Calibri" w:hAnsi="Calibri" w:cs="Calibri"/>
        </w:rPr>
        <w:t>pyro</w:t>
      </w:r>
      <w:r>
        <w:rPr>
          <w:rFonts w:ascii="Calibri" w:hAnsi="Calibri" w:cs="Calibri"/>
        </w:rPr>
        <w:t>pto</w:t>
      </w:r>
      <w:r w:rsidRPr="00714344">
        <w:rPr>
          <w:rFonts w:ascii="Calibri" w:hAnsi="Calibri" w:cs="Calibri"/>
        </w:rPr>
        <w:t>sis</w:t>
      </w:r>
      <w:proofErr w:type="spellEnd"/>
      <w:r>
        <w:rPr>
          <w:rFonts w:ascii="Calibri" w:hAnsi="Calibri" w:cs="Calibri"/>
        </w:rPr>
        <w:t>-related</w:t>
      </w:r>
      <w:r w:rsidRPr="00B9550F">
        <w:rPr>
          <w:rFonts w:ascii="Calibri" w:hAnsi="Calibri" w:cs="Calibri"/>
        </w:rPr>
        <w:t xml:space="preserve"> </w:t>
      </w:r>
      <w:proofErr w:type="spellStart"/>
      <w:r w:rsidRPr="00B9550F">
        <w:rPr>
          <w:rFonts w:ascii="Calibri" w:hAnsi="Calibri" w:cs="Calibri"/>
        </w:rPr>
        <w:t>lncRNA</w:t>
      </w:r>
      <w:r>
        <w:rPr>
          <w:rFonts w:ascii="Calibri" w:hAnsi="Calibri" w:cs="Calibri"/>
        </w:rPr>
        <w:t>s</w:t>
      </w:r>
      <w:proofErr w:type="spellEnd"/>
      <w:r>
        <w:rPr>
          <w:rFonts w:ascii="Calibri" w:hAnsi="Calibri" w:cs="Calibri"/>
        </w:rPr>
        <w:t>.</w:t>
      </w:r>
    </w:p>
    <w:p w:rsidR="00A47B51" w:rsidRDefault="00A47B51" w:rsidP="00A47B51">
      <w:pPr>
        <w:rPr>
          <w:rFonts w:ascii="Calibri" w:hAnsi="Calibri" w:cs="Calibri"/>
        </w:rPr>
      </w:pPr>
      <w:r w:rsidRPr="00E8615C">
        <w:rPr>
          <w:rFonts w:ascii="Calibri" w:hAnsi="Calibri" w:cs="Calibri" w:hint="eastAsia"/>
          <w:b/>
        </w:rPr>
        <w:t>T</w:t>
      </w:r>
      <w:r w:rsidRPr="00E8615C">
        <w:rPr>
          <w:rFonts w:ascii="Calibri" w:hAnsi="Calibri" w:cs="Calibri"/>
          <w:b/>
        </w:rPr>
        <w:t>able S4</w:t>
      </w:r>
      <w:r>
        <w:rPr>
          <w:rFonts w:ascii="Calibri" w:hAnsi="Calibri" w:cs="Calibri"/>
        </w:rPr>
        <w:t xml:space="preserve">. </w:t>
      </w:r>
      <w:r w:rsidRPr="00677E0E">
        <w:rPr>
          <w:rFonts w:ascii="Calibri" w:hAnsi="Calibri" w:cs="Calibri"/>
        </w:rPr>
        <w:t xml:space="preserve">GSVA enrichment analysis </w:t>
      </w:r>
      <w:r w:rsidRPr="009005A8">
        <w:rPr>
          <w:rFonts w:ascii="Calibri" w:hAnsi="Calibri" w:cs="Calibri"/>
        </w:rPr>
        <w:t>investigate</w:t>
      </w:r>
      <w:r w:rsidRPr="00677E0E">
        <w:rPr>
          <w:rFonts w:ascii="Calibri" w:hAnsi="Calibri" w:cs="Calibri"/>
        </w:rPr>
        <w:t xml:space="preserve"> the biological function</w:t>
      </w:r>
      <w:r>
        <w:rPr>
          <w:rFonts w:ascii="Calibri" w:hAnsi="Calibri" w:cs="Calibri"/>
        </w:rPr>
        <w:t xml:space="preserve"> in cluster 1.</w:t>
      </w:r>
    </w:p>
    <w:p w:rsidR="00A47B51" w:rsidRDefault="00A47B51" w:rsidP="00A47B51">
      <w:pPr>
        <w:rPr>
          <w:rFonts w:ascii="Calibri" w:hAnsi="Calibri" w:cs="Calibri"/>
        </w:rPr>
      </w:pPr>
      <w:r w:rsidRPr="00E8615C">
        <w:rPr>
          <w:rFonts w:ascii="Calibri" w:hAnsi="Calibri" w:cs="Calibri" w:hint="eastAsia"/>
          <w:b/>
        </w:rPr>
        <w:t>T</w:t>
      </w:r>
      <w:r w:rsidRPr="00E8615C">
        <w:rPr>
          <w:rFonts w:ascii="Calibri" w:hAnsi="Calibri" w:cs="Calibri"/>
          <w:b/>
        </w:rPr>
        <w:t>able S</w:t>
      </w:r>
      <w:r>
        <w:rPr>
          <w:rFonts w:ascii="Calibri" w:hAnsi="Calibri" w:cs="Calibri"/>
          <w:b/>
        </w:rPr>
        <w:t>5</w:t>
      </w:r>
      <w:r>
        <w:rPr>
          <w:rFonts w:ascii="Calibri" w:hAnsi="Calibri" w:cs="Calibri"/>
        </w:rPr>
        <w:t xml:space="preserve">. </w:t>
      </w:r>
      <w:r w:rsidRPr="00677E0E">
        <w:rPr>
          <w:rFonts w:ascii="Calibri" w:hAnsi="Calibri" w:cs="Calibri"/>
        </w:rPr>
        <w:t xml:space="preserve">GSVA enrichment analysis </w:t>
      </w:r>
      <w:r w:rsidRPr="009005A8">
        <w:rPr>
          <w:rFonts w:ascii="Calibri" w:hAnsi="Calibri" w:cs="Calibri"/>
        </w:rPr>
        <w:t>investigate</w:t>
      </w:r>
      <w:r w:rsidRPr="00677E0E">
        <w:rPr>
          <w:rFonts w:ascii="Calibri" w:hAnsi="Calibri" w:cs="Calibri"/>
        </w:rPr>
        <w:t xml:space="preserve"> the biological function</w:t>
      </w:r>
      <w:r>
        <w:rPr>
          <w:rFonts w:ascii="Calibri" w:hAnsi="Calibri" w:cs="Calibri"/>
        </w:rPr>
        <w:t xml:space="preserve"> in cluster 3.</w:t>
      </w:r>
    </w:p>
    <w:p w:rsidR="00A47B51" w:rsidRDefault="00A47B51" w:rsidP="00A47B51">
      <w:pPr>
        <w:rPr>
          <w:rFonts w:ascii="Calibri" w:hAnsi="Calibri" w:cs="Calibri"/>
          <w:bCs/>
          <w:szCs w:val="21"/>
        </w:rPr>
      </w:pPr>
      <w:r w:rsidRPr="00A157A2">
        <w:rPr>
          <w:rFonts w:ascii="Calibri" w:hAnsi="Calibri" w:cs="Calibri" w:hint="eastAsia"/>
          <w:b/>
        </w:rPr>
        <w:t>T</w:t>
      </w:r>
      <w:r w:rsidRPr="00A157A2">
        <w:rPr>
          <w:rFonts w:ascii="Calibri" w:hAnsi="Calibri" w:cs="Calibri"/>
          <w:b/>
        </w:rPr>
        <w:t>able S6</w:t>
      </w:r>
      <w:r>
        <w:rPr>
          <w:rFonts w:ascii="Calibri" w:hAnsi="Calibri" w:cs="Calibri"/>
        </w:rPr>
        <w:t xml:space="preserve">. </w:t>
      </w:r>
      <w:bookmarkStart w:id="1" w:name="_Hlk72587047"/>
      <w:bookmarkStart w:id="2" w:name="_Hlk72585853"/>
      <w:r>
        <w:rPr>
          <w:rFonts w:ascii="Calibri" w:hAnsi="Calibri" w:cs="Calibri"/>
          <w:bCs/>
          <w:szCs w:val="21"/>
        </w:rPr>
        <w:t>The</w:t>
      </w:r>
      <w:r w:rsidRPr="00014BB1">
        <w:rPr>
          <w:rFonts w:ascii="Calibri" w:hAnsi="Calibri" w:cs="Calibri"/>
          <w:bCs/>
          <w:szCs w:val="21"/>
        </w:rPr>
        <w:t xml:space="preserve"> </w:t>
      </w:r>
      <w:r w:rsidRPr="005C7417">
        <w:rPr>
          <w:rFonts w:ascii="Calibri" w:hAnsi="Calibri" w:cs="Calibri"/>
        </w:rPr>
        <w:t xml:space="preserve">differently expressed </w:t>
      </w:r>
      <w:proofErr w:type="spellStart"/>
      <w:r w:rsidRPr="00B9550F">
        <w:rPr>
          <w:rFonts w:ascii="Calibri" w:hAnsi="Calibri" w:cs="Calibri"/>
        </w:rPr>
        <w:t>lncRNA</w:t>
      </w:r>
      <w:r>
        <w:rPr>
          <w:rFonts w:ascii="Calibri" w:hAnsi="Calibri" w:cs="Calibri"/>
        </w:rPr>
        <w:t>s</w:t>
      </w:r>
      <w:proofErr w:type="spellEnd"/>
      <w:r>
        <w:rPr>
          <w:rFonts w:ascii="Calibri" w:hAnsi="Calibri" w:cs="Calibri" w:hint="eastAsia"/>
          <w:bCs/>
          <w:szCs w:val="21"/>
        </w:rPr>
        <w:t xml:space="preserve"> </w:t>
      </w:r>
      <w:r w:rsidRPr="00014BB1">
        <w:rPr>
          <w:rFonts w:ascii="Calibri" w:hAnsi="Calibri" w:cs="Calibri"/>
          <w:bCs/>
          <w:szCs w:val="21"/>
        </w:rPr>
        <w:t xml:space="preserve">were </w:t>
      </w:r>
      <w:r>
        <w:rPr>
          <w:rFonts w:ascii="Calibri" w:hAnsi="Calibri" w:cs="Calibri"/>
          <w:bCs/>
          <w:szCs w:val="21"/>
        </w:rPr>
        <w:t>selecte</w:t>
      </w:r>
      <w:r w:rsidRPr="00014BB1">
        <w:rPr>
          <w:rFonts w:ascii="Calibri" w:hAnsi="Calibri" w:cs="Calibri"/>
          <w:bCs/>
          <w:szCs w:val="21"/>
        </w:rPr>
        <w:t xml:space="preserve">d </w:t>
      </w:r>
      <w:bookmarkStart w:id="3" w:name="_Hlk72264448"/>
      <w:r w:rsidRPr="00014BB1">
        <w:rPr>
          <w:rFonts w:ascii="Calibri" w:hAnsi="Calibri" w:cs="Calibri"/>
          <w:bCs/>
          <w:szCs w:val="21"/>
        </w:rPr>
        <w:t>as independent prognosis factors</w:t>
      </w:r>
      <w:bookmarkEnd w:id="1"/>
      <w:r w:rsidRPr="00014BB1">
        <w:rPr>
          <w:rFonts w:ascii="Calibri" w:hAnsi="Calibri" w:cs="Calibri"/>
          <w:bCs/>
          <w:szCs w:val="21"/>
        </w:rPr>
        <w:t xml:space="preserve"> of </w:t>
      </w:r>
      <w:r>
        <w:rPr>
          <w:rFonts w:ascii="Calibri" w:hAnsi="Calibri" w:cs="Calibri"/>
          <w:bCs/>
          <w:szCs w:val="21"/>
        </w:rPr>
        <w:t>HCC</w:t>
      </w:r>
      <w:r w:rsidRPr="00014BB1">
        <w:rPr>
          <w:rFonts w:ascii="Calibri" w:hAnsi="Calibri" w:cs="Calibri"/>
          <w:bCs/>
          <w:szCs w:val="21"/>
        </w:rPr>
        <w:t xml:space="preserve"> patients</w:t>
      </w:r>
      <w:bookmarkEnd w:id="3"/>
      <w:r>
        <w:rPr>
          <w:rFonts w:ascii="Calibri" w:hAnsi="Calibri" w:cs="Calibri"/>
          <w:bCs/>
          <w:szCs w:val="21"/>
        </w:rPr>
        <w:t xml:space="preserve"> based on the </w:t>
      </w:r>
      <w:r w:rsidRPr="009C7DB4">
        <w:rPr>
          <w:rFonts w:ascii="Calibri" w:hAnsi="Calibri" w:cs="Calibri"/>
          <w:bCs/>
          <w:szCs w:val="21"/>
        </w:rPr>
        <w:t>lasso</w:t>
      </w:r>
      <w:r>
        <w:rPr>
          <w:rFonts w:ascii="Calibri" w:hAnsi="Calibri" w:cs="Calibri"/>
          <w:bCs/>
          <w:szCs w:val="21"/>
        </w:rPr>
        <w:t xml:space="preserve"> regression</w:t>
      </w:r>
      <w:bookmarkEnd w:id="2"/>
      <w:r>
        <w:rPr>
          <w:rFonts w:ascii="Calibri" w:hAnsi="Calibri" w:cs="Calibri"/>
          <w:bCs/>
          <w:szCs w:val="21"/>
        </w:rPr>
        <w:t>.</w:t>
      </w:r>
    </w:p>
    <w:p w:rsidR="00A47B51" w:rsidRPr="00125E78" w:rsidRDefault="00A47B51" w:rsidP="00A47B51"/>
    <w:p w:rsidR="00A47B51" w:rsidRPr="00A47B51" w:rsidRDefault="00A47B51">
      <w:bookmarkStart w:id="4" w:name="_GoBack"/>
      <w:bookmarkEnd w:id="4"/>
    </w:p>
    <w:sectPr w:rsidR="00A47B51" w:rsidRPr="00A4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7F" w:rsidRDefault="00584A7F" w:rsidP="00A47B51">
      <w:r>
        <w:separator/>
      </w:r>
    </w:p>
  </w:endnote>
  <w:endnote w:type="continuationSeparator" w:id="0">
    <w:p w:rsidR="00584A7F" w:rsidRDefault="00584A7F" w:rsidP="00A4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7F" w:rsidRDefault="00584A7F" w:rsidP="00A47B51">
      <w:r>
        <w:separator/>
      </w:r>
    </w:p>
  </w:footnote>
  <w:footnote w:type="continuationSeparator" w:id="0">
    <w:p w:rsidR="00584A7F" w:rsidRDefault="00584A7F" w:rsidP="00A47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3E"/>
    <w:rsid w:val="00584A7F"/>
    <w:rsid w:val="0061229E"/>
    <w:rsid w:val="007A6A65"/>
    <w:rsid w:val="00A47B51"/>
    <w:rsid w:val="00A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7A929"/>
  <w15:chartTrackingRefBased/>
  <w15:docId w15:val="{BBB40B23-BC21-4F26-9470-AC3AF573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B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2021-05-24T05:33:00Z</dcterms:created>
  <dcterms:modified xsi:type="dcterms:W3CDTF">2021-09-04T03:09:00Z</dcterms:modified>
</cp:coreProperties>
</file>