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6DB9" w14:textId="77777777" w:rsidR="00FB014C" w:rsidRPr="00FB014C" w:rsidRDefault="00FB014C" w:rsidP="0001436A">
      <w:pPr>
        <w:pStyle w:val="SupplementaryMaterial"/>
        <w:rPr>
          <w:sz w:val="20"/>
          <w:szCs w:val="20"/>
        </w:rPr>
      </w:pPr>
    </w:p>
    <w:p w14:paraId="4227EEE6" w14:textId="5BD865EF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283A285" w14:textId="09C5E993" w:rsidR="00CA220B" w:rsidRDefault="00CA220B" w:rsidP="00CA220B">
      <w:pPr>
        <w:spacing w:after="120" w:line="240" w:lineRule="atLeast"/>
        <w:rPr>
          <w:rFonts w:cs="Times New Roman"/>
          <w:b/>
          <w:bCs/>
          <w:color w:val="000000" w:themeColor="text1"/>
          <w:sz w:val="22"/>
          <w:u w:val="single"/>
        </w:rPr>
      </w:pPr>
      <w:r w:rsidRPr="00CA220B">
        <w:rPr>
          <w:rFonts w:cs="Times New Roman"/>
          <w:b/>
          <w:bCs/>
          <w:color w:val="000000" w:themeColor="text1"/>
          <w:sz w:val="22"/>
          <w:u w:val="single"/>
        </w:rPr>
        <w:t xml:space="preserve">List of plans </w:t>
      </w:r>
      <w:proofErr w:type="spellStart"/>
      <w:r w:rsidRPr="00CA220B">
        <w:rPr>
          <w:rFonts w:cs="Times New Roman"/>
          <w:b/>
          <w:bCs/>
          <w:color w:val="000000" w:themeColor="text1"/>
          <w:sz w:val="22"/>
          <w:u w:val="single"/>
        </w:rPr>
        <w:t>analysed</w:t>
      </w:r>
      <w:proofErr w:type="spellEnd"/>
    </w:p>
    <w:p w14:paraId="089E65CD" w14:textId="77777777" w:rsidR="00CA220B" w:rsidRPr="00CA220B" w:rsidRDefault="00CA220B" w:rsidP="00CA220B">
      <w:pPr>
        <w:spacing w:after="120" w:line="240" w:lineRule="atLeast"/>
        <w:rPr>
          <w:rFonts w:cs="Times New Roman"/>
          <w:b/>
          <w:bCs/>
          <w:color w:val="000000" w:themeColor="text1"/>
          <w:sz w:val="22"/>
          <w:u w:val="single"/>
        </w:rPr>
      </w:pPr>
    </w:p>
    <w:p w14:paraId="2EFE8D1A" w14:textId="77777777" w:rsidR="00CA220B" w:rsidRPr="00C86D4E" w:rsidRDefault="00CA220B" w:rsidP="00CA220B">
      <w:pPr>
        <w:spacing w:after="120" w:line="240" w:lineRule="atLeast"/>
        <w:rPr>
          <w:rFonts w:cs="Times New Roman"/>
          <w:b/>
          <w:bCs/>
          <w:color w:val="000000" w:themeColor="text1"/>
          <w:sz w:val="22"/>
        </w:rPr>
      </w:pPr>
      <w:r w:rsidRPr="00C86D4E">
        <w:rPr>
          <w:rFonts w:cs="Times New Roman"/>
          <w:b/>
          <w:bCs/>
          <w:color w:val="000000" w:themeColor="text1"/>
          <w:sz w:val="22"/>
        </w:rPr>
        <w:t xml:space="preserve">Victoria – </w:t>
      </w:r>
      <w:proofErr w:type="gramStart"/>
      <w:r w:rsidRPr="00C86D4E">
        <w:rPr>
          <w:rFonts w:cs="Times New Roman"/>
          <w:b/>
          <w:bCs/>
          <w:color w:val="000000" w:themeColor="text1"/>
          <w:sz w:val="22"/>
        </w:rPr>
        <w:t>non M</w:t>
      </w:r>
      <w:r>
        <w:rPr>
          <w:rFonts w:cs="Times New Roman"/>
          <w:b/>
          <w:bCs/>
          <w:color w:val="000000" w:themeColor="text1"/>
          <w:sz w:val="22"/>
        </w:rPr>
        <w:t>urray</w:t>
      </w:r>
      <w:proofErr w:type="gramEnd"/>
      <w:r>
        <w:rPr>
          <w:rFonts w:cs="Times New Roman"/>
          <w:b/>
          <w:bCs/>
          <w:color w:val="000000" w:themeColor="text1"/>
          <w:sz w:val="22"/>
        </w:rPr>
        <w:t xml:space="preserve"> </w:t>
      </w:r>
      <w:r w:rsidRPr="00C86D4E">
        <w:rPr>
          <w:rFonts w:cs="Times New Roman"/>
          <w:b/>
          <w:bCs/>
          <w:color w:val="000000" w:themeColor="text1"/>
          <w:sz w:val="22"/>
        </w:rPr>
        <w:t>D</w:t>
      </w:r>
      <w:r>
        <w:rPr>
          <w:rFonts w:cs="Times New Roman"/>
          <w:b/>
          <w:bCs/>
          <w:color w:val="000000" w:themeColor="text1"/>
          <w:sz w:val="22"/>
        </w:rPr>
        <w:t xml:space="preserve">arling </w:t>
      </w:r>
      <w:r w:rsidRPr="00C86D4E">
        <w:rPr>
          <w:rFonts w:cs="Times New Roman"/>
          <w:b/>
          <w:bCs/>
          <w:color w:val="000000" w:themeColor="text1"/>
          <w:sz w:val="22"/>
        </w:rPr>
        <w:t>B</w:t>
      </w:r>
      <w:r>
        <w:rPr>
          <w:rFonts w:cs="Times New Roman"/>
          <w:b/>
          <w:bCs/>
          <w:color w:val="000000" w:themeColor="text1"/>
          <w:sz w:val="22"/>
        </w:rPr>
        <w:t xml:space="preserve">asin </w:t>
      </w:r>
    </w:p>
    <w:p w14:paraId="7677EE8A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color w:val="000000" w:themeColor="text1"/>
          <w:sz w:val="22"/>
          <w:szCs w:val="22"/>
        </w:rPr>
        <w:t xml:space="preserve">Moorabool River Environmental Water Management Plan (EWMP) 2016 </w:t>
      </w:r>
    </w:p>
    <w:p w14:paraId="72072B00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color w:val="000000" w:themeColor="text1"/>
          <w:sz w:val="22"/>
          <w:szCs w:val="22"/>
        </w:rPr>
        <w:t>Moorabool River Flows study 2015</w:t>
      </w:r>
    </w:p>
    <w:p w14:paraId="18099D68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color w:val="000000" w:themeColor="text1"/>
          <w:sz w:val="22"/>
          <w:szCs w:val="22"/>
        </w:rPr>
        <w:t>Moorabool River Seasonal Watering Proposal 2019/2020</w:t>
      </w:r>
    </w:p>
    <w:p w14:paraId="43E862BE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color w:val="000000" w:themeColor="text1"/>
          <w:sz w:val="22"/>
          <w:szCs w:val="22"/>
        </w:rPr>
        <w:t>Upper Barwon River Seasonal Watering Proposal 2019/2020</w:t>
      </w:r>
    </w:p>
    <w:p w14:paraId="4520E332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color w:val="000000" w:themeColor="text1"/>
          <w:sz w:val="22"/>
          <w:szCs w:val="22"/>
        </w:rPr>
        <w:t xml:space="preserve">Upper Barwon </w:t>
      </w:r>
      <w:proofErr w:type="spellStart"/>
      <w:r w:rsidRPr="00C86D4E">
        <w:rPr>
          <w:color w:val="000000" w:themeColor="text1"/>
          <w:sz w:val="22"/>
          <w:szCs w:val="22"/>
        </w:rPr>
        <w:t>Yarrowee</w:t>
      </w:r>
      <w:proofErr w:type="spellEnd"/>
      <w:r w:rsidRPr="00C86D4E">
        <w:rPr>
          <w:color w:val="000000" w:themeColor="text1"/>
          <w:sz w:val="22"/>
          <w:szCs w:val="22"/>
        </w:rPr>
        <w:t xml:space="preserve"> Leigh Flows study 2019</w:t>
      </w:r>
    </w:p>
    <w:p w14:paraId="19B8DCA5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Glenelg River </w:t>
      </w:r>
      <w:r w:rsidRPr="00C86D4E">
        <w:rPr>
          <w:color w:val="000000" w:themeColor="text1"/>
          <w:sz w:val="22"/>
          <w:szCs w:val="22"/>
        </w:rPr>
        <w:t>Seasonal Watering Proposal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2017/2018</w:t>
      </w:r>
    </w:p>
    <w:p w14:paraId="63F5537F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Glenelg River </w:t>
      </w:r>
      <w:r w:rsidRPr="00C86D4E">
        <w:rPr>
          <w:color w:val="000000" w:themeColor="text1"/>
          <w:sz w:val="22"/>
          <w:szCs w:val="22"/>
        </w:rPr>
        <w:t>Seasonal Watering Proposal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2018/2019</w:t>
      </w:r>
    </w:p>
    <w:p w14:paraId="559119C2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Upper and Mid Glenelg Flows study 2013</w:t>
      </w:r>
    </w:p>
    <w:p w14:paraId="3A961386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color w:val="000000" w:themeColor="text1"/>
          <w:sz w:val="22"/>
          <w:szCs w:val="22"/>
        </w:rPr>
        <w:t xml:space="preserve">Lower Glenelg Flows study 2018 </w:t>
      </w:r>
    </w:p>
    <w:p w14:paraId="2A77D2AC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Glenelg River </w:t>
      </w:r>
      <w:r w:rsidRPr="00C86D4E">
        <w:rPr>
          <w:color w:val="000000" w:themeColor="text1"/>
          <w:sz w:val="22"/>
          <w:szCs w:val="22"/>
        </w:rPr>
        <w:t>Environmental Water Management Plan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(EWMP) 2016</w:t>
      </w:r>
    </w:p>
    <w:p w14:paraId="51D9E5E7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proofErr w:type="spellStart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Tarago</w:t>
      </w:r>
      <w:proofErr w:type="spellEnd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-Bunyip </w:t>
      </w:r>
      <w:r w:rsidRPr="00C86D4E">
        <w:rPr>
          <w:color w:val="000000" w:themeColor="text1"/>
          <w:sz w:val="22"/>
          <w:szCs w:val="22"/>
        </w:rPr>
        <w:t>Environmental Water Management Plan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(EWMP) 2017</w:t>
      </w:r>
    </w:p>
    <w:p w14:paraId="2F55AB75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proofErr w:type="spellStart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Werribee</w:t>
      </w:r>
      <w:proofErr w:type="spellEnd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River </w:t>
      </w:r>
      <w:r w:rsidRPr="00C86D4E">
        <w:rPr>
          <w:color w:val="000000" w:themeColor="text1"/>
          <w:sz w:val="22"/>
          <w:szCs w:val="22"/>
        </w:rPr>
        <w:t>Environmental Water Management Plan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(EWMP) 2015</w:t>
      </w:r>
    </w:p>
    <w:p w14:paraId="049F677F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proofErr w:type="spellStart"/>
      <w:r w:rsidRPr="00C86D4E">
        <w:rPr>
          <w:color w:val="000000" w:themeColor="text1"/>
          <w:sz w:val="22"/>
          <w:szCs w:val="22"/>
        </w:rPr>
        <w:t>Yarra</w:t>
      </w:r>
      <w:proofErr w:type="spellEnd"/>
      <w:r w:rsidRPr="00C86D4E">
        <w:rPr>
          <w:color w:val="000000" w:themeColor="text1"/>
          <w:sz w:val="22"/>
          <w:szCs w:val="22"/>
        </w:rPr>
        <w:t xml:space="preserve"> River Flows study 2018 </w:t>
      </w:r>
    </w:p>
    <w:p w14:paraId="72522B41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proofErr w:type="spellStart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Tarago</w:t>
      </w:r>
      <w:proofErr w:type="spellEnd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and Bunyip Rivers Flows study 2018</w:t>
      </w:r>
    </w:p>
    <w:p w14:paraId="55525EB0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Cement Creek Flows study 2020 </w:t>
      </w:r>
    </w:p>
    <w:p w14:paraId="54076C5D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Macalister River EWMP 2015</w:t>
      </w:r>
    </w:p>
    <w:p w14:paraId="3BD5113D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LaTrobe River Seasonal Watering Proposal 2019/2020</w:t>
      </w:r>
    </w:p>
    <w:p w14:paraId="780328C0" w14:textId="51488E11" w:rsidR="00CA220B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Thompson River Seasonal Watering Proposal 2019/2020</w:t>
      </w:r>
    </w:p>
    <w:p w14:paraId="677EFF89" w14:textId="77777777" w:rsidR="00CA220B" w:rsidRPr="00C86D4E" w:rsidRDefault="00CA220B" w:rsidP="00CA220B">
      <w:pPr>
        <w:pStyle w:val="ListParagraph"/>
        <w:numPr>
          <w:ilvl w:val="0"/>
          <w:numId w:val="0"/>
        </w:numPr>
        <w:spacing w:before="0" w:after="120" w:line="240" w:lineRule="atLeast"/>
        <w:ind w:left="720"/>
        <w:rPr>
          <w:rFonts w:eastAsia="Times New Roman"/>
          <w:color w:val="000000" w:themeColor="text1"/>
          <w:sz w:val="22"/>
          <w:szCs w:val="22"/>
          <w:lang w:eastAsia="en-AU"/>
        </w:rPr>
      </w:pPr>
    </w:p>
    <w:p w14:paraId="2C3F348E" w14:textId="499ED351" w:rsidR="00CA220B" w:rsidRDefault="00CA220B" w:rsidP="00CA220B">
      <w:pPr>
        <w:spacing w:after="120" w:line="240" w:lineRule="atLeast"/>
        <w:rPr>
          <w:rFonts w:cs="Times New Roman"/>
          <w:b/>
          <w:bCs/>
          <w:color w:val="000000" w:themeColor="text1"/>
          <w:sz w:val="22"/>
        </w:rPr>
      </w:pPr>
      <w:r w:rsidRPr="00C86D4E">
        <w:rPr>
          <w:rFonts w:cs="Times New Roman"/>
          <w:b/>
          <w:bCs/>
          <w:color w:val="000000" w:themeColor="text1"/>
          <w:sz w:val="22"/>
        </w:rPr>
        <w:t>Murray Darling Basin</w:t>
      </w:r>
    </w:p>
    <w:p w14:paraId="6D1D9F51" w14:textId="03FB3383" w:rsidR="00814DBA" w:rsidRPr="00C86D4E" w:rsidRDefault="00814DBA" w:rsidP="00CA220B">
      <w:pPr>
        <w:spacing w:after="120" w:line="240" w:lineRule="atLeast"/>
        <w:rPr>
          <w:rFonts w:cs="Times New Roman"/>
          <w:b/>
          <w:bCs/>
          <w:color w:val="000000" w:themeColor="text1"/>
          <w:sz w:val="22"/>
        </w:rPr>
      </w:pPr>
      <w:r w:rsidRPr="00C86D4E">
        <w:rPr>
          <w:rFonts w:cs="Times New Roman"/>
          <w:b/>
          <w:bCs/>
          <w:color w:val="000000" w:themeColor="text1"/>
          <w:sz w:val="22"/>
        </w:rPr>
        <w:t>Victoria</w:t>
      </w:r>
    </w:p>
    <w:p w14:paraId="0FCFE728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Goulburn River </w:t>
      </w:r>
      <w:r w:rsidRPr="00C86D4E">
        <w:rPr>
          <w:color w:val="000000" w:themeColor="text1"/>
          <w:sz w:val="22"/>
          <w:szCs w:val="22"/>
        </w:rPr>
        <w:t>Environmental Water Management Plan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(EWMP) 2015 </w:t>
      </w:r>
    </w:p>
    <w:p w14:paraId="35E3AC85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color w:val="000000" w:themeColor="text1"/>
          <w:sz w:val="22"/>
          <w:szCs w:val="22"/>
        </w:rPr>
        <w:t>Goulburn River Seasonal Watering Proposal 2019/2020</w:t>
      </w:r>
    </w:p>
    <w:p w14:paraId="7A5E2CA0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color w:val="000000" w:themeColor="text1"/>
          <w:sz w:val="22"/>
          <w:szCs w:val="22"/>
        </w:rPr>
        <w:t>Lower Goulburn River Flows study 2020 (draft)</w:t>
      </w:r>
    </w:p>
    <w:p w14:paraId="09E2ECD1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Broken River </w:t>
      </w:r>
      <w:r w:rsidRPr="00C86D4E">
        <w:rPr>
          <w:color w:val="000000" w:themeColor="text1"/>
          <w:sz w:val="22"/>
          <w:szCs w:val="22"/>
        </w:rPr>
        <w:t>Environmental Water Management Plan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(EWMP) 2013 </w:t>
      </w:r>
    </w:p>
    <w:p w14:paraId="61A3B69C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Broken Creek and Nine Mile </w:t>
      </w:r>
      <w:r w:rsidRPr="00C86D4E">
        <w:rPr>
          <w:color w:val="000000" w:themeColor="text1"/>
          <w:sz w:val="22"/>
          <w:szCs w:val="22"/>
        </w:rPr>
        <w:t>Environmental Water Management Plan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(EWMP) 2010 </w:t>
      </w:r>
    </w:p>
    <w:p w14:paraId="60A170B6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Murray River Lock 6 - 10 </w:t>
      </w:r>
      <w:r w:rsidRPr="00C86D4E">
        <w:rPr>
          <w:color w:val="000000" w:themeColor="text1"/>
          <w:sz w:val="22"/>
          <w:szCs w:val="22"/>
        </w:rPr>
        <w:t>Environmental Water Management Plan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(EWMP) 2015</w:t>
      </w:r>
    </w:p>
    <w:p w14:paraId="2C6DE17E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Murray River Lock 5 </w:t>
      </w:r>
      <w:r w:rsidRPr="00C86D4E">
        <w:rPr>
          <w:color w:val="000000" w:themeColor="text1"/>
          <w:sz w:val="22"/>
          <w:szCs w:val="22"/>
        </w:rPr>
        <w:t>Environmental Water Management Plan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(EWMP) 2015</w:t>
      </w:r>
    </w:p>
    <w:p w14:paraId="0E705D6B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Campaspe River </w:t>
      </w:r>
      <w:r w:rsidRPr="00C86D4E">
        <w:rPr>
          <w:color w:val="000000" w:themeColor="text1"/>
          <w:sz w:val="22"/>
          <w:szCs w:val="22"/>
        </w:rPr>
        <w:t>Environmental Water Management Plan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(EWMP) 2014</w:t>
      </w:r>
    </w:p>
    <w:p w14:paraId="07BC7FA8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proofErr w:type="spellStart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Gunbower</w:t>
      </w:r>
      <w:proofErr w:type="spellEnd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Creek and lagoon system </w:t>
      </w:r>
      <w:r w:rsidRPr="00C86D4E">
        <w:rPr>
          <w:color w:val="000000" w:themeColor="text1"/>
          <w:sz w:val="22"/>
          <w:szCs w:val="22"/>
        </w:rPr>
        <w:t>Environmental Water Management Plan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(EWMP) 2015</w:t>
      </w:r>
    </w:p>
    <w:p w14:paraId="657A02D5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Loddon River </w:t>
      </w:r>
      <w:r w:rsidRPr="00C86D4E">
        <w:rPr>
          <w:color w:val="000000" w:themeColor="text1"/>
          <w:sz w:val="22"/>
          <w:szCs w:val="22"/>
        </w:rPr>
        <w:t>Environmental Water Management Plan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(EWMP) and Flows study 2015</w:t>
      </w:r>
    </w:p>
    <w:p w14:paraId="14CB8511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proofErr w:type="spellStart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Coliban</w:t>
      </w:r>
      <w:proofErr w:type="spellEnd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River </w:t>
      </w:r>
      <w:r w:rsidRPr="00C86D4E">
        <w:rPr>
          <w:color w:val="000000" w:themeColor="text1"/>
          <w:sz w:val="22"/>
          <w:szCs w:val="22"/>
        </w:rPr>
        <w:t>Environmental Water Management Plan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(EWMP) 2015</w:t>
      </w:r>
    </w:p>
    <w:p w14:paraId="5EBC8EED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color w:val="000000" w:themeColor="text1"/>
          <w:sz w:val="22"/>
          <w:szCs w:val="22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Birch (Bullarook) Creek </w:t>
      </w:r>
      <w:r w:rsidRPr="00C86D4E">
        <w:rPr>
          <w:color w:val="000000" w:themeColor="text1"/>
          <w:sz w:val="22"/>
          <w:szCs w:val="22"/>
        </w:rPr>
        <w:t>Environmental Water Management Plan</w:t>
      </w: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(EWMP) 2015</w:t>
      </w:r>
    </w:p>
    <w:p w14:paraId="02C40B52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Pyramid Creek Flows study 2015 </w:t>
      </w:r>
    </w:p>
    <w:p w14:paraId="35F2E783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Serpentine Creek Flows 2014</w:t>
      </w:r>
    </w:p>
    <w:p w14:paraId="42A85233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Ovens River EWMP 2015</w:t>
      </w:r>
    </w:p>
    <w:p w14:paraId="4E66558E" w14:textId="75D0A8D8" w:rsidR="00CA220B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Wimmera Seasonal Watering Proposal 2018/2019</w:t>
      </w:r>
    </w:p>
    <w:p w14:paraId="60EA66AB" w14:textId="0CB516C1" w:rsidR="00CA220B" w:rsidRDefault="00CA220B" w:rsidP="00CA220B">
      <w:pPr>
        <w:pStyle w:val="ListParagraph"/>
        <w:numPr>
          <w:ilvl w:val="0"/>
          <w:numId w:val="0"/>
        </w:numPr>
        <w:spacing w:before="0" w:after="120" w:line="240" w:lineRule="atLeast"/>
        <w:ind w:left="720"/>
        <w:rPr>
          <w:rFonts w:eastAsia="Times New Roman"/>
          <w:color w:val="000000" w:themeColor="text1"/>
          <w:sz w:val="22"/>
          <w:szCs w:val="22"/>
          <w:lang w:eastAsia="en-AU"/>
        </w:rPr>
      </w:pPr>
    </w:p>
    <w:p w14:paraId="1A369773" w14:textId="77777777" w:rsidR="00FB014C" w:rsidRPr="00C86D4E" w:rsidRDefault="00FB014C" w:rsidP="00CA220B">
      <w:pPr>
        <w:pStyle w:val="ListParagraph"/>
        <w:numPr>
          <w:ilvl w:val="0"/>
          <w:numId w:val="0"/>
        </w:numPr>
        <w:spacing w:before="0" w:after="120" w:line="240" w:lineRule="atLeast"/>
        <w:ind w:left="720"/>
        <w:rPr>
          <w:rFonts w:eastAsia="Times New Roman"/>
          <w:color w:val="000000" w:themeColor="text1"/>
          <w:sz w:val="22"/>
          <w:szCs w:val="22"/>
          <w:lang w:eastAsia="en-AU"/>
        </w:rPr>
      </w:pPr>
    </w:p>
    <w:p w14:paraId="46ECF90F" w14:textId="77777777" w:rsidR="00CA220B" w:rsidRPr="00C86D4E" w:rsidRDefault="00CA220B" w:rsidP="00CA220B">
      <w:pPr>
        <w:spacing w:after="120" w:line="240" w:lineRule="atLeast"/>
        <w:rPr>
          <w:rFonts w:eastAsia="Times New Roman" w:cs="Times New Roman"/>
          <w:b/>
          <w:bCs/>
          <w:color w:val="000000" w:themeColor="text1"/>
          <w:sz w:val="22"/>
          <w:lang w:eastAsia="en-AU"/>
        </w:rPr>
      </w:pPr>
      <w:r w:rsidRPr="00C86D4E">
        <w:rPr>
          <w:rFonts w:eastAsia="Times New Roman" w:cs="Times New Roman"/>
          <w:b/>
          <w:bCs/>
          <w:color w:val="000000" w:themeColor="text1"/>
          <w:sz w:val="22"/>
          <w:lang w:eastAsia="en-AU"/>
        </w:rPr>
        <w:lastRenderedPageBreak/>
        <w:t xml:space="preserve">South Australia </w:t>
      </w:r>
    </w:p>
    <w:p w14:paraId="0C1B9170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South Australia Murray River Environmental water plan 2018/2019</w:t>
      </w:r>
    </w:p>
    <w:p w14:paraId="18A73920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South Australia Murray Darling Basin NRM Plan 2015</w:t>
      </w:r>
    </w:p>
    <w:p w14:paraId="62474662" w14:textId="73BBC05D" w:rsidR="00CA220B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River Murray Channel Environmental Water Requirements: Ecological Objectives and Targets 2014</w:t>
      </w:r>
    </w:p>
    <w:p w14:paraId="04CFB7DC" w14:textId="77777777" w:rsidR="00CA220B" w:rsidRPr="00C86D4E" w:rsidRDefault="00CA220B" w:rsidP="00CA220B">
      <w:pPr>
        <w:pStyle w:val="ListParagraph"/>
        <w:numPr>
          <w:ilvl w:val="0"/>
          <w:numId w:val="0"/>
        </w:numPr>
        <w:spacing w:before="0" w:after="120" w:line="240" w:lineRule="atLeast"/>
        <w:ind w:left="720"/>
        <w:rPr>
          <w:rFonts w:eastAsia="Times New Roman"/>
          <w:color w:val="000000" w:themeColor="text1"/>
          <w:sz w:val="22"/>
          <w:szCs w:val="22"/>
          <w:lang w:eastAsia="en-AU"/>
        </w:rPr>
      </w:pPr>
    </w:p>
    <w:p w14:paraId="6363FB8F" w14:textId="77777777" w:rsidR="00CA220B" w:rsidRPr="00C86D4E" w:rsidRDefault="00CA220B" w:rsidP="00CA220B">
      <w:pPr>
        <w:spacing w:after="120" w:line="240" w:lineRule="atLeast"/>
        <w:rPr>
          <w:rFonts w:eastAsia="Times New Roman" w:cs="Times New Roman"/>
          <w:b/>
          <w:bCs/>
          <w:color w:val="000000" w:themeColor="text1"/>
          <w:sz w:val="22"/>
          <w:lang w:eastAsia="en-AU"/>
        </w:rPr>
      </w:pPr>
      <w:r w:rsidRPr="00C86D4E">
        <w:rPr>
          <w:rFonts w:eastAsia="Times New Roman" w:cs="Times New Roman"/>
          <w:b/>
          <w:bCs/>
          <w:color w:val="000000" w:themeColor="text1"/>
          <w:sz w:val="22"/>
          <w:lang w:eastAsia="en-AU"/>
        </w:rPr>
        <w:t xml:space="preserve">New South Wales </w:t>
      </w:r>
    </w:p>
    <w:p w14:paraId="0DB6949D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NSW Government River Flow objectives 1999 (12 overarching objectives for the protection or restoration of river health, </w:t>
      </w:r>
      <w:proofErr w:type="gramStart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ecology</w:t>
      </w:r>
      <w:proofErr w:type="gramEnd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and biodiversity) </w:t>
      </w:r>
    </w:p>
    <w:p w14:paraId="30700196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Water Sharing Plan for the Lachlan Regulated River Water Source 2016</w:t>
      </w:r>
    </w:p>
    <w:p w14:paraId="53F993F5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Water Sharing Plan for the </w:t>
      </w:r>
      <w:proofErr w:type="spellStart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Murrumbidgee</w:t>
      </w:r>
      <w:proofErr w:type="spellEnd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Regulated River Water Source 2016</w:t>
      </w:r>
    </w:p>
    <w:p w14:paraId="28AE0E40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proofErr w:type="spellStart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Murrumbidgee</w:t>
      </w:r>
      <w:proofErr w:type="spellEnd"/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 Long Term Water Plan 2019 (Draft) </w:t>
      </w:r>
    </w:p>
    <w:p w14:paraId="38656479" w14:textId="77777777" w:rsidR="00CA220B" w:rsidRPr="00C86D4E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Murray-Lower Darling Long Term Water Plan 2019 (Draft) </w:t>
      </w:r>
    </w:p>
    <w:p w14:paraId="24CC4AC7" w14:textId="1C6F020E" w:rsidR="00CA220B" w:rsidRDefault="00CA220B" w:rsidP="00CA220B">
      <w:pPr>
        <w:pStyle w:val="ListParagraph"/>
        <w:numPr>
          <w:ilvl w:val="0"/>
          <w:numId w:val="20"/>
        </w:numPr>
        <w:spacing w:before="0" w:after="120" w:line="240" w:lineRule="atLeast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 xml:space="preserve">Lachlan Long Term Water Plan 2019 (Draft) </w:t>
      </w:r>
    </w:p>
    <w:p w14:paraId="69AE9924" w14:textId="77777777" w:rsidR="00CA220B" w:rsidRPr="00C86D4E" w:rsidRDefault="00CA220B" w:rsidP="00CA220B">
      <w:pPr>
        <w:pStyle w:val="ListParagraph"/>
        <w:numPr>
          <w:ilvl w:val="0"/>
          <w:numId w:val="0"/>
        </w:numPr>
        <w:spacing w:before="0" w:after="120" w:line="240" w:lineRule="atLeast"/>
        <w:ind w:left="720"/>
        <w:rPr>
          <w:rFonts w:eastAsia="Times New Roman"/>
          <w:color w:val="000000" w:themeColor="text1"/>
          <w:sz w:val="22"/>
          <w:szCs w:val="22"/>
          <w:lang w:eastAsia="en-AU"/>
        </w:rPr>
      </w:pPr>
    </w:p>
    <w:p w14:paraId="4C5D7F72" w14:textId="77777777" w:rsidR="00CA220B" w:rsidRPr="00C86D4E" w:rsidRDefault="00CA220B" w:rsidP="00CA220B">
      <w:pPr>
        <w:spacing w:after="0"/>
        <w:rPr>
          <w:rFonts w:eastAsia="Times New Roman" w:cs="Times New Roman"/>
          <w:b/>
          <w:bCs/>
          <w:color w:val="000000" w:themeColor="text1"/>
          <w:sz w:val="22"/>
          <w:lang w:eastAsia="en-AU"/>
        </w:rPr>
      </w:pPr>
      <w:r w:rsidRPr="00C86D4E">
        <w:rPr>
          <w:rFonts w:eastAsia="Times New Roman" w:cs="Times New Roman"/>
          <w:b/>
          <w:bCs/>
          <w:color w:val="000000" w:themeColor="text1"/>
          <w:sz w:val="22"/>
          <w:lang w:eastAsia="en-AU"/>
        </w:rPr>
        <w:t xml:space="preserve">Commonwealth Government </w:t>
      </w:r>
    </w:p>
    <w:p w14:paraId="22A42A86" w14:textId="28FE25AA" w:rsidR="00CA220B" w:rsidRPr="00C813FD" w:rsidRDefault="00CA220B" w:rsidP="00CA220B">
      <w:pPr>
        <w:pStyle w:val="ListParagraph"/>
        <w:numPr>
          <w:ilvl w:val="0"/>
          <w:numId w:val="20"/>
        </w:numPr>
        <w:spacing w:before="0" w:after="0"/>
        <w:rPr>
          <w:rFonts w:eastAsia="Times New Roman"/>
          <w:color w:val="000000" w:themeColor="text1"/>
          <w:sz w:val="22"/>
          <w:szCs w:val="22"/>
          <w:lang w:eastAsia="en-AU"/>
        </w:rPr>
      </w:pPr>
      <w:r w:rsidRPr="00C86D4E">
        <w:rPr>
          <w:rFonts w:eastAsia="Times New Roman"/>
          <w:color w:val="000000" w:themeColor="text1"/>
          <w:sz w:val="22"/>
          <w:szCs w:val="22"/>
          <w:lang w:eastAsia="en-AU"/>
        </w:rPr>
        <w:t>The Basin Plan 2012</w:t>
      </w:r>
    </w:p>
    <w:p w14:paraId="0F002223" w14:textId="190CF9A8" w:rsidR="00CA220B" w:rsidRPr="00C86D4E" w:rsidRDefault="00CA220B" w:rsidP="00CA220B">
      <w:pPr>
        <w:spacing w:before="0" w:after="0"/>
        <w:rPr>
          <w:rFonts w:ascii="Calibri" w:eastAsia="Times New Roman" w:hAnsi="Calibri" w:cs="Calibri"/>
          <w:color w:val="000000" w:themeColor="text1"/>
          <w:sz w:val="20"/>
          <w:szCs w:val="20"/>
          <w:lang w:eastAsia="en-AU"/>
        </w:rPr>
        <w:sectPr w:rsidR="00CA220B" w:rsidRPr="00C86D4E" w:rsidSect="00DC11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</w:p>
    <w:p w14:paraId="132A48D2" w14:textId="29601FD2" w:rsidR="00CA220B" w:rsidRPr="00C86D4E" w:rsidRDefault="00CA220B" w:rsidP="00CA220B">
      <w:pPr>
        <w:rPr>
          <w:b/>
          <w:bCs/>
          <w:color w:val="000000" w:themeColor="text1"/>
          <w:sz w:val="22"/>
        </w:rPr>
      </w:pPr>
      <w:r w:rsidRPr="00C86D4E">
        <w:rPr>
          <w:b/>
          <w:bCs/>
          <w:color w:val="000000" w:themeColor="text1"/>
          <w:sz w:val="22"/>
        </w:rPr>
        <w:lastRenderedPageBreak/>
        <w:t xml:space="preserve">Examples of existing objectives that include recommended climate change adaptations as per </w:t>
      </w:r>
      <w:r w:rsidR="00DD27C4">
        <w:rPr>
          <w:b/>
          <w:bCs/>
          <w:color w:val="000000" w:themeColor="text1"/>
          <w:sz w:val="22"/>
        </w:rPr>
        <w:t>Table 1</w:t>
      </w:r>
      <w:r w:rsidRPr="00C86D4E">
        <w:rPr>
          <w:b/>
          <w:bCs/>
          <w:color w:val="000000" w:themeColor="text1"/>
          <w:sz w:val="22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6"/>
        <w:gridCol w:w="4161"/>
        <w:gridCol w:w="1810"/>
        <w:gridCol w:w="7157"/>
      </w:tblGrid>
      <w:tr w:rsidR="00CA220B" w:rsidRPr="00C86D4E" w14:paraId="2BCCB794" w14:textId="77777777" w:rsidTr="009E0281">
        <w:tc>
          <w:tcPr>
            <w:tcW w:w="142" w:type="pct"/>
          </w:tcPr>
          <w:p w14:paraId="58386B4B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40" w:type="pct"/>
          </w:tcPr>
          <w:p w14:paraId="0778EF45" w14:textId="04CC91E1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Suggested objectives that incorporate climate change adaptations (from </w:t>
            </w:r>
            <w:r w:rsidR="00DD27C4">
              <w:rPr>
                <w:rFonts w:cs="Times New Roman"/>
                <w:color w:val="000000" w:themeColor="text1"/>
                <w:sz w:val="21"/>
                <w:szCs w:val="21"/>
              </w:rPr>
              <w:t>Table 1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73" w:type="pct"/>
            <w:vAlign w:val="center"/>
          </w:tcPr>
          <w:p w14:paraId="457FE76F" w14:textId="77777777" w:rsidR="00CA220B" w:rsidRPr="00C86D4E" w:rsidRDefault="00CA220B" w:rsidP="009E028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Number of existing objectives that meet this adaptation</w:t>
            </w:r>
          </w:p>
        </w:tc>
        <w:tc>
          <w:tcPr>
            <w:tcW w:w="2645" w:type="pct"/>
          </w:tcPr>
          <w:p w14:paraId="56DE5E19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Examples of existing objectives from case study documents </w:t>
            </w:r>
          </w:p>
        </w:tc>
      </w:tr>
      <w:tr w:rsidR="00CA220B" w:rsidRPr="00C86D4E" w14:paraId="39AA26E3" w14:textId="77777777" w:rsidTr="009E0281">
        <w:tc>
          <w:tcPr>
            <w:tcW w:w="5000" w:type="pct"/>
            <w:gridSpan w:val="4"/>
            <w:vAlign w:val="center"/>
          </w:tcPr>
          <w:p w14:paraId="67AB8214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Persistence - Aims to maintain habitats and features, including refuges</w:t>
            </w:r>
          </w:p>
        </w:tc>
      </w:tr>
      <w:tr w:rsidR="00CA220B" w:rsidRPr="00C86D4E" w14:paraId="17DC5ED1" w14:textId="77777777" w:rsidTr="009E0281">
        <w:tc>
          <w:tcPr>
            <w:tcW w:w="142" w:type="pct"/>
          </w:tcPr>
          <w:p w14:paraId="4FA2A256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1 </w:t>
            </w:r>
          </w:p>
        </w:tc>
        <w:tc>
          <w:tcPr>
            <w:tcW w:w="1540" w:type="pct"/>
          </w:tcPr>
          <w:p w14:paraId="2D3AAF36" w14:textId="72EB25B8" w:rsidR="00CA220B" w:rsidRPr="00C86D4E" w:rsidRDefault="00E23969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Maintain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A220B"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key ecosystem features that can support and underpin the overall system </w:t>
            </w:r>
            <w:proofErr w:type="gramStart"/>
            <w:r w:rsidR="00CA220B" w:rsidRPr="00C86D4E">
              <w:rPr>
                <w:rFonts w:cs="Times New Roman"/>
                <w:color w:val="000000" w:themeColor="text1"/>
                <w:sz w:val="21"/>
                <w:szCs w:val="21"/>
              </w:rPr>
              <w:t>e.g.</w:t>
            </w:r>
            <w:proofErr w:type="gramEnd"/>
            <w:r w:rsidR="00CA220B"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buffer zones, riparian areas incorporating drought tolerant plants, structural complexity of vegetation, protect nursery and spawning areas </w:t>
            </w:r>
            <w:r w:rsidR="00666B09">
              <w:rPr>
                <w:rFonts w:cs="Times New Roman"/>
                <w:color w:val="000000" w:themeColor="text1"/>
                <w:sz w:val="21"/>
                <w:szCs w:val="21"/>
              </w:rPr>
              <w:t>(West et al, 2009)</w:t>
            </w:r>
          </w:p>
        </w:tc>
        <w:tc>
          <w:tcPr>
            <w:tcW w:w="673" w:type="pct"/>
            <w:vAlign w:val="center"/>
          </w:tcPr>
          <w:p w14:paraId="3F6068A8" w14:textId="77777777" w:rsidR="00CA220B" w:rsidRPr="00C86D4E" w:rsidRDefault="00CA220B" w:rsidP="009E028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158</w:t>
            </w:r>
          </w:p>
        </w:tc>
        <w:tc>
          <w:tcPr>
            <w:tcW w:w="2645" w:type="pct"/>
          </w:tcPr>
          <w:p w14:paraId="709BDE27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Protect and restore the key species, habitat components and functions of the ecosystem by providing the hydrological environments required by indigenous plant and animal species and communities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(Murray River Lock 6-10 EWMP 2015)</w:t>
            </w:r>
          </w:p>
          <w:p w14:paraId="26A6784E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Maintain or improve in-stream &amp; riparian vegetation extent, structure &amp; composition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</w:t>
            </w:r>
            <w:proofErr w:type="spellStart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Yarra</w:t>
            </w:r>
            <w:proofErr w:type="spellEnd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River Flows study 2018)</w:t>
            </w:r>
          </w:p>
          <w:p w14:paraId="5B61FECF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Trigger downstream spawning migration of adult catadromous and amphidromous fish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(Moorabool River EWMP 2016)</w:t>
            </w:r>
          </w:p>
          <w:p w14:paraId="5979270F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Provide flows cues by increasing water depth to promote downstream migration and spawning for Australian grayling, </w:t>
            </w:r>
            <w:proofErr w:type="spellStart"/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tupong</w:t>
            </w:r>
            <w:proofErr w:type="spellEnd"/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 and Australian bass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(Macalister River EWMP 2015)</w:t>
            </w:r>
          </w:p>
        </w:tc>
      </w:tr>
      <w:tr w:rsidR="00CA220B" w:rsidRPr="00C86D4E" w14:paraId="793B8677" w14:textId="77777777" w:rsidTr="009E0281">
        <w:tc>
          <w:tcPr>
            <w:tcW w:w="142" w:type="pct"/>
          </w:tcPr>
          <w:p w14:paraId="7C2E2EC5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2 </w:t>
            </w:r>
          </w:p>
        </w:tc>
        <w:tc>
          <w:tcPr>
            <w:tcW w:w="1540" w:type="pct"/>
          </w:tcPr>
          <w:p w14:paraId="12C53A46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Considers drought induced low flows or provision or maintenance of refuge or pool habitat for low flow/drought conditions </w:t>
            </w:r>
          </w:p>
        </w:tc>
        <w:tc>
          <w:tcPr>
            <w:tcW w:w="673" w:type="pct"/>
            <w:vAlign w:val="center"/>
          </w:tcPr>
          <w:p w14:paraId="335948E7" w14:textId="77777777" w:rsidR="00CA220B" w:rsidRPr="00C86D4E" w:rsidRDefault="00CA220B" w:rsidP="009E028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645" w:type="pct"/>
          </w:tcPr>
          <w:p w14:paraId="034E859C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Provide adequate water quality/habitat for fish refuge locations in dry periods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”. (Wimmera SWP 2018/19) </w:t>
            </w:r>
          </w:p>
          <w:p w14:paraId="76687448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Protection of drought refuge plus dry spell breaking under climate change conditions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” (Broken and Nine Mile EWMP 2010) </w:t>
            </w:r>
          </w:p>
          <w:p w14:paraId="2041DA5B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To protect refugia in order to support the long-term survival and resilience of water-dependent populations of native flora and fauna, including during drought to allow for subsequent re-</w:t>
            </w:r>
            <w:proofErr w:type="spellStart"/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colonisation</w:t>
            </w:r>
            <w:proofErr w:type="spellEnd"/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 beyond the refugia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”. (The Basin Plan 2012) </w:t>
            </w:r>
          </w:p>
          <w:p w14:paraId="1962AAB4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lastRenderedPageBreak/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Flush pools to prevent water quality decline during low flows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(Glenelg River SWP 2017-18)</w:t>
            </w:r>
          </w:p>
        </w:tc>
      </w:tr>
      <w:tr w:rsidR="00CA220B" w:rsidRPr="00C86D4E" w14:paraId="4B57A8D2" w14:textId="77777777" w:rsidTr="009E0281">
        <w:tc>
          <w:tcPr>
            <w:tcW w:w="142" w:type="pct"/>
          </w:tcPr>
          <w:p w14:paraId="7BA28394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</w:p>
        </w:tc>
        <w:tc>
          <w:tcPr>
            <w:tcW w:w="1540" w:type="pct"/>
          </w:tcPr>
          <w:p w14:paraId="249ECAD0" w14:textId="3865A3C1" w:rsidR="00CA220B" w:rsidRPr="00C86D4E" w:rsidRDefault="003D5A33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Seeks to maintain ecological outcomes</w:t>
            </w:r>
            <w:r w:rsidR="00CA220B"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rather than </w:t>
            </w:r>
            <w:r w:rsidR="007577D8">
              <w:rPr>
                <w:rFonts w:cs="Times New Roman"/>
                <w:color w:val="000000" w:themeColor="text1"/>
                <w:sz w:val="21"/>
                <w:szCs w:val="21"/>
              </w:rPr>
              <w:t>restore to an historic state</w:t>
            </w:r>
            <w:r w:rsidR="00CA220B"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(</w:t>
            </w:r>
            <w:proofErr w:type="gramStart"/>
            <w:r w:rsidR="00CA220B" w:rsidRPr="00C86D4E">
              <w:rPr>
                <w:rFonts w:cs="Times New Roman"/>
                <w:color w:val="000000" w:themeColor="text1"/>
                <w:sz w:val="21"/>
                <w:szCs w:val="21"/>
              </w:rPr>
              <w:t>e.g.</w:t>
            </w:r>
            <w:proofErr w:type="gramEnd"/>
            <w:r w:rsidR="00CA220B"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uses maintain rather than restore/protect) </w:t>
            </w:r>
          </w:p>
        </w:tc>
        <w:tc>
          <w:tcPr>
            <w:tcW w:w="673" w:type="pct"/>
            <w:vAlign w:val="center"/>
          </w:tcPr>
          <w:p w14:paraId="7AD765C0" w14:textId="77777777" w:rsidR="00CA220B" w:rsidRPr="00C86D4E" w:rsidRDefault="00CA220B" w:rsidP="009E028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182</w:t>
            </w:r>
          </w:p>
        </w:tc>
        <w:tc>
          <w:tcPr>
            <w:tcW w:w="2645" w:type="pct"/>
          </w:tcPr>
          <w:p w14:paraId="34676EF0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Provide flow variability to maintain species diversity of fringing vegetation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(Moorabool River EWMP 2016)</w:t>
            </w:r>
          </w:p>
          <w:p w14:paraId="7F17AE26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Maintain high species richness and abundance of fish populations in the upper reaches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</w:t>
            </w:r>
            <w:proofErr w:type="spellStart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Werribee</w:t>
            </w:r>
            <w:proofErr w:type="spellEnd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River EWMP 2015)</w:t>
            </w:r>
          </w:p>
          <w:p w14:paraId="4A80D427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Maintain current macroinvertebrate community (including benthic invertebrates, crayfish and mussels)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(Cement Creek Flows 2020)</w:t>
            </w:r>
          </w:p>
        </w:tc>
      </w:tr>
      <w:tr w:rsidR="00CA220B" w:rsidRPr="00C86D4E" w14:paraId="442721B0" w14:textId="77777777" w:rsidTr="009E0281">
        <w:tc>
          <w:tcPr>
            <w:tcW w:w="5000" w:type="pct"/>
            <w:gridSpan w:val="4"/>
            <w:vAlign w:val="center"/>
          </w:tcPr>
          <w:p w14:paraId="7CF45328" w14:textId="77777777" w:rsidR="00CA220B" w:rsidRPr="00C86D4E" w:rsidRDefault="00CA220B" w:rsidP="009E0281">
            <w:pPr>
              <w:rPr>
                <w:rFonts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Adaptation - Provides for improved migration and maintenance of ecological function</w:t>
            </w:r>
          </w:p>
        </w:tc>
      </w:tr>
      <w:tr w:rsidR="00CA220B" w:rsidRPr="00C86D4E" w14:paraId="03B7259A" w14:textId="77777777" w:rsidTr="009E0281">
        <w:tc>
          <w:tcPr>
            <w:tcW w:w="142" w:type="pct"/>
          </w:tcPr>
          <w:p w14:paraId="2C443607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540" w:type="pct"/>
          </w:tcPr>
          <w:p w14:paraId="4FD98342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Considers habitat diversity, connectivity and/or conservation</w:t>
            </w:r>
          </w:p>
        </w:tc>
        <w:tc>
          <w:tcPr>
            <w:tcW w:w="673" w:type="pct"/>
            <w:vAlign w:val="center"/>
          </w:tcPr>
          <w:p w14:paraId="668D5736" w14:textId="77777777" w:rsidR="00CA220B" w:rsidRPr="00C86D4E" w:rsidRDefault="00CA220B" w:rsidP="009E028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98</w:t>
            </w:r>
          </w:p>
        </w:tc>
        <w:tc>
          <w:tcPr>
            <w:tcW w:w="2645" w:type="pct"/>
          </w:tcPr>
          <w:p w14:paraId="5757A375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Increase instream physical habitat diversity (</w:t>
            </w:r>
            <w:proofErr w:type="gramStart"/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e.g.</w:t>
            </w:r>
            <w:proofErr w:type="gramEnd"/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 shallow and deep water habitats)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(Goulburn River EWMP 2015)</w:t>
            </w:r>
          </w:p>
          <w:p w14:paraId="5826AE79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Provide baseflow adequate to allow the persistence of aquatic macrophytes at the bank toe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.” (Broken River EWMP 2013)</w:t>
            </w:r>
          </w:p>
          <w:p w14:paraId="5F00322B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Maintaining passage for migratory fish moving between the estuary and the upper reaches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</w:t>
            </w:r>
            <w:proofErr w:type="spellStart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Tarago</w:t>
            </w:r>
            <w:proofErr w:type="spellEnd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-Bunyip EWMP 2017)</w:t>
            </w:r>
          </w:p>
          <w:p w14:paraId="25919023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Disturb the algae/bacteria/organic biofilm present on rock or wood debris to support macroinvertebrate communities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.” (Wimmera SWP 2018/19)</w:t>
            </w:r>
          </w:p>
          <w:p w14:paraId="5C53537F" w14:textId="77777777" w:rsidR="00CA220B" w:rsidRPr="00C86D4E" w:rsidRDefault="00CA220B" w:rsidP="009E0281">
            <w:pPr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“Create quality instream, floodplain and wetland habitat - regulation of DO, temp and salinity, provision of diverse wetted areas and geomorphic processes, control encroachment of terrestrial vegetation, appropriate rates of rise and fall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(Murray-Lower Darling Long Term Water Plan 2019)</w:t>
            </w:r>
          </w:p>
        </w:tc>
      </w:tr>
      <w:tr w:rsidR="00CA220B" w:rsidRPr="00C86D4E" w14:paraId="4AD9A388" w14:textId="77777777" w:rsidTr="009E0281">
        <w:tc>
          <w:tcPr>
            <w:tcW w:w="142" w:type="pct"/>
          </w:tcPr>
          <w:p w14:paraId="242A3F17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4 </w:t>
            </w:r>
          </w:p>
        </w:tc>
        <w:tc>
          <w:tcPr>
            <w:tcW w:w="1540" w:type="pct"/>
          </w:tcPr>
          <w:p w14:paraId="03C32D66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Encourages increased movement of species (</w:t>
            </w:r>
            <w:proofErr w:type="gramStart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e.g.</w:t>
            </w:r>
            <w:proofErr w:type="gramEnd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to new habitats within an acceptable thermal tolerance range)</w:t>
            </w:r>
          </w:p>
        </w:tc>
        <w:tc>
          <w:tcPr>
            <w:tcW w:w="673" w:type="pct"/>
            <w:vAlign w:val="center"/>
          </w:tcPr>
          <w:p w14:paraId="71B165F0" w14:textId="77777777" w:rsidR="00CA220B" w:rsidRPr="00C86D4E" w:rsidRDefault="00CA220B" w:rsidP="009E028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2645" w:type="pct"/>
          </w:tcPr>
          <w:p w14:paraId="3DA097C2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“Maintaining a viable breeding population of platypus along Serpentine Creek that can disperse to tributaries and contribute to a larger regional metapopulation”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(Serpentine Creek Flows study 2014)</w:t>
            </w:r>
          </w:p>
          <w:p w14:paraId="54EAB2C9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Provide movement and dispersal opportunities for biota to complete lifecycles and disperse into new habitats lifecycles - within and between catchments - 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lastRenderedPageBreak/>
              <w:t xml:space="preserve">including migration for full life cycle, </w:t>
            </w:r>
            <w:proofErr w:type="spellStart"/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recolonisation</w:t>
            </w:r>
            <w:proofErr w:type="spellEnd"/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 following disturbance, dispersal of eggs, larvae and seeds” 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Murrumbidgee</w:t>
            </w:r>
            <w:proofErr w:type="spellEnd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Long Term Watering plan 2019)</w:t>
            </w:r>
          </w:p>
        </w:tc>
      </w:tr>
      <w:tr w:rsidR="00CA220B" w:rsidRPr="00C86D4E" w14:paraId="662F1BB9" w14:textId="77777777" w:rsidTr="009E0281">
        <w:tc>
          <w:tcPr>
            <w:tcW w:w="142" w:type="pct"/>
          </w:tcPr>
          <w:p w14:paraId="1A63826F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</w:p>
        </w:tc>
        <w:tc>
          <w:tcPr>
            <w:tcW w:w="1540" w:type="pct"/>
          </w:tcPr>
          <w:p w14:paraId="768F909F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Aim to maintain a diversity of species, without mention of specific species  </w:t>
            </w:r>
          </w:p>
        </w:tc>
        <w:tc>
          <w:tcPr>
            <w:tcW w:w="673" w:type="pct"/>
            <w:vAlign w:val="center"/>
          </w:tcPr>
          <w:p w14:paraId="7CAC1BB8" w14:textId="77777777" w:rsidR="00CA220B" w:rsidRPr="00C86D4E" w:rsidRDefault="00CA220B" w:rsidP="009E028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84</w:t>
            </w:r>
          </w:p>
        </w:tc>
        <w:tc>
          <w:tcPr>
            <w:tcW w:w="2645" w:type="pct"/>
          </w:tcPr>
          <w:p w14:paraId="71B05AB3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Maintain abundance, improve breeding and recruitment of macroinvertebrates as a food source for fish, frog and platypus populations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(Upper Barwon River SWP 2019/20)</w:t>
            </w:r>
          </w:p>
          <w:p w14:paraId="159484C8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Provide periodic opportunities for regeneration of riparian, floodplain and wetland plant species and improve in channel carbon availability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(Goulburn River SWP 2019/20)</w:t>
            </w:r>
          </w:p>
          <w:p w14:paraId="7DB6BAF4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Maintaining the full suite of native migratory and non-migratory fish species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</w:t>
            </w:r>
            <w:proofErr w:type="spellStart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Tarago</w:t>
            </w:r>
            <w:proofErr w:type="spellEnd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-Bunyip EWMP 2017) </w:t>
            </w:r>
          </w:p>
        </w:tc>
      </w:tr>
      <w:tr w:rsidR="00CA220B" w:rsidRPr="00C86D4E" w14:paraId="70BD856D" w14:textId="77777777" w:rsidTr="009E0281">
        <w:tc>
          <w:tcPr>
            <w:tcW w:w="142" w:type="pct"/>
          </w:tcPr>
          <w:p w14:paraId="3847766D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540" w:type="pct"/>
          </w:tcPr>
          <w:p w14:paraId="289714DB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Ensure carbon cycling and energy sources for aquatic and riparian productivity are maintained</w:t>
            </w:r>
          </w:p>
        </w:tc>
        <w:tc>
          <w:tcPr>
            <w:tcW w:w="673" w:type="pct"/>
            <w:vAlign w:val="center"/>
          </w:tcPr>
          <w:p w14:paraId="4707E68E" w14:textId="77777777" w:rsidR="00CA220B" w:rsidRPr="00C86D4E" w:rsidRDefault="00CA220B" w:rsidP="009E028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645" w:type="pct"/>
          </w:tcPr>
          <w:p w14:paraId="1524BCFD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Provide for the </w:t>
            </w:r>
            <w:proofErr w:type="spellStart"/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mobilisation</w:t>
            </w:r>
            <w:proofErr w:type="spellEnd"/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 of carbon and nutrients from the floodplain to the river to reduce the reliance of instream food webs on autochthonous productivity. 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(River Murray Channel Environmental Water Requirements: Ecological Objectives and Targets 2014)</w:t>
            </w:r>
          </w:p>
          <w:p w14:paraId="3D7302DD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Protect and restore ecological community structure, species interactions and food webs that sustain water-dependent ecosystems, including by protecting and restoring energy, carbon and nutrient dynamics, primary </w:t>
            </w:r>
            <w:proofErr w:type="gramStart"/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production</w:t>
            </w:r>
            <w:proofErr w:type="gramEnd"/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 and respiration.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(The Basin Plan, 2012) </w:t>
            </w:r>
          </w:p>
          <w:p w14:paraId="0041A0AC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Support nutrient, carbon and sediment transport along channels and benches/banks, and between channels and floodplains/wetlands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(</w:t>
            </w:r>
            <w:proofErr w:type="spellStart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Murrumbidgee</w:t>
            </w:r>
            <w:proofErr w:type="spellEnd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Long Term Water Plan, 2019) </w:t>
            </w:r>
          </w:p>
        </w:tc>
      </w:tr>
      <w:tr w:rsidR="00CA220B" w:rsidRPr="00C86D4E" w14:paraId="5935A193" w14:textId="77777777" w:rsidTr="009E0281">
        <w:tc>
          <w:tcPr>
            <w:tcW w:w="142" w:type="pct"/>
          </w:tcPr>
          <w:p w14:paraId="31B4A77A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540" w:type="pct"/>
          </w:tcPr>
          <w:p w14:paraId="7A89C55D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Aim for high functional redundancy and diversity within an ecosystem </w:t>
            </w:r>
          </w:p>
        </w:tc>
        <w:tc>
          <w:tcPr>
            <w:tcW w:w="673" w:type="pct"/>
            <w:vAlign w:val="center"/>
          </w:tcPr>
          <w:p w14:paraId="12657D05" w14:textId="77777777" w:rsidR="00CA220B" w:rsidRPr="00C86D4E" w:rsidRDefault="00CA220B" w:rsidP="009E0281">
            <w:pPr>
              <w:ind w:firstLine="72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645" w:type="pct"/>
          </w:tcPr>
          <w:p w14:paraId="5A79E296" w14:textId="77777777" w:rsidR="00CA220B" w:rsidRPr="00C86D4E" w:rsidRDefault="00CA220B" w:rsidP="009E0281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Maintain or improve condition, extent and diversity of emergent macrophyte vegetation to provide structural habitat and channel/lower bank stability to low and moderate flows.</w:t>
            </w: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” (</w:t>
            </w:r>
            <w:r w:rsidRPr="00C86D4E">
              <w:rPr>
                <w:rFonts w:cs="Times New Roman"/>
                <w:color w:val="000000"/>
                <w:sz w:val="21"/>
                <w:szCs w:val="21"/>
              </w:rPr>
              <w:t>Upper Barwon Rv SWP 2019/20)</w:t>
            </w:r>
          </w:p>
          <w:p w14:paraId="10F6700F" w14:textId="77777777" w:rsidR="00CA220B" w:rsidRPr="00C86D4E" w:rsidRDefault="00CA220B" w:rsidP="009E0281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C86D4E">
              <w:rPr>
                <w:rFonts w:cs="Times New Roman"/>
                <w:color w:val="000000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Maintain/increase diversity and productivity of macroinvertebrates and macroinvertebrate functional feeding groups”</w:t>
            </w:r>
            <w:r w:rsidRPr="00C86D4E">
              <w:rPr>
                <w:rFonts w:cs="Times New Roman"/>
                <w:color w:val="000000"/>
                <w:sz w:val="21"/>
                <w:szCs w:val="21"/>
              </w:rPr>
              <w:t xml:space="preserve"> (Campaspe River EWMP 2014)</w:t>
            </w:r>
          </w:p>
        </w:tc>
      </w:tr>
      <w:tr w:rsidR="00CA220B" w:rsidRPr="00C86D4E" w14:paraId="6919FFEC" w14:textId="77777777" w:rsidTr="009E0281">
        <w:tc>
          <w:tcPr>
            <w:tcW w:w="5000" w:type="pct"/>
            <w:gridSpan w:val="4"/>
            <w:vAlign w:val="center"/>
          </w:tcPr>
          <w:p w14:paraId="79847218" w14:textId="77777777" w:rsidR="00CA220B" w:rsidRPr="00C86D4E" w:rsidRDefault="00CA220B" w:rsidP="009E0281">
            <w:pPr>
              <w:rPr>
                <w:rFonts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lastRenderedPageBreak/>
              <w:t>Transformation – Objectives that actively promote change and/or are flexible to change</w:t>
            </w:r>
          </w:p>
        </w:tc>
      </w:tr>
      <w:tr w:rsidR="00CA220B" w:rsidRPr="00C86D4E" w14:paraId="33814E06" w14:textId="77777777" w:rsidTr="009E0281">
        <w:tc>
          <w:tcPr>
            <w:tcW w:w="142" w:type="pct"/>
          </w:tcPr>
          <w:p w14:paraId="257BEEA8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540" w:type="pct"/>
          </w:tcPr>
          <w:p w14:paraId="1E7F686B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Objectives that are flexible, and achievable, with changing water availability </w:t>
            </w:r>
          </w:p>
        </w:tc>
        <w:tc>
          <w:tcPr>
            <w:tcW w:w="673" w:type="pct"/>
            <w:vAlign w:val="center"/>
          </w:tcPr>
          <w:p w14:paraId="18D58BFE" w14:textId="77777777" w:rsidR="00CA220B" w:rsidRPr="00C86D4E" w:rsidRDefault="00CA220B" w:rsidP="009E028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645" w:type="pct"/>
          </w:tcPr>
          <w:p w14:paraId="53684ED0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Maintain water rats as a component of the system and accept their numbers will fluctuate between drought and non-drought conditions</w:t>
            </w:r>
            <w:r w:rsidRPr="00C86D4E">
              <w:rPr>
                <w:rFonts w:cs="Times New Roman"/>
                <w:color w:val="000000"/>
                <w:sz w:val="21"/>
                <w:szCs w:val="21"/>
              </w:rPr>
              <w:t>”</w:t>
            </w:r>
            <w:r w:rsidRPr="00C86D4E">
              <w:rPr>
                <w:rFonts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C86D4E">
              <w:rPr>
                <w:rFonts w:cs="Times New Roman"/>
                <w:color w:val="000000"/>
                <w:sz w:val="21"/>
                <w:szCs w:val="21"/>
              </w:rPr>
              <w:t xml:space="preserve">(Loddon River EWMP 2015) </w:t>
            </w:r>
          </w:p>
          <w:p w14:paraId="63A45C99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proofErr w:type="gramStart"/>
            <w:r w:rsidRPr="00C86D4E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water</w:t>
            </w:r>
            <w:proofErr w:type="gramEnd"/>
            <w:r w:rsidRPr="00C86D4E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-dependent ecosystems are resilient to climate change, climate variability and disturbances (for example, drought and fire)”</w:t>
            </w:r>
            <w:r w:rsidRPr="00C86D4E">
              <w:rPr>
                <w:rFonts w:cs="Times New Roman"/>
                <w:color w:val="000000"/>
                <w:sz w:val="21"/>
                <w:szCs w:val="21"/>
              </w:rPr>
              <w:t xml:space="preserve"> (The Basin Plan, 2012)</w:t>
            </w:r>
          </w:p>
        </w:tc>
      </w:tr>
      <w:tr w:rsidR="00CA220B" w:rsidRPr="00C86D4E" w14:paraId="05F02BDC" w14:textId="77777777" w:rsidTr="009E0281">
        <w:tc>
          <w:tcPr>
            <w:tcW w:w="142" w:type="pct"/>
          </w:tcPr>
          <w:p w14:paraId="029AFA00" w14:textId="77777777" w:rsidR="00CA220B" w:rsidRPr="00C86D4E" w:rsidRDefault="00CA220B" w:rsidP="009E0281">
            <w:pPr>
              <w:rPr>
                <w:rFonts w:cs="Times New Roman"/>
                <w:sz w:val="21"/>
                <w:szCs w:val="21"/>
              </w:rPr>
            </w:pPr>
            <w:r w:rsidRPr="00C86D4E">
              <w:rPr>
                <w:rFonts w:cs="Times New Roman"/>
                <w:sz w:val="21"/>
                <w:szCs w:val="21"/>
              </w:rPr>
              <w:t xml:space="preserve">9 </w:t>
            </w:r>
          </w:p>
        </w:tc>
        <w:tc>
          <w:tcPr>
            <w:tcW w:w="1540" w:type="pct"/>
          </w:tcPr>
          <w:p w14:paraId="0E757FDC" w14:textId="29B7CE50" w:rsidR="00CA220B" w:rsidRPr="00C86D4E" w:rsidRDefault="00CA220B" w:rsidP="009E0281">
            <w:pPr>
              <w:rPr>
                <w:rFonts w:cs="Times New Roman"/>
                <w:sz w:val="21"/>
                <w:szCs w:val="21"/>
              </w:rPr>
            </w:pPr>
            <w:r w:rsidRPr="00C86D4E">
              <w:rPr>
                <w:rFonts w:cs="Times New Roman"/>
                <w:sz w:val="21"/>
                <w:szCs w:val="21"/>
              </w:rPr>
              <w:t xml:space="preserve">Allow the establishment of locally </w:t>
            </w:r>
            <w:proofErr w:type="spellStart"/>
            <w:r w:rsidRPr="00C86D4E">
              <w:rPr>
                <w:rFonts w:cs="Times New Roman"/>
                <w:sz w:val="21"/>
                <w:szCs w:val="21"/>
              </w:rPr>
              <w:t>non native</w:t>
            </w:r>
            <w:proofErr w:type="spellEnd"/>
            <w:r w:rsidRPr="00C86D4E">
              <w:rPr>
                <w:rFonts w:cs="Times New Roman"/>
                <w:sz w:val="21"/>
                <w:szCs w:val="21"/>
              </w:rPr>
              <w:t xml:space="preserve"> species that maintain native biodiversity or ecosystem function in the overall </w:t>
            </w:r>
            <w:proofErr w:type="gramStart"/>
            <w:r w:rsidRPr="00C86D4E">
              <w:rPr>
                <w:rFonts w:cs="Times New Roman"/>
                <w:sz w:val="21"/>
                <w:szCs w:val="21"/>
              </w:rPr>
              <w:t>region</w:t>
            </w:r>
            <w:r w:rsidR="00E05550">
              <w:rPr>
                <w:rFonts w:cs="Times New Roman"/>
                <w:sz w:val="21"/>
                <w:szCs w:val="21"/>
              </w:rPr>
              <w:t xml:space="preserve">  (</w:t>
            </w:r>
            <w:proofErr w:type="gramEnd"/>
            <w:r w:rsidR="00E05550">
              <w:rPr>
                <w:rFonts w:cs="Times New Roman"/>
                <w:sz w:val="21"/>
                <w:szCs w:val="21"/>
              </w:rPr>
              <w:t>West et al, 2009)</w:t>
            </w:r>
            <w:r w:rsidRPr="00C86D4E">
              <w:rPr>
                <w:rFonts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673" w:type="pct"/>
            <w:vAlign w:val="center"/>
          </w:tcPr>
          <w:p w14:paraId="4CB6D4B2" w14:textId="77777777" w:rsidR="00CA220B" w:rsidRPr="00C86D4E" w:rsidRDefault="00CA220B" w:rsidP="009E028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C86D4E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2645" w:type="pct"/>
          </w:tcPr>
          <w:p w14:paraId="1D0A7CDE" w14:textId="77777777" w:rsidR="00CA220B" w:rsidRPr="00C86D4E" w:rsidRDefault="00CA220B" w:rsidP="009E0281">
            <w:pPr>
              <w:rPr>
                <w:rFonts w:cs="Times New Roman"/>
                <w:sz w:val="21"/>
                <w:szCs w:val="21"/>
              </w:rPr>
            </w:pPr>
            <w:r w:rsidRPr="00C86D4E">
              <w:rPr>
                <w:rFonts w:cs="Times New Roman"/>
                <w:sz w:val="21"/>
                <w:szCs w:val="21"/>
              </w:rPr>
              <w:t>This included objectives with generic terms such as:</w:t>
            </w:r>
          </w:p>
          <w:p w14:paraId="36652013" w14:textId="77777777" w:rsidR="00CA220B" w:rsidRPr="00C86D4E" w:rsidRDefault="00CA220B" w:rsidP="009E0281">
            <w:pPr>
              <w:rPr>
                <w:rFonts w:cs="Times New Roman"/>
                <w:sz w:val="21"/>
                <w:szCs w:val="21"/>
              </w:rPr>
            </w:pPr>
            <w:r w:rsidRPr="00C86D4E">
              <w:rPr>
                <w:rFonts w:cs="Times New Roman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sz w:val="21"/>
                <w:szCs w:val="21"/>
              </w:rPr>
              <w:t xml:space="preserve">To protect, restore and enhance its ecological health, functioning, and biodiversity of the </w:t>
            </w:r>
            <w:proofErr w:type="spellStart"/>
            <w:r w:rsidRPr="00C86D4E">
              <w:rPr>
                <w:rFonts w:cs="Times New Roman"/>
                <w:i/>
                <w:iCs/>
                <w:sz w:val="21"/>
                <w:szCs w:val="21"/>
              </w:rPr>
              <w:t>Werribee</w:t>
            </w:r>
            <w:proofErr w:type="spellEnd"/>
            <w:r w:rsidRPr="00C86D4E">
              <w:rPr>
                <w:rFonts w:cs="Times New Roman"/>
                <w:i/>
                <w:iCs/>
                <w:sz w:val="21"/>
                <w:szCs w:val="21"/>
              </w:rPr>
              <w:t xml:space="preserve"> River</w:t>
            </w:r>
            <w:r w:rsidRPr="00C86D4E">
              <w:rPr>
                <w:rFonts w:cs="Times New Roman"/>
                <w:sz w:val="21"/>
                <w:szCs w:val="21"/>
              </w:rPr>
              <w:t>” (</w:t>
            </w:r>
            <w:proofErr w:type="spellStart"/>
            <w:r w:rsidRPr="00C86D4E">
              <w:rPr>
                <w:rFonts w:cs="Times New Roman"/>
                <w:sz w:val="21"/>
                <w:szCs w:val="21"/>
              </w:rPr>
              <w:t>Werribee</w:t>
            </w:r>
            <w:proofErr w:type="spellEnd"/>
            <w:r w:rsidRPr="00C86D4E">
              <w:rPr>
                <w:rFonts w:cs="Times New Roman"/>
                <w:sz w:val="21"/>
                <w:szCs w:val="21"/>
              </w:rPr>
              <w:t xml:space="preserve"> River EWMP 2015)</w:t>
            </w:r>
          </w:p>
          <w:p w14:paraId="608C410E" w14:textId="77777777" w:rsidR="00CA220B" w:rsidRPr="00C86D4E" w:rsidRDefault="00CA220B" w:rsidP="009E0281">
            <w:pPr>
              <w:rPr>
                <w:rFonts w:cs="Times New Roman"/>
                <w:sz w:val="21"/>
                <w:szCs w:val="21"/>
              </w:rPr>
            </w:pPr>
            <w:r w:rsidRPr="00C86D4E">
              <w:rPr>
                <w:rFonts w:cs="Times New Roman"/>
                <w:sz w:val="21"/>
                <w:szCs w:val="21"/>
              </w:rPr>
              <w:t>“</w:t>
            </w:r>
            <w:r w:rsidRPr="00C86D4E">
              <w:rPr>
                <w:rFonts w:cs="Times New Roman"/>
                <w:i/>
                <w:iCs/>
                <w:sz w:val="21"/>
                <w:szCs w:val="21"/>
              </w:rPr>
              <w:t>Maintain/increase diversity and productivity of macroinvertebrates and macroinvertebrate functional feeding groups</w:t>
            </w:r>
            <w:r w:rsidRPr="00C86D4E">
              <w:rPr>
                <w:rFonts w:cs="Times New Roman"/>
                <w:sz w:val="21"/>
                <w:szCs w:val="21"/>
              </w:rPr>
              <w:t xml:space="preserve">” (Cement Creek flows study 2020) </w:t>
            </w:r>
          </w:p>
          <w:p w14:paraId="7FA8B336" w14:textId="77777777" w:rsidR="00CA220B" w:rsidRPr="00C86D4E" w:rsidRDefault="00CA220B" w:rsidP="009E0281">
            <w:pPr>
              <w:rPr>
                <w:rFonts w:cs="Times New Roman"/>
                <w:sz w:val="21"/>
                <w:szCs w:val="21"/>
              </w:rPr>
            </w:pPr>
            <w:r w:rsidRPr="00C86D4E">
              <w:rPr>
                <w:rFonts w:cs="Times New Roman"/>
                <w:i/>
                <w:iCs/>
                <w:sz w:val="21"/>
                <w:szCs w:val="21"/>
              </w:rPr>
              <w:t>“</w:t>
            </w:r>
            <w:proofErr w:type="spellStart"/>
            <w:r w:rsidRPr="00C86D4E">
              <w:rPr>
                <w:rFonts w:cs="Times New Roman"/>
                <w:i/>
                <w:iCs/>
                <w:sz w:val="21"/>
                <w:szCs w:val="21"/>
              </w:rPr>
              <w:t>Maximise</w:t>
            </w:r>
            <w:proofErr w:type="spellEnd"/>
            <w:r w:rsidRPr="00C86D4E">
              <w:rPr>
                <w:rFonts w:cs="Times New Roman"/>
                <w:i/>
                <w:iCs/>
                <w:sz w:val="21"/>
                <w:szCs w:val="21"/>
              </w:rPr>
              <w:t xml:space="preserve"> structural complexity and diversity of floodplain vegetation, including wetlands</w:t>
            </w:r>
            <w:r w:rsidRPr="00C86D4E">
              <w:rPr>
                <w:rFonts w:cs="Times New Roman"/>
                <w:sz w:val="21"/>
                <w:szCs w:val="21"/>
              </w:rPr>
              <w:t xml:space="preserve">” (Goulburn River flows study 2020) </w:t>
            </w:r>
          </w:p>
        </w:tc>
      </w:tr>
      <w:tr w:rsidR="00CA220B" w:rsidRPr="00C86D4E" w14:paraId="342906A9" w14:textId="77777777" w:rsidTr="009E0281">
        <w:tc>
          <w:tcPr>
            <w:tcW w:w="142" w:type="pct"/>
          </w:tcPr>
          <w:p w14:paraId="69CF5988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10 </w:t>
            </w:r>
          </w:p>
        </w:tc>
        <w:tc>
          <w:tcPr>
            <w:tcW w:w="1540" w:type="pct"/>
          </w:tcPr>
          <w:p w14:paraId="52AAA29A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If there was any suggestion for ex situ conservation or active translocation</w:t>
            </w:r>
          </w:p>
        </w:tc>
        <w:tc>
          <w:tcPr>
            <w:tcW w:w="673" w:type="pct"/>
            <w:vAlign w:val="center"/>
          </w:tcPr>
          <w:p w14:paraId="772CD2DF" w14:textId="77777777" w:rsidR="00CA220B" w:rsidRPr="00C86D4E" w:rsidRDefault="00CA220B" w:rsidP="009E0281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645" w:type="pct"/>
          </w:tcPr>
          <w:p w14:paraId="0DA2A88E" w14:textId="77777777" w:rsidR="00CA220B" w:rsidRPr="00C86D4E" w:rsidRDefault="00CA220B" w:rsidP="009E028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There were no suggestions on active movement of species from one catchment to another or conservation of a species in a </w:t>
            </w:r>
            <w:proofErr w:type="spellStart"/>
            <w:proofErr w:type="gramStart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>non natural</w:t>
            </w:r>
            <w:proofErr w:type="spellEnd"/>
            <w:proofErr w:type="gramEnd"/>
            <w:r w:rsidRPr="00C86D4E">
              <w:rPr>
                <w:rFonts w:cs="Times New Roman"/>
                <w:color w:val="000000" w:themeColor="text1"/>
                <w:sz w:val="21"/>
                <w:szCs w:val="21"/>
              </w:rPr>
              <w:t xml:space="preserve"> setting </w:t>
            </w:r>
          </w:p>
        </w:tc>
      </w:tr>
    </w:tbl>
    <w:p w14:paraId="1434C4A5" w14:textId="77777777" w:rsidR="00666B09" w:rsidRDefault="00666B09" w:rsidP="00CA220B">
      <w:pPr>
        <w:rPr>
          <w:color w:val="000000" w:themeColor="text1"/>
          <w:sz w:val="20"/>
          <w:szCs w:val="20"/>
        </w:rPr>
      </w:pPr>
    </w:p>
    <w:p w14:paraId="1486B1BA" w14:textId="77777777" w:rsidR="00666B09" w:rsidRDefault="00666B09" w:rsidP="00CA220B">
      <w:pPr>
        <w:rPr>
          <w:color w:val="000000" w:themeColor="text1"/>
          <w:sz w:val="20"/>
          <w:szCs w:val="20"/>
        </w:rPr>
      </w:pPr>
    </w:p>
    <w:p w14:paraId="24F14847" w14:textId="691F1653" w:rsidR="00CA220B" w:rsidRPr="00015A6C" w:rsidRDefault="00666B09" w:rsidP="00CA220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/>
      </w:r>
      <w:r>
        <w:rPr>
          <w:color w:val="000000" w:themeColor="text1"/>
          <w:sz w:val="20"/>
          <w:szCs w:val="20"/>
        </w:rPr>
        <w:instrText xml:space="preserve"> ADDIN EN.REFLIST </w:instrText>
      </w:r>
      <w:r w:rsidR="00F7138A">
        <w:rPr>
          <w:color w:val="000000" w:themeColor="text1"/>
          <w:sz w:val="20"/>
          <w:szCs w:val="20"/>
        </w:rPr>
        <w:fldChar w:fldCharType="separate"/>
      </w:r>
      <w:r>
        <w:rPr>
          <w:color w:val="000000" w:themeColor="text1"/>
          <w:sz w:val="20"/>
          <w:szCs w:val="20"/>
        </w:rPr>
        <w:fldChar w:fldCharType="end"/>
      </w:r>
    </w:p>
    <w:sectPr w:rsidR="00CA220B" w:rsidRPr="00015A6C" w:rsidSect="00CA220B">
      <w:headerReference w:type="even" r:id="rId13"/>
      <w:footerReference w:type="even" r:id="rId14"/>
      <w:footerReference w:type="default" r:id="rId15"/>
      <w:headerReference w:type="first" r:id="rId16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D4F8" w14:textId="77777777" w:rsidR="00F7138A" w:rsidRDefault="00F7138A" w:rsidP="00117666">
      <w:pPr>
        <w:spacing w:after="0"/>
      </w:pPr>
      <w:r>
        <w:separator/>
      </w:r>
    </w:p>
  </w:endnote>
  <w:endnote w:type="continuationSeparator" w:id="0">
    <w:p w14:paraId="316E38D2" w14:textId="77777777" w:rsidR="00F7138A" w:rsidRDefault="00F7138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2775" w14:textId="5A89A400" w:rsidR="00CA220B" w:rsidRPr="00577C4C" w:rsidRDefault="00CA220B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D5BB2C" wp14:editId="6D6573D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A01653" w14:textId="77777777" w:rsidR="00CA220B" w:rsidRPr="00577C4C" w:rsidRDefault="00CA220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5BB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6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7DA01653" w14:textId="77777777" w:rsidR="00CA220B" w:rsidRPr="00577C4C" w:rsidRDefault="00CA220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5184" w14:textId="77777777" w:rsidR="00CA220B" w:rsidRPr="00577C4C" w:rsidRDefault="00CA220B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405792" wp14:editId="0E6C2FA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2FCA19" w14:textId="77777777" w:rsidR="00CA220B" w:rsidRPr="00577C4C" w:rsidRDefault="00CA220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057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" filled="f" stroked="f" strokeweight=".5pt">
              <v:textbox style="mso-fit-shape-to-text:t">
                <w:txbxContent>
                  <w:p w14:paraId="742FCA19" w14:textId="77777777" w:rsidR="00CA220B" w:rsidRPr="00577C4C" w:rsidRDefault="00CA220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0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+CR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d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Fvf4JE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8F6B" w14:textId="77777777" w:rsidR="00F7138A" w:rsidRDefault="00F7138A" w:rsidP="00117666">
      <w:pPr>
        <w:spacing w:after="0"/>
      </w:pPr>
      <w:r>
        <w:separator/>
      </w:r>
    </w:p>
  </w:footnote>
  <w:footnote w:type="continuationSeparator" w:id="0">
    <w:p w14:paraId="3CBDBC35" w14:textId="77777777" w:rsidR="00F7138A" w:rsidRDefault="00F7138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1FBD" w14:textId="77777777" w:rsidR="00CA220B" w:rsidRPr="007E3148" w:rsidRDefault="00CA220B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3E6C" w14:textId="77777777" w:rsidR="00CA220B" w:rsidRPr="00A53000" w:rsidRDefault="00CA220B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5ECC" w14:textId="77777777" w:rsidR="00CA220B" w:rsidRDefault="00CA220B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676D6C5D" wp14:editId="6BE3234B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4E09"/>
    <w:multiLevelType w:val="hybridMultilevel"/>
    <w:tmpl w:val="E4B45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zt0frev0svtfze5esyp9v999feawpwateev&quot;&gt;My EndNote Library&lt;record-ids&gt;&lt;item&gt;224&lt;/item&gt;&lt;/record-ids&gt;&lt;/item&gt;&lt;/Libraries&gt;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F3511"/>
    <w:rsid w:val="003123F4"/>
    <w:rsid w:val="003544FB"/>
    <w:rsid w:val="003D2F2D"/>
    <w:rsid w:val="003D5A33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66B09"/>
    <w:rsid w:val="006820B1"/>
    <w:rsid w:val="006B7D14"/>
    <w:rsid w:val="00701727"/>
    <w:rsid w:val="0070566C"/>
    <w:rsid w:val="00714C50"/>
    <w:rsid w:val="00725A7D"/>
    <w:rsid w:val="00747029"/>
    <w:rsid w:val="007501BE"/>
    <w:rsid w:val="007577D8"/>
    <w:rsid w:val="00790BB3"/>
    <w:rsid w:val="007C206C"/>
    <w:rsid w:val="00814DBA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3230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813FD"/>
    <w:rsid w:val="00CA220B"/>
    <w:rsid w:val="00CD066B"/>
    <w:rsid w:val="00CE4FEE"/>
    <w:rsid w:val="00D060CF"/>
    <w:rsid w:val="00DB51E1"/>
    <w:rsid w:val="00DB59C3"/>
    <w:rsid w:val="00DC117F"/>
    <w:rsid w:val="00DC259A"/>
    <w:rsid w:val="00DD27C4"/>
    <w:rsid w:val="00DE23E8"/>
    <w:rsid w:val="00E05550"/>
    <w:rsid w:val="00E23969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7138A"/>
    <w:rsid w:val="00FB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220B"/>
    <w:rPr>
      <w:rFonts w:ascii="Times New Roman" w:eastAsia="Cambria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D27C4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D27C4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DD27C4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D27C4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Florine Lièvre</cp:lastModifiedBy>
  <cp:revision>13</cp:revision>
  <cp:lastPrinted>2013-10-03T12:51:00Z</cp:lastPrinted>
  <dcterms:created xsi:type="dcterms:W3CDTF">2022-01-18T03:11:00Z</dcterms:created>
  <dcterms:modified xsi:type="dcterms:W3CDTF">2022-01-24T14:59:00Z</dcterms:modified>
</cp:coreProperties>
</file>