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67" w:rsidRPr="00577A67" w:rsidRDefault="00577A67" w:rsidP="00577A67">
      <w:pPr>
        <w:spacing w:line="360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Supplemental Figure</w:t>
      </w:r>
    </w:p>
    <w:p w:rsidR="00577A67" w:rsidRDefault="00577A67" w:rsidP="00577A67">
      <w:pPr>
        <w:spacing w:before="120" w:after="120" w:line="360" w:lineRule="auto"/>
        <w:jc w:val="both"/>
        <w:rPr>
          <w:shd w:val="clear" w:color="auto" w:fill="FFFFFF"/>
        </w:rPr>
      </w:pPr>
    </w:p>
    <w:p w:rsidR="00577A67" w:rsidRDefault="00577A67" w:rsidP="00577A67">
      <w:pPr>
        <w:autoSpaceDE w:val="0"/>
        <w:autoSpaceDN w:val="0"/>
        <w:adjustRightInd w:val="0"/>
        <w:spacing w:after="120"/>
        <w:rPr>
          <w:b/>
          <w:bCs/>
          <w:i/>
          <w:iCs/>
          <w:color w:val="000000"/>
          <w:sz w:val="20"/>
          <w:szCs w:val="20"/>
          <w:lang w:eastAsia="en-US"/>
        </w:rPr>
      </w:pPr>
      <w:r>
        <w:rPr>
          <w:b/>
          <w:bCs/>
          <w:i/>
          <w:iCs/>
          <w:noProof/>
          <w:color w:val="000000"/>
          <w:sz w:val="20"/>
          <w:szCs w:val="20"/>
          <w:lang w:eastAsia="en-US"/>
        </w:rPr>
        <w:drawing>
          <wp:inline distT="0" distB="0" distL="0" distR="0" wp14:anchorId="12CB9FFA" wp14:editId="28C4EAD3">
            <wp:extent cx="5756910" cy="2508250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6_Integrati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A67" w:rsidRPr="009D6259" w:rsidRDefault="00577A67" w:rsidP="00577A67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0"/>
          <w:szCs w:val="20"/>
          <w:lang w:eastAsia="en-US"/>
        </w:rPr>
        <w:t xml:space="preserve">Supplemental </w:t>
      </w:r>
      <w:r w:rsidRPr="009D6259">
        <w:rPr>
          <w:b/>
          <w:bCs/>
          <w:iCs/>
          <w:color w:val="000000"/>
          <w:sz w:val="20"/>
          <w:szCs w:val="20"/>
          <w:lang w:eastAsia="en-US"/>
        </w:rPr>
        <w:t xml:space="preserve">Figure </w:t>
      </w:r>
      <w:r>
        <w:rPr>
          <w:b/>
          <w:bCs/>
          <w:iCs/>
          <w:color w:val="000000"/>
          <w:sz w:val="20"/>
          <w:szCs w:val="20"/>
          <w:lang w:eastAsia="en-US"/>
        </w:rPr>
        <w:t>1</w:t>
      </w:r>
      <w:r w:rsidRPr="009D6259">
        <w:rPr>
          <w:b/>
          <w:bCs/>
          <w:iCs/>
          <w:color w:val="000000"/>
          <w:sz w:val="20"/>
          <w:szCs w:val="20"/>
          <w:lang w:eastAsia="en-US"/>
        </w:rPr>
        <w:t xml:space="preserve">: Decision duration </w:t>
      </w:r>
      <w:r>
        <w:rPr>
          <w:b/>
          <w:bCs/>
          <w:iCs/>
          <w:color w:val="000000"/>
          <w:sz w:val="20"/>
          <w:szCs w:val="20"/>
          <w:lang w:eastAsia="en-US"/>
        </w:rPr>
        <w:t>in error movement trials</w:t>
      </w:r>
      <w:r w:rsidRPr="009D6259">
        <w:rPr>
          <w:b/>
          <w:bCs/>
          <w:iCs/>
          <w:color w:val="000000"/>
          <w:sz w:val="20"/>
          <w:szCs w:val="20"/>
          <w:lang w:eastAsia="en-US"/>
        </w:rPr>
        <w:t xml:space="preserve">. A. </w:t>
      </w:r>
      <w:r w:rsidRPr="009D6259">
        <w:rPr>
          <w:bCs/>
          <w:iCs/>
          <w:color w:val="000000"/>
          <w:sz w:val="20"/>
          <w:szCs w:val="20"/>
          <w:lang w:eastAsia="en-US"/>
        </w:rPr>
        <w:t xml:space="preserve">Distribution of one example subject’s decision durations with trials sorted according to </w:t>
      </w:r>
      <w:r>
        <w:rPr>
          <w:bCs/>
          <w:iCs/>
          <w:color w:val="000000"/>
          <w:sz w:val="20"/>
          <w:szCs w:val="20"/>
          <w:lang w:eastAsia="en-US"/>
        </w:rPr>
        <w:t xml:space="preserve">the </w:t>
      </w:r>
      <w:r w:rsidRPr="009D6259">
        <w:rPr>
          <w:bCs/>
          <w:iCs/>
          <w:color w:val="000000"/>
          <w:sz w:val="20"/>
          <w:szCs w:val="20"/>
          <w:lang w:eastAsia="en-US"/>
        </w:rPr>
        <w:t>reaching error type,</w:t>
      </w:r>
      <w:r>
        <w:rPr>
          <w:bCs/>
          <w:iCs/>
          <w:color w:val="000000"/>
          <w:sz w:val="20"/>
          <w:szCs w:val="20"/>
          <w:lang w:eastAsia="en-US"/>
        </w:rPr>
        <w:t xml:space="preserve"> i.e.</w:t>
      </w:r>
      <w:r w:rsidRPr="009D6259">
        <w:rPr>
          <w:bCs/>
          <w:iCs/>
          <w:color w:val="000000"/>
          <w:sz w:val="20"/>
          <w:szCs w:val="20"/>
          <w:lang w:eastAsia="en-US"/>
        </w:rPr>
        <w:t xml:space="preserve"> too long or too short. Trials performed in the three motor conditions are included. </w:t>
      </w:r>
      <w:r w:rsidRPr="009D6259">
        <w:rPr>
          <w:b/>
          <w:bCs/>
          <w:iCs/>
          <w:color w:val="000000"/>
          <w:sz w:val="20"/>
          <w:szCs w:val="20"/>
          <w:lang w:eastAsia="en-US"/>
        </w:rPr>
        <w:t>B.</w:t>
      </w:r>
      <w:r w:rsidRPr="009D6259">
        <w:rPr>
          <w:bCs/>
          <w:iCs/>
          <w:color w:val="000000"/>
          <w:sz w:val="20"/>
          <w:szCs w:val="20"/>
          <w:lang w:eastAsia="en-US"/>
        </w:rPr>
        <w:t xml:space="preserve"> Mean ± </w:t>
      </w:r>
      <w:r w:rsidR="00947780">
        <w:rPr>
          <w:bCs/>
          <w:iCs/>
          <w:color w:val="000000"/>
          <w:sz w:val="20"/>
          <w:szCs w:val="20"/>
          <w:lang w:eastAsia="en-US"/>
        </w:rPr>
        <w:t>standard error (</w:t>
      </w:r>
      <w:r w:rsidRPr="009D6259">
        <w:rPr>
          <w:bCs/>
          <w:iCs/>
          <w:color w:val="000000"/>
          <w:sz w:val="20"/>
          <w:szCs w:val="20"/>
          <w:lang w:eastAsia="en-US"/>
        </w:rPr>
        <w:t>SE</w:t>
      </w:r>
      <w:r w:rsidR="00947780">
        <w:rPr>
          <w:bCs/>
          <w:iCs/>
          <w:color w:val="000000"/>
          <w:sz w:val="20"/>
          <w:szCs w:val="20"/>
          <w:lang w:eastAsia="en-US"/>
        </w:rPr>
        <w:t>)</w:t>
      </w:r>
      <w:r w:rsidRPr="009D6259">
        <w:rPr>
          <w:bCs/>
          <w:iCs/>
          <w:color w:val="000000"/>
          <w:sz w:val="20"/>
          <w:szCs w:val="20"/>
          <w:lang w:eastAsia="en-US"/>
        </w:rPr>
        <w:t xml:space="preserve"> decision duration for each subject </w:t>
      </w:r>
      <w:r>
        <w:rPr>
          <w:bCs/>
          <w:iCs/>
          <w:color w:val="000000"/>
          <w:sz w:val="20"/>
          <w:szCs w:val="20"/>
          <w:lang w:eastAsia="en-US"/>
        </w:rPr>
        <w:t>in</w:t>
      </w:r>
      <w:r w:rsidRPr="009D6259">
        <w:rPr>
          <w:bCs/>
          <w:iCs/>
          <w:color w:val="000000"/>
          <w:sz w:val="20"/>
          <w:szCs w:val="20"/>
          <w:lang w:eastAsia="en-US"/>
        </w:rPr>
        <w:t xml:space="preserve"> trials during which movements were </w:t>
      </w:r>
      <w:r>
        <w:rPr>
          <w:bCs/>
          <w:iCs/>
          <w:color w:val="000000"/>
          <w:sz w:val="20"/>
          <w:szCs w:val="20"/>
          <w:lang w:eastAsia="en-US"/>
        </w:rPr>
        <w:t xml:space="preserve">either </w:t>
      </w:r>
      <w:r w:rsidRPr="009D6259">
        <w:rPr>
          <w:bCs/>
          <w:iCs/>
          <w:color w:val="000000"/>
          <w:sz w:val="20"/>
          <w:szCs w:val="20"/>
          <w:lang w:eastAsia="en-US"/>
        </w:rPr>
        <w:t xml:space="preserve">too long (abscissa) or too short (ordinate). </w:t>
      </w:r>
      <w:r>
        <w:rPr>
          <w:bCs/>
          <w:iCs/>
          <w:color w:val="000000"/>
          <w:sz w:val="20"/>
          <w:szCs w:val="20"/>
          <w:lang w:eastAsia="en-US"/>
        </w:rPr>
        <w:t xml:space="preserve">The arrow indicates the subject shown in A. </w:t>
      </w:r>
      <w:r w:rsidRPr="009D6259">
        <w:rPr>
          <w:bCs/>
          <w:iCs/>
          <w:color w:val="000000"/>
          <w:sz w:val="20"/>
          <w:szCs w:val="20"/>
          <w:lang w:eastAsia="en-US"/>
        </w:rPr>
        <w:t>Same convention as in Figures 3 and 4</w:t>
      </w:r>
      <w:r w:rsidR="00947780">
        <w:rPr>
          <w:bCs/>
          <w:iCs/>
          <w:color w:val="000000"/>
          <w:sz w:val="20"/>
          <w:szCs w:val="20"/>
          <w:lang w:eastAsia="en-US"/>
        </w:rPr>
        <w:t xml:space="preserve"> in the main text</w:t>
      </w:r>
      <w:r w:rsidRPr="009D6259">
        <w:rPr>
          <w:bCs/>
          <w:iCs/>
          <w:color w:val="000000"/>
          <w:sz w:val="20"/>
          <w:szCs w:val="20"/>
          <w:lang w:eastAsia="en-US"/>
        </w:rPr>
        <w:t>.</w:t>
      </w:r>
    </w:p>
    <w:p w:rsidR="00647D52" w:rsidRDefault="00647D52" w:rsidP="00647D52">
      <w:pPr>
        <w:spacing w:line="360" w:lineRule="auto"/>
        <w:jc w:val="both"/>
        <w:rPr>
          <w:shd w:val="clear" w:color="auto" w:fill="FFFFFF"/>
        </w:rPr>
      </w:pPr>
    </w:p>
    <w:p w:rsidR="00647D52" w:rsidRDefault="00647D52" w:rsidP="00647D52">
      <w:pPr>
        <w:spacing w:line="360" w:lineRule="auto"/>
        <w:jc w:val="both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 xml:space="preserve">Supplemental Figure 1 shows that the too short movements were overall made when decisions were long, and the too long movements were made when decisions were short (1150 </w:t>
      </w:r>
      <w:r w:rsidRPr="000A2C5A">
        <w:t xml:space="preserve">± </w:t>
      </w:r>
      <w:r>
        <w:t xml:space="preserve">59ms versus </w:t>
      </w:r>
      <w:r>
        <w:rPr>
          <w:shd w:val="clear" w:color="auto" w:fill="FFFFFF"/>
        </w:rPr>
        <w:t xml:space="preserve">1042 </w:t>
      </w:r>
      <w:r w:rsidRPr="000A2C5A">
        <w:t xml:space="preserve">± </w:t>
      </w:r>
      <w:r>
        <w:t xml:space="preserve">57ms, </w:t>
      </w:r>
      <w:r w:rsidRPr="00C66D67">
        <w:rPr>
          <w:color w:val="202124"/>
          <w:shd w:val="clear" w:color="auto" w:fill="FFFFFF"/>
        </w:rPr>
        <w:t>|z|</w:t>
      </w:r>
      <w:r w:rsidRPr="00C66D67">
        <w:t>=</w:t>
      </w:r>
      <w:r>
        <w:t>12.5</w:t>
      </w:r>
      <w:r w:rsidRPr="00C66D67">
        <w:t>, p&lt;0.001)</w:t>
      </w:r>
      <w:r>
        <w:rPr>
          <w:shd w:val="clear" w:color="auto" w:fill="FFFFFF"/>
        </w:rPr>
        <w:t xml:space="preserve">, suggesting that many subjects (21/31, p&lt;0.05) were primarily concerned about computing a global trial duration rather than computing decision and action durations separately. </w:t>
      </w:r>
    </w:p>
    <w:p w:rsidR="008A52F7" w:rsidRDefault="00647D52"/>
    <w:sectPr w:rsidR="008A52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67"/>
    <w:rsid w:val="003906C3"/>
    <w:rsid w:val="00577A67"/>
    <w:rsid w:val="00647D52"/>
    <w:rsid w:val="00947780"/>
    <w:rsid w:val="00A07361"/>
    <w:rsid w:val="00A44D46"/>
    <w:rsid w:val="00F2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7B0A"/>
  <w15:chartTrackingRefBased/>
  <w15:docId w15:val="{BEC6479A-6FE9-487E-B782-18A5A125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."/>
    <w:qFormat/>
    <w:rsid w:val="0057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Thura</dc:creator>
  <cp:keywords/>
  <dc:description/>
  <cp:lastModifiedBy>David Thura</cp:lastModifiedBy>
  <cp:revision>3</cp:revision>
  <dcterms:created xsi:type="dcterms:W3CDTF">2021-10-06T14:20:00Z</dcterms:created>
  <dcterms:modified xsi:type="dcterms:W3CDTF">2021-10-06T14:32:00Z</dcterms:modified>
</cp:coreProperties>
</file>