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E9631" w14:textId="35D33157" w:rsidR="002305EF" w:rsidRPr="00FB56F9" w:rsidRDefault="00F86D0C" w:rsidP="00F86D0C">
      <w:pPr>
        <w:jc w:val="both"/>
        <w:rPr>
          <w:rFonts w:cs="Times New Roman"/>
          <w:szCs w:val="24"/>
        </w:rPr>
      </w:pPr>
      <w:r w:rsidRPr="00FB56F9">
        <w:rPr>
          <w:rFonts w:eastAsia="Arial" w:cs="Times New Roman"/>
          <w:b/>
          <w:bCs/>
          <w:szCs w:val="24"/>
        </w:rPr>
        <w:t xml:space="preserve">Supplementary Figure 1: </w:t>
      </w:r>
      <w:r w:rsidR="00902F74" w:rsidRPr="00FB56F9">
        <w:rPr>
          <w:rFonts w:cs="Times New Roman"/>
          <w:b/>
          <w:bCs/>
          <w:szCs w:val="24"/>
        </w:rPr>
        <w:t xml:space="preserve">Co-localization of complement factors with </w:t>
      </w:r>
      <w:r w:rsidR="00DA033F" w:rsidRPr="00FB56F9">
        <w:rPr>
          <w:rFonts w:cs="Times New Roman"/>
          <w:b/>
          <w:bCs/>
          <w:szCs w:val="24"/>
        </w:rPr>
        <w:t>astrocytes</w:t>
      </w:r>
      <w:r w:rsidR="00902F74" w:rsidRPr="00FB56F9">
        <w:rPr>
          <w:rFonts w:cs="Times New Roman"/>
          <w:b/>
          <w:bCs/>
          <w:szCs w:val="24"/>
        </w:rPr>
        <w:t xml:space="preserve"> and m</w:t>
      </w:r>
      <w:r w:rsidR="005767CC" w:rsidRPr="00FB56F9">
        <w:rPr>
          <w:rFonts w:cs="Times New Roman"/>
          <w:b/>
          <w:bCs/>
          <w:szCs w:val="24"/>
        </w:rPr>
        <w:t>ac</w:t>
      </w:r>
      <w:r w:rsidR="00902F74" w:rsidRPr="00FB56F9">
        <w:rPr>
          <w:rFonts w:cs="Times New Roman"/>
          <w:b/>
          <w:bCs/>
          <w:szCs w:val="24"/>
        </w:rPr>
        <w:t>rophages/microglia</w:t>
      </w:r>
      <w:r w:rsidRPr="00FB56F9">
        <w:rPr>
          <w:rFonts w:cs="Times New Roman"/>
          <w:b/>
          <w:bCs/>
          <w:szCs w:val="24"/>
        </w:rPr>
        <w:t xml:space="preserve">. </w:t>
      </w:r>
      <w:r w:rsidR="0052013D" w:rsidRPr="00FB56F9">
        <w:rPr>
          <w:rFonts w:cs="Times New Roman"/>
          <w:b/>
          <w:bCs/>
          <w:szCs w:val="24"/>
        </w:rPr>
        <w:t>A)</w:t>
      </w:r>
      <w:r w:rsidR="0052013D" w:rsidRPr="00FB56F9">
        <w:rPr>
          <w:rFonts w:cs="Times New Roman"/>
          <w:szCs w:val="24"/>
        </w:rPr>
        <w:t xml:space="preserve"> Retinal cross-sections of 10-week-old wildtype (WT) and transgenic βB1-CTGF mice were labeled with </w:t>
      </w:r>
      <w:r w:rsidR="00565DF4" w:rsidRPr="00FB56F9">
        <w:rPr>
          <w:rFonts w:cs="Times New Roman"/>
          <w:szCs w:val="24"/>
        </w:rPr>
        <w:t xml:space="preserve">anti-C3 (green) </w:t>
      </w:r>
      <w:r w:rsidR="00B23992" w:rsidRPr="00FB56F9">
        <w:rPr>
          <w:rFonts w:cs="Times New Roman"/>
          <w:szCs w:val="24"/>
        </w:rPr>
        <w:t>and</w:t>
      </w:r>
      <w:r w:rsidR="00565DF4" w:rsidRPr="00FB56F9">
        <w:rPr>
          <w:rFonts w:cs="Times New Roman"/>
          <w:szCs w:val="24"/>
        </w:rPr>
        <w:t xml:space="preserve"> anti-NeuN (red; neuron</w:t>
      </w:r>
      <w:r w:rsidR="003610A8" w:rsidRPr="00FB56F9">
        <w:rPr>
          <w:rFonts w:cs="Times New Roman"/>
          <w:szCs w:val="24"/>
        </w:rPr>
        <w:t>s) antibodies</w:t>
      </w:r>
      <w:r w:rsidR="00565DF4" w:rsidRPr="00FB56F9">
        <w:rPr>
          <w:rFonts w:cs="Times New Roman"/>
          <w:szCs w:val="24"/>
        </w:rPr>
        <w:t>, while DAPI (blue) counterstained cell nuclei. C3</w:t>
      </w:r>
      <w:r w:rsidR="00565DF4" w:rsidRPr="00FB56F9">
        <w:rPr>
          <w:rFonts w:cs="Times New Roman"/>
          <w:szCs w:val="24"/>
          <w:vertAlign w:val="superscript"/>
        </w:rPr>
        <w:t>+</w:t>
      </w:r>
      <w:r w:rsidR="00565DF4" w:rsidRPr="00FB56F9">
        <w:rPr>
          <w:rFonts w:cs="Times New Roman"/>
          <w:szCs w:val="24"/>
        </w:rPr>
        <w:t xml:space="preserve"> cells seem</w:t>
      </w:r>
      <w:r w:rsidR="00194D9D" w:rsidRPr="00FB56F9">
        <w:rPr>
          <w:rFonts w:cs="Times New Roman"/>
          <w:szCs w:val="24"/>
        </w:rPr>
        <w:t>ed</w:t>
      </w:r>
      <w:r w:rsidR="00565DF4" w:rsidRPr="00FB56F9">
        <w:rPr>
          <w:rFonts w:cs="Times New Roman"/>
          <w:szCs w:val="24"/>
        </w:rPr>
        <w:t xml:space="preserve"> not be co-localized with NeuN</w:t>
      </w:r>
      <w:r w:rsidR="00565DF4" w:rsidRPr="00FB56F9">
        <w:rPr>
          <w:rFonts w:cs="Times New Roman"/>
          <w:szCs w:val="24"/>
          <w:vertAlign w:val="superscript"/>
        </w:rPr>
        <w:t>+</w:t>
      </w:r>
      <w:r w:rsidR="00565DF4" w:rsidRPr="00FB56F9">
        <w:rPr>
          <w:rFonts w:cs="Times New Roman"/>
          <w:szCs w:val="24"/>
        </w:rPr>
        <w:t xml:space="preserve"> cells. </w:t>
      </w:r>
      <w:r w:rsidR="00565DF4" w:rsidRPr="00FB56F9">
        <w:rPr>
          <w:rFonts w:cs="Times New Roman"/>
          <w:b/>
          <w:bCs/>
          <w:szCs w:val="24"/>
        </w:rPr>
        <w:t xml:space="preserve">B) </w:t>
      </w:r>
      <w:r w:rsidR="00565DF4" w:rsidRPr="00FB56F9">
        <w:rPr>
          <w:rFonts w:cs="Times New Roman"/>
          <w:szCs w:val="24"/>
        </w:rPr>
        <w:t>At 10 weeks, retinae were stained with anti-MAC (green) and anti-NeuN</w:t>
      </w:r>
      <w:r w:rsidR="00764DF8" w:rsidRPr="00FB56F9">
        <w:rPr>
          <w:rFonts w:cs="Times New Roman"/>
          <w:szCs w:val="24"/>
        </w:rPr>
        <w:t xml:space="preserve"> (red). DAPI labeled cell nuclei (blue). As for C3, MAC</w:t>
      </w:r>
      <w:r w:rsidR="00764DF8" w:rsidRPr="00FB56F9">
        <w:rPr>
          <w:rFonts w:cs="Times New Roman"/>
          <w:szCs w:val="24"/>
          <w:vertAlign w:val="superscript"/>
        </w:rPr>
        <w:t>+</w:t>
      </w:r>
      <w:r w:rsidR="00764DF8" w:rsidRPr="00FB56F9">
        <w:rPr>
          <w:rFonts w:cs="Times New Roman"/>
          <w:szCs w:val="24"/>
        </w:rPr>
        <w:t xml:space="preserve"> cells were not co-localized with NeuN</w:t>
      </w:r>
      <w:r w:rsidR="00764DF8" w:rsidRPr="00FB56F9">
        <w:rPr>
          <w:rFonts w:cs="Times New Roman"/>
          <w:szCs w:val="24"/>
          <w:vertAlign w:val="superscript"/>
        </w:rPr>
        <w:t>+</w:t>
      </w:r>
      <w:r w:rsidR="00764DF8" w:rsidRPr="00FB56F9">
        <w:rPr>
          <w:rFonts w:cs="Times New Roman"/>
          <w:szCs w:val="24"/>
        </w:rPr>
        <w:t xml:space="preserve"> neuronal cells in WT and βB1-CTGF mice. </w:t>
      </w:r>
      <w:r w:rsidR="00764DF8" w:rsidRPr="00FB56F9">
        <w:rPr>
          <w:rFonts w:cs="Times New Roman"/>
          <w:b/>
          <w:bCs/>
          <w:szCs w:val="24"/>
        </w:rPr>
        <w:t>C)</w:t>
      </w:r>
      <w:r w:rsidR="000A418B" w:rsidRPr="00FB56F9">
        <w:rPr>
          <w:rFonts w:cs="Times New Roman"/>
          <w:szCs w:val="24"/>
        </w:rPr>
        <w:t xml:space="preserve"> WT and βB1-CTGF retinae were stained with antibodies against C3 (green) and GFAP (red; </w:t>
      </w:r>
      <w:r w:rsidR="005767CC" w:rsidRPr="00FB56F9">
        <w:rPr>
          <w:rFonts w:cs="Times New Roman"/>
          <w:szCs w:val="24"/>
        </w:rPr>
        <w:t>astrocytes</w:t>
      </w:r>
      <w:r w:rsidR="000A418B" w:rsidRPr="00FB56F9">
        <w:rPr>
          <w:rFonts w:cs="Times New Roman"/>
          <w:szCs w:val="24"/>
        </w:rPr>
        <w:t>). Cell nuclei were counterstained with DAPI (blue). In 10-week-old animals, C3</w:t>
      </w:r>
      <w:r w:rsidR="000A418B" w:rsidRPr="00FB56F9">
        <w:rPr>
          <w:rFonts w:cs="Times New Roman"/>
          <w:szCs w:val="24"/>
          <w:vertAlign w:val="superscript"/>
        </w:rPr>
        <w:t>+</w:t>
      </w:r>
      <w:r w:rsidR="000A418B" w:rsidRPr="00FB56F9">
        <w:rPr>
          <w:rFonts w:cs="Times New Roman"/>
          <w:szCs w:val="24"/>
        </w:rPr>
        <w:t xml:space="preserve"> cells were often co-localized with </w:t>
      </w:r>
      <w:r w:rsidR="005767CC" w:rsidRPr="00FB56F9">
        <w:rPr>
          <w:rFonts w:cs="Times New Roman"/>
          <w:szCs w:val="24"/>
        </w:rPr>
        <w:t>astrocytes</w:t>
      </w:r>
      <w:r w:rsidR="000A418B" w:rsidRPr="00FB56F9">
        <w:rPr>
          <w:rFonts w:cs="Times New Roman"/>
          <w:szCs w:val="24"/>
        </w:rPr>
        <w:t xml:space="preserve"> (arrows)</w:t>
      </w:r>
      <w:r w:rsidR="00130AC4" w:rsidRPr="00FB56F9">
        <w:rPr>
          <w:rFonts w:cs="Times New Roman"/>
          <w:szCs w:val="24"/>
        </w:rPr>
        <w:t xml:space="preserve">, especially in transgenic mice. </w:t>
      </w:r>
      <w:r w:rsidR="00130AC4" w:rsidRPr="00FB56F9">
        <w:rPr>
          <w:rFonts w:cs="Times New Roman"/>
          <w:b/>
          <w:bCs/>
          <w:szCs w:val="24"/>
        </w:rPr>
        <w:t>D)</w:t>
      </w:r>
      <w:r w:rsidR="00130AC4" w:rsidRPr="00FB56F9">
        <w:rPr>
          <w:rFonts w:cs="Times New Roman"/>
          <w:szCs w:val="24"/>
        </w:rPr>
        <w:t xml:space="preserve"> Anti-MAC (green) and anti-GFAP (red) antibodies were used to label retinal cross-sections of 10-week-old WT and βB1-CTGF, while DAPI was used to visualize cell nuclei (blue). MAC</w:t>
      </w:r>
      <w:r w:rsidR="00130AC4" w:rsidRPr="00FB56F9">
        <w:rPr>
          <w:rFonts w:cs="Times New Roman"/>
          <w:szCs w:val="24"/>
          <w:vertAlign w:val="superscript"/>
        </w:rPr>
        <w:t>+</w:t>
      </w:r>
      <w:r w:rsidR="00130AC4" w:rsidRPr="00FB56F9">
        <w:rPr>
          <w:rFonts w:cs="Times New Roman"/>
          <w:szCs w:val="24"/>
        </w:rPr>
        <w:t xml:space="preserve"> cells were also found often co-localized with GFAP</w:t>
      </w:r>
      <w:r w:rsidR="00130AC4" w:rsidRPr="00FB56F9">
        <w:rPr>
          <w:rFonts w:cs="Times New Roman"/>
          <w:szCs w:val="24"/>
          <w:vertAlign w:val="superscript"/>
        </w:rPr>
        <w:t>+</w:t>
      </w:r>
      <w:r w:rsidR="00130AC4" w:rsidRPr="00FB56F9">
        <w:rPr>
          <w:rFonts w:cs="Times New Roman"/>
          <w:szCs w:val="24"/>
        </w:rPr>
        <w:t xml:space="preserve"> </w:t>
      </w:r>
      <w:r w:rsidR="005767CC" w:rsidRPr="00FB56F9">
        <w:rPr>
          <w:rFonts w:cs="Times New Roman"/>
          <w:szCs w:val="24"/>
        </w:rPr>
        <w:t>astrocytes</w:t>
      </w:r>
      <w:r w:rsidR="003610A8" w:rsidRPr="00FB56F9">
        <w:rPr>
          <w:rFonts w:cs="Times New Roman"/>
          <w:szCs w:val="24"/>
        </w:rPr>
        <w:t xml:space="preserve"> (arrows)</w:t>
      </w:r>
      <w:r w:rsidR="00130AC4" w:rsidRPr="00FB56F9">
        <w:rPr>
          <w:rFonts w:cs="Times New Roman"/>
          <w:szCs w:val="24"/>
        </w:rPr>
        <w:t xml:space="preserve">. </w:t>
      </w:r>
      <w:r w:rsidR="00130AC4" w:rsidRPr="00FB56F9">
        <w:rPr>
          <w:rFonts w:cs="Times New Roman"/>
          <w:b/>
          <w:bCs/>
          <w:szCs w:val="24"/>
        </w:rPr>
        <w:t>E)</w:t>
      </w:r>
      <w:r w:rsidR="00130AC4" w:rsidRPr="00FB56F9">
        <w:rPr>
          <w:rFonts w:cs="Times New Roman"/>
          <w:szCs w:val="24"/>
        </w:rPr>
        <w:t xml:space="preserve"> At 10 weeks, retinae were stained with </w:t>
      </w:r>
      <w:r w:rsidR="005767CC" w:rsidRPr="00FB56F9">
        <w:rPr>
          <w:rFonts w:cs="Times New Roman"/>
          <w:szCs w:val="24"/>
        </w:rPr>
        <w:t>anti-</w:t>
      </w:r>
      <w:r w:rsidR="00130AC4" w:rsidRPr="00FB56F9">
        <w:rPr>
          <w:rFonts w:cs="Times New Roman"/>
          <w:szCs w:val="24"/>
        </w:rPr>
        <w:t xml:space="preserve">C3 (green) and </w:t>
      </w:r>
      <w:r w:rsidR="005767CC" w:rsidRPr="00FB56F9">
        <w:rPr>
          <w:rFonts w:cs="Times New Roman"/>
          <w:szCs w:val="24"/>
        </w:rPr>
        <w:t>anti-</w:t>
      </w:r>
      <w:r w:rsidR="00130AC4" w:rsidRPr="00FB56F9">
        <w:rPr>
          <w:rFonts w:cs="Times New Roman"/>
          <w:szCs w:val="24"/>
        </w:rPr>
        <w:t xml:space="preserve">Iba1 </w:t>
      </w:r>
      <w:r w:rsidR="00194D9D" w:rsidRPr="00FB56F9">
        <w:rPr>
          <w:rFonts w:cs="Times New Roman"/>
          <w:szCs w:val="24"/>
        </w:rPr>
        <w:t xml:space="preserve">antibodies </w:t>
      </w:r>
      <w:r w:rsidR="00130AC4" w:rsidRPr="00FB56F9">
        <w:rPr>
          <w:rFonts w:cs="Times New Roman"/>
          <w:szCs w:val="24"/>
        </w:rPr>
        <w:t>(red; macrophages/microglia). DAPI (blue) counterstained cell nuclei. Particularly in transgenic mice, some C3</w:t>
      </w:r>
      <w:r w:rsidR="00130AC4" w:rsidRPr="00FB56F9">
        <w:rPr>
          <w:rFonts w:cs="Times New Roman"/>
          <w:szCs w:val="24"/>
          <w:vertAlign w:val="superscript"/>
        </w:rPr>
        <w:t>+</w:t>
      </w:r>
      <w:r w:rsidR="00130AC4" w:rsidRPr="00FB56F9">
        <w:rPr>
          <w:rFonts w:cs="Times New Roman"/>
          <w:szCs w:val="24"/>
        </w:rPr>
        <w:t xml:space="preserve"> cells were co-localized with Iba1</w:t>
      </w:r>
      <w:r w:rsidR="00130AC4" w:rsidRPr="00FB56F9">
        <w:rPr>
          <w:rFonts w:cs="Times New Roman"/>
          <w:szCs w:val="24"/>
          <w:vertAlign w:val="superscript"/>
        </w:rPr>
        <w:t>+</w:t>
      </w:r>
      <w:r w:rsidR="00130AC4" w:rsidRPr="00FB56F9">
        <w:rPr>
          <w:rFonts w:cs="Times New Roman"/>
          <w:szCs w:val="24"/>
        </w:rPr>
        <w:t xml:space="preserve"> macrophages/microglia</w:t>
      </w:r>
      <w:r w:rsidR="00B23992" w:rsidRPr="00FB56F9">
        <w:rPr>
          <w:rFonts w:cs="Times New Roman"/>
          <w:szCs w:val="24"/>
        </w:rPr>
        <w:t xml:space="preserve"> (arrow)</w:t>
      </w:r>
      <w:r w:rsidR="00130AC4" w:rsidRPr="00FB56F9">
        <w:rPr>
          <w:rFonts w:cs="Times New Roman"/>
          <w:szCs w:val="24"/>
        </w:rPr>
        <w:t xml:space="preserve">. </w:t>
      </w:r>
      <w:r w:rsidR="005767CC" w:rsidRPr="00FB56F9">
        <w:rPr>
          <w:rFonts w:cs="Times New Roman"/>
          <w:b/>
          <w:bCs/>
          <w:szCs w:val="24"/>
        </w:rPr>
        <w:t>F</w:t>
      </w:r>
      <w:r w:rsidR="00130AC4" w:rsidRPr="00FB56F9">
        <w:rPr>
          <w:rFonts w:cs="Times New Roman"/>
          <w:b/>
          <w:bCs/>
          <w:szCs w:val="24"/>
        </w:rPr>
        <w:t>)</w:t>
      </w:r>
      <w:r w:rsidR="00130AC4" w:rsidRPr="00FB56F9">
        <w:rPr>
          <w:rFonts w:cs="Times New Roman"/>
          <w:szCs w:val="24"/>
        </w:rPr>
        <w:t xml:space="preserve"> </w:t>
      </w:r>
      <w:r w:rsidR="005767CC" w:rsidRPr="00FB56F9">
        <w:rPr>
          <w:rFonts w:cs="Times New Roman"/>
          <w:szCs w:val="24"/>
        </w:rPr>
        <w:t>Anti-C3 (green) and anti-Iba1 (red) antibodies were applied onto retinal cross-sections of WT and βB1-CTGF mice at 10 weeks of age, while DAPI (blue) labeled cell nuclei. As seen for C3, some MAC</w:t>
      </w:r>
      <w:r w:rsidR="005767CC" w:rsidRPr="00FB56F9">
        <w:rPr>
          <w:rFonts w:cs="Times New Roman"/>
          <w:szCs w:val="24"/>
          <w:vertAlign w:val="superscript"/>
        </w:rPr>
        <w:t>+</w:t>
      </w:r>
      <w:r w:rsidR="005767CC" w:rsidRPr="00FB56F9">
        <w:rPr>
          <w:rFonts w:cs="Times New Roman"/>
          <w:szCs w:val="24"/>
        </w:rPr>
        <w:t xml:space="preserve"> cells were in co-localization with Iba1</w:t>
      </w:r>
      <w:r w:rsidR="005767CC" w:rsidRPr="00FB56F9">
        <w:rPr>
          <w:rFonts w:cs="Times New Roman"/>
          <w:szCs w:val="24"/>
          <w:vertAlign w:val="superscript"/>
        </w:rPr>
        <w:t>+</w:t>
      </w:r>
      <w:r w:rsidR="005767CC" w:rsidRPr="00FB56F9">
        <w:rPr>
          <w:rFonts w:cs="Times New Roman"/>
          <w:szCs w:val="24"/>
        </w:rPr>
        <w:t xml:space="preserve"> macrophages/microglia</w:t>
      </w:r>
      <w:r w:rsidR="00B23992" w:rsidRPr="00FB56F9">
        <w:rPr>
          <w:rFonts w:cs="Times New Roman"/>
          <w:szCs w:val="24"/>
        </w:rPr>
        <w:t xml:space="preserve"> (arrow)</w:t>
      </w:r>
      <w:r w:rsidR="005767CC" w:rsidRPr="00FB56F9">
        <w:rPr>
          <w:rFonts w:cs="Times New Roman"/>
          <w:szCs w:val="24"/>
        </w:rPr>
        <w:t xml:space="preserve">. </w:t>
      </w:r>
      <w:r w:rsidR="00606B84" w:rsidRPr="00FB56F9">
        <w:rPr>
          <w:rFonts w:cs="Times New Roman"/>
          <w:szCs w:val="24"/>
        </w:rPr>
        <w:t>GCL=ganglion cell layer</w:t>
      </w:r>
      <w:r w:rsidR="00565DF4" w:rsidRPr="00FB56F9">
        <w:rPr>
          <w:rFonts w:cs="Times New Roman"/>
          <w:szCs w:val="24"/>
        </w:rPr>
        <w:t>;</w:t>
      </w:r>
      <w:r w:rsidR="00606B84" w:rsidRPr="00FB56F9">
        <w:rPr>
          <w:rFonts w:cs="Times New Roman"/>
          <w:szCs w:val="24"/>
        </w:rPr>
        <w:t xml:space="preserve"> IPL=inner plexiform layer</w:t>
      </w:r>
      <w:r w:rsidR="00565DF4" w:rsidRPr="00FB56F9">
        <w:rPr>
          <w:rFonts w:cs="Times New Roman"/>
          <w:szCs w:val="24"/>
        </w:rPr>
        <w:t>;</w:t>
      </w:r>
      <w:r w:rsidR="00606B84" w:rsidRPr="00FB56F9">
        <w:rPr>
          <w:rFonts w:cs="Times New Roman"/>
          <w:szCs w:val="24"/>
        </w:rPr>
        <w:t xml:space="preserve"> INL=inner nuclear layer. </w:t>
      </w:r>
      <w:r w:rsidR="00565DF4" w:rsidRPr="00FB56F9">
        <w:rPr>
          <w:rFonts w:cs="Times New Roman"/>
          <w:szCs w:val="24"/>
        </w:rPr>
        <w:t xml:space="preserve">Scale bars: 20 µm. </w:t>
      </w:r>
    </w:p>
    <w:p w14:paraId="7B65BC41" w14:textId="552B06C3" w:rsidR="00DE23E8" w:rsidRPr="00FB56F9" w:rsidRDefault="00B23992" w:rsidP="00130AC4">
      <w:pPr>
        <w:spacing w:after="0" w:line="480" w:lineRule="auto"/>
        <w:jc w:val="center"/>
        <w:rPr>
          <w:rFonts w:ascii="Arial" w:eastAsia="Arial" w:hAnsi="Arial" w:cs="Arial"/>
          <w:szCs w:val="24"/>
        </w:rPr>
      </w:pPr>
      <w:r w:rsidRPr="00FB56F9">
        <w:rPr>
          <w:noProof/>
        </w:rPr>
        <w:drawing>
          <wp:inline distT="0" distB="0" distL="0" distR="0" wp14:anchorId="6A2DA2B3" wp14:editId="5C28A3CD">
            <wp:extent cx="5969134" cy="434936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82" cy="43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FB56F9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2F84A" w14:textId="77777777" w:rsidR="00D17B20" w:rsidRDefault="00D17B20" w:rsidP="00117666">
      <w:pPr>
        <w:spacing w:after="0"/>
      </w:pPr>
      <w:r>
        <w:separator/>
      </w:r>
    </w:p>
  </w:endnote>
  <w:endnote w:type="continuationSeparator" w:id="0">
    <w:p w14:paraId="2360635D" w14:textId="77777777" w:rsidR="00D17B20" w:rsidRDefault="00D17B2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8178CB" w:rsidRPr="00577C4C" w:rsidRDefault="008178C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279DD24" w:rsidR="008178CB" w:rsidRPr="00577C4C" w:rsidRDefault="008178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27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279DD24" w:rsidR="008178CB" w:rsidRPr="00577C4C" w:rsidRDefault="008178C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2745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8178CB" w:rsidRPr="00577C4C" w:rsidRDefault="008178C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5A1B2FC" w:rsidR="008178CB" w:rsidRPr="00577C4C" w:rsidRDefault="008178C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27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5A1B2FC" w:rsidR="008178CB" w:rsidRPr="00577C4C" w:rsidRDefault="008178C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2745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6B6C4" w14:textId="77777777" w:rsidR="00D17B20" w:rsidRDefault="00D17B20" w:rsidP="00117666">
      <w:pPr>
        <w:spacing w:after="0"/>
      </w:pPr>
      <w:r>
        <w:separator/>
      </w:r>
    </w:p>
  </w:footnote>
  <w:footnote w:type="continuationSeparator" w:id="0">
    <w:p w14:paraId="68CB731C" w14:textId="77777777" w:rsidR="00D17B20" w:rsidRDefault="00D17B2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8178CB" w:rsidRPr="009151AA" w:rsidRDefault="008178C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8178CB" w:rsidRDefault="008178CB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47"/>
        </w:tabs>
        <w:ind w:left="74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4313CF"/>
    <w:multiLevelType w:val="hybridMultilevel"/>
    <w:tmpl w:val="433E1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6E209EA"/>
    <w:multiLevelType w:val="hybridMultilevel"/>
    <w:tmpl w:val="C926664E"/>
    <w:lvl w:ilvl="0" w:tplc="176AA2D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vtr9sdwcv5vz2efaavp2a2veep5r95ww02v&quot;&gt;Steffi_2015&lt;record-ids&gt;&lt;item&gt;7868&lt;/item&gt;&lt;item&gt;7869&lt;/item&gt;&lt;item&gt;7870&lt;/item&gt;&lt;item&gt;7871&lt;/item&gt;&lt;/record-ids&gt;&lt;/item&gt;&lt;/Libraries&gt;"/>
  </w:docVars>
  <w:rsids>
    <w:rsidRoot w:val="00ED20B5"/>
    <w:rsid w:val="0001436A"/>
    <w:rsid w:val="00027EC9"/>
    <w:rsid w:val="00034304"/>
    <w:rsid w:val="00035434"/>
    <w:rsid w:val="0004462D"/>
    <w:rsid w:val="00052A14"/>
    <w:rsid w:val="00070BF2"/>
    <w:rsid w:val="00077D53"/>
    <w:rsid w:val="0009119E"/>
    <w:rsid w:val="000A3796"/>
    <w:rsid w:val="000A418B"/>
    <w:rsid w:val="00105FD9"/>
    <w:rsid w:val="00114E41"/>
    <w:rsid w:val="00117666"/>
    <w:rsid w:val="00117B24"/>
    <w:rsid w:val="00130AC4"/>
    <w:rsid w:val="00137192"/>
    <w:rsid w:val="001549D3"/>
    <w:rsid w:val="00160065"/>
    <w:rsid w:val="00170382"/>
    <w:rsid w:val="00174FF8"/>
    <w:rsid w:val="00177D84"/>
    <w:rsid w:val="00194D9D"/>
    <w:rsid w:val="00216034"/>
    <w:rsid w:val="002305EF"/>
    <w:rsid w:val="002657DA"/>
    <w:rsid w:val="00267D18"/>
    <w:rsid w:val="00274347"/>
    <w:rsid w:val="002868E2"/>
    <w:rsid w:val="002869C3"/>
    <w:rsid w:val="002936E4"/>
    <w:rsid w:val="002B3762"/>
    <w:rsid w:val="002B4A57"/>
    <w:rsid w:val="002B69D9"/>
    <w:rsid w:val="002C74CA"/>
    <w:rsid w:val="002E2FAA"/>
    <w:rsid w:val="003123F4"/>
    <w:rsid w:val="003506A4"/>
    <w:rsid w:val="003544FB"/>
    <w:rsid w:val="003610A8"/>
    <w:rsid w:val="00396604"/>
    <w:rsid w:val="00397E84"/>
    <w:rsid w:val="003D2F2D"/>
    <w:rsid w:val="003D2F84"/>
    <w:rsid w:val="003F4FBD"/>
    <w:rsid w:val="00401590"/>
    <w:rsid w:val="00447801"/>
    <w:rsid w:val="00452E9C"/>
    <w:rsid w:val="004644E4"/>
    <w:rsid w:val="004735C8"/>
    <w:rsid w:val="00483666"/>
    <w:rsid w:val="004947A6"/>
    <w:rsid w:val="004961FF"/>
    <w:rsid w:val="004B045B"/>
    <w:rsid w:val="004D26C6"/>
    <w:rsid w:val="004D5436"/>
    <w:rsid w:val="005066DE"/>
    <w:rsid w:val="00517A89"/>
    <w:rsid w:val="0052013D"/>
    <w:rsid w:val="00524281"/>
    <w:rsid w:val="005250F2"/>
    <w:rsid w:val="00565DF4"/>
    <w:rsid w:val="005767CC"/>
    <w:rsid w:val="00593EEA"/>
    <w:rsid w:val="005A5EEE"/>
    <w:rsid w:val="00606B84"/>
    <w:rsid w:val="0063348D"/>
    <w:rsid w:val="006375C7"/>
    <w:rsid w:val="00654E8F"/>
    <w:rsid w:val="00654F81"/>
    <w:rsid w:val="00660D05"/>
    <w:rsid w:val="006820B1"/>
    <w:rsid w:val="006A51B4"/>
    <w:rsid w:val="006B7D14"/>
    <w:rsid w:val="006D0454"/>
    <w:rsid w:val="006E35D9"/>
    <w:rsid w:val="00701727"/>
    <w:rsid w:val="0070566C"/>
    <w:rsid w:val="0071468D"/>
    <w:rsid w:val="00714C50"/>
    <w:rsid w:val="00725A7D"/>
    <w:rsid w:val="00733A3D"/>
    <w:rsid w:val="007501BE"/>
    <w:rsid w:val="00764DF8"/>
    <w:rsid w:val="007744AD"/>
    <w:rsid w:val="00790BB3"/>
    <w:rsid w:val="007C206C"/>
    <w:rsid w:val="008178CB"/>
    <w:rsid w:val="00817DD6"/>
    <w:rsid w:val="0083759F"/>
    <w:rsid w:val="008407AC"/>
    <w:rsid w:val="008445E1"/>
    <w:rsid w:val="00885156"/>
    <w:rsid w:val="008C4EED"/>
    <w:rsid w:val="008D3CDC"/>
    <w:rsid w:val="00902F74"/>
    <w:rsid w:val="009151AA"/>
    <w:rsid w:val="00925A2D"/>
    <w:rsid w:val="0093429D"/>
    <w:rsid w:val="00943573"/>
    <w:rsid w:val="00964134"/>
    <w:rsid w:val="00970F7D"/>
    <w:rsid w:val="009873FF"/>
    <w:rsid w:val="00994A3D"/>
    <w:rsid w:val="009C2B12"/>
    <w:rsid w:val="009C6E4A"/>
    <w:rsid w:val="009E3373"/>
    <w:rsid w:val="009F3454"/>
    <w:rsid w:val="00A07B30"/>
    <w:rsid w:val="00A174D9"/>
    <w:rsid w:val="00AA4D24"/>
    <w:rsid w:val="00AB6715"/>
    <w:rsid w:val="00AF2AE3"/>
    <w:rsid w:val="00B1671E"/>
    <w:rsid w:val="00B23992"/>
    <w:rsid w:val="00B25EB8"/>
    <w:rsid w:val="00B37F4D"/>
    <w:rsid w:val="00B70F2C"/>
    <w:rsid w:val="00BA1D04"/>
    <w:rsid w:val="00BF18A2"/>
    <w:rsid w:val="00BF6DC1"/>
    <w:rsid w:val="00C35917"/>
    <w:rsid w:val="00C44F38"/>
    <w:rsid w:val="00C52A7B"/>
    <w:rsid w:val="00C52C4D"/>
    <w:rsid w:val="00C56BAF"/>
    <w:rsid w:val="00C679AA"/>
    <w:rsid w:val="00C718B1"/>
    <w:rsid w:val="00C75972"/>
    <w:rsid w:val="00CC052C"/>
    <w:rsid w:val="00CD066B"/>
    <w:rsid w:val="00CE4FEE"/>
    <w:rsid w:val="00CF15B6"/>
    <w:rsid w:val="00D060CF"/>
    <w:rsid w:val="00D17B20"/>
    <w:rsid w:val="00D71658"/>
    <w:rsid w:val="00D765BB"/>
    <w:rsid w:val="00DA033F"/>
    <w:rsid w:val="00DB59C3"/>
    <w:rsid w:val="00DC259A"/>
    <w:rsid w:val="00DD6621"/>
    <w:rsid w:val="00DE23E8"/>
    <w:rsid w:val="00E52377"/>
    <w:rsid w:val="00E537AD"/>
    <w:rsid w:val="00E64E17"/>
    <w:rsid w:val="00E81957"/>
    <w:rsid w:val="00E866C9"/>
    <w:rsid w:val="00EA26F8"/>
    <w:rsid w:val="00EA3D3C"/>
    <w:rsid w:val="00EC090A"/>
    <w:rsid w:val="00ED20B5"/>
    <w:rsid w:val="00EE5C81"/>
    <w:rsid w:val="00F02745"/>
    <w:rsid w:val="00F20446"/>
    <w:rsid w:val="00F242C9"/>
    <w:rsid w:val="00F46900"/>
    <w:rsid w:val="00F5148F"/>
    <w:rsid w:val="00F61D89"/>
    <w:rsid w:val="00F86D0C"/>
    <w:rsid w:val="00F912A4"/>
    <w:rsid w:val="00F91EEF"/>
    <w:rsid w:val="00FB56F9"/>
    <w:rsid w:val="00FB573A"/>
    <w:rsid w:val="00FC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B6715"/>
    <w:pPr>
      <w:numPr>
        <w:ilvl w:val="1"/>
      </w:numPr>
      <w:tabs>
        <w:tab w:val="clear" w:pos="747"/>
        <w:tab w:val="num" w:pos="567"/>
      </w:tabs>
      <w:spacing w:after="200"/>
      <w:ind w:left="567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AB6715"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05EF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05EF"/>
    <w:rPr>
      <w:rFonts w:ascii="Calibri" w:eastAsia="Calibri" w:hAnsi="Calibri" w:cs="Calibri"/>
      <w:b/>
      <w:sz w:val="20"/>
      <w:szCs w:val="20"/>
      <w:lang w:eastAsia="zh-CN"/>
    </w:rPr>
  </w:style>
  <w:style w:type="table" w:customStyle="1" w:styleId="TableNormal1">
    <w:name w:val="Table Normal1"/>
    <w:rsid w:val="002305EF"/>
    <w:pPr>
      <w:spacing w:after="160" w:line="259" w:lineRule="auto"/>
    </w:pPr>
    <w:rPr>
      <w:rFonts w:ascii="Calibri" w:eastAsia="Calibri" w:hAnsi="Calibri" w:cs="Calibri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BibliographyTitle">
    <w:name w:val="EndNote Bibliography Title"/>
    <w:basedOn w:val="Standard"/>
    <w:link w:val="EndNoteBibliographyTitleChar"/>
    <w:rsid w:val="002305EF"/>
    <w:pPr>
      <w:spacing w:before="0" w:after="0" w:line="259" w:lineRule="auto"/>
      <w:jc w:val="center"/>
    </w:pPr>
    <w:rPr>
      <w:rFonts w:eastAsia="Calibri" w:cs="Times New Roman"/>
      <w:noProof/>
      <w:lang w:eastAsia="zh-CN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2305EF"/>
    <w:rPr>
      <w:rFonts w:ascii="Times New Roman" w:eastAsia="Calibri" w:hAnsi="Times New Roman" w:cs="Times New Roman"/>
      <w:noProof/>
      <w:sz w:val="24"/>
      <w:lang w:eastAsia="zh-CN"/>
    </w:rPr>
  </w:style>
  <w:style w:type="paragraph" w:customStyle="1" w:styleId="EndNoteBibliography">
    <w:name w:val="EndNote Bibliography"/>
    <w:basedOn w:val="Standard"/>
    <w:link w:val="EndNoteBibliographyChar"/>
    <w:rsid w:val="002305EF"/>
    <w:pPr>
      <w:spacing w:before="0" w:after="160"/>
    </w:pPr>
    <w:rPr>
      <w:rFonts w:eastAsia="Calibri" w:cs="Times New Roman"/>
      <w:noProof/>
      <w:lang w:eastAsia="zh-CN"/>
    </w:rPr>
  </w:style>
  <w:style w:type="character" w:customStyle="1" w:styleId="EndNoteBibliographyChar">
    <w:name w:val="EndNote Bibliography Char"/>
    <w:basedOn w:val="Absatz-Standardschriftart"/>
    <w:link w:val="EndNoteBibliography"/>
    <w:rsid w:val="002305EF"/>
    <w:rPr>
      <w:rFonts w:ascii="Times New Roman" w:eastAsia="Calibri" w:hAnsi="Times New Roman" w:cs="Times New Roman"/>
      <w:noProof/>
      <w:sz w:val="24"/>
      <w:lang w:eastAsia="zh-CN"/>
    </w:rPr>
  </w:style>
  <w:style w:type="table" w:customStyle="1" w:styleId="Tabellenraster1">
    <w:name w:val="Tabellenraster1"/>
    <w:basedOn w:val="NormaleTabelle"/>
    <w:next w:val="Tabellenraster"/>
    <w:uiPriority w:val="59"/>
    <w:rsid w:val="002305EF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Ti12">
    <w:name w:val="Text:Ti12"/>
    <w:basedOn w:val="Standard"/>
    <w:link w:val="TextTi12Char"/>
    <w:rsid w:val="002305EF"/>
    <w:pPr>
      <w:spacing w:before="0" w:after="170" w:line="280" w:lineRule="atLeast"/>
      <w:jc w:val="both"/>
    </w:pPr>
    <w:rPr>
      <w:rFonts w:eastAsia="MS Mincho" w:cs="Times New Roman"/>
      <w:szCs w:val="24"/>
      <w:lang w:eastAsia="ja-JP"/>
    </w:rPr>
  </w:style>
  <w:style w:type="character" w:customStyle="1" w:styleId="TextTi12Char">
    <w:name w:val="Text:Ti12 Char"/>
    <w:link w:val="TextTi12"/>
    <w:rsid w:val="002305E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locktext">
    <w:name w:val="Block Text"/>
    <w:basedOn w:val="Standard"/>
    <w:rsid w:val="002305EF"/>
    <w:pPr>
      <w:spacing w:before="0" w:after="0"/>
    </w:pPr>
    <w:rPr>
      <w:rFonts w:eastAsia="Times New Roman" w:cs="Times New Roman"/>
      <w:szCs w:val="20"/>
      <w:lang w:eastAsia="zh-CN"/>
    </w:rPr>
  </w:style>
  <w:style w:type="paragraph" w:styleId="berarbeitung">
    <w:name w:val="Revision"/>
    <w:hidden/>
    <w:uiPriority w:val="99"/>
    <w:semiHidden/>
    <w:rsid w:val="002305EF"/>
    <w:pPr>
      <w:spacing w:after="0" w:line="240" w:lineRule="auto"/>
    </w:pPr>
    <w:rPr>
      <w:rFonts w:ascii="Calibri" w:eastAsia="Calibri" w:hAnsi="Calibri" w:cs="Calibri"/>
      <w:lang w:eastAsia="zh-CN"/>
    </w:rPr>
  </w:style>
  <w:style w:type="table" w:customStyle="1" w:styleId="8">
    <w:name w:val="8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</w:style>
  <w:style w:type="table" w:customStyle="1" w:styleId="7">
    <w:name w:val="7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</w:style>
  <w:style w:type="table" w:customStyle="1" w:styleId="6">
    <w:name w:val="6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</w:tblPr>
  </w:style>
  <w:style w:type="table" w:customStyle="1" w:styleId="5">
    <w:name w:val="5"/>
    <w:basedOn w:val="NormaleTabelle"/>
    <w:rsid w:val="002305EF"/>
    <w:pPr>
      <w:spacing w:after="160" w:line="259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NormaleTabelle"/>
    <w:rsid w:val="002305EF"/>
    <w:pPr>
      <w:spacing w:after="0" w:line="240" w:lineRule="auto"/>
    </w:pPr>
    <w:rPr>
      <w:rFonts w:ascii="Calibri" w:eastAsia="Calibri" w:hAnsi="Calibri" w:cs="Calibri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odyChar">
    <w:name w:val="Body Char"/>
    <w:basedOn w:val="Absatz-Standardschriftart"/>
    <w:link w:val="Body"/>
    <w:locked/>
    <w:rsid w:val="002305EF"/>
    <w:rPr>
      <w:color w:val="000000"/>
      <w:u w:color="000000"/>
    </w:rPr>
  </w:style>
  <w:style w:type="paragraph" w:customStyle="1" w:styleId="Body">
    <w:name w:val="Body"/>
    <w:link w:val="BodyChar"/>
    <w:rsid w:val="002305EF"/>
    <w:rPr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D41C08D-9E4E-412B-8036-67602DF42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236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Sabrina Reinehr</cp:lastModifiedBy>
  <cp:revision>3</cp:revision>
  <cp:lastPrinted>2013-10-03T12:51:00Z</cp:lastPrinted>
  <dcterms:created xsi:type="dcterms:W3CDTF">2021-10-08T08:32:00Z</dcterms:created>
  <dcterms:modified xsi:type="dcterms:W3CDTF">2021-10-30T15:01:00Z</dcterms:modified>
</cp:coreProperties>
</file>