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DD3E" w14:textId="77777777" w:rsidR="000027B1" w:rsidRPr="000A5C22" w:rsidRDefault="000027B1" w:rsidP="000027B1">
      <w:pPr>
        <w:pStyle w:val="NoSpacing"/>
        <w:spacing w:line="480" w:lineRule="auto"/>
        <w:rPr>
          <w:rFonts w:ascii="Arial" w:hAnsi="Arial" w:cs="Arial"/>
          <w:b/>
          <w:bCs/>
        </w:rPr>
      </w:pPr>
      <w:r w:rsidRPr="000A5C22">
        <w:rPr>
          <w:rFonts w:ascii="Arial" w:hAnsi="Arial" w:cs="Arial"/>
          <w:b/>
          <w:bCs/>
        </w:rPr>
        <w:t xml:space="preserve">Online Supplementation </w:t>
      </w:r>
    </w:p>
    <w:p w14:paraId="5F2C4247" w14:textId="77777777" w:rsidR="000027B1" w:rsidRPr="00407B85" w:rsidRDefault="000027B1" w:rsidP="000027B1">
      <w:pPr>
        <w:pStyle w:val="NoSpacing"/>
        <w:spacing w:line="480" w:lineRule="auto"/>
        <w:rPr>
          <w:rFonts w:ascii="Arial" w:hAnsi="Arial" w:cs="Arial"/>
        </w:rPr>
      </w:pPr>
      <w:r>
        <w:rPr>
          <w:noProof/>
        </w:rPr>
        <w:drawing>
          <wp:inline distT="0" distB="0" distL="0" distR="0" wp14:anchorId="51994987" wp14:editId="00A6A86C">
            <wp:extent cx="5943600" cy="3876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876675"/>
                    </a:xfrm>
                    <a:prstGeom prst="rect">
                      <a:avLst/>
                    </a:prstGeom>
                  </pic:spPr>
                </pic:pic>
              </a:graphicData>
            </a:graphic>
          </wp:inline>
        </w:drawing>
      </w:r>
    </w:p>
    <w:p w14:paraId="3FF784D2" w14:textId="140F9665" w:rsidR="000027B1" w:rsidRPr="00E37123" w:rsidRDefault="000027B1" w:rsidP="000027B1">
      <w:pPr>
        <w:pStyle w:val="NoSpacing"/>
        <w:spacing w:line="480" w:lineRule="auto"/>
        <w:rPr>
          <w:rFonts w:ascii="Arial" w:hAnsi="Arial" w:cs="Arial"/>
        </w:rPr>
      </w:pPr>
      <w:r w:rsidRPr="00E37123">
        <w:rPr>
          <w:rFonts w:ascii="Arial" w:hAnsi="Arial" w:cs="Arial"/>
          <w:b/>
          <w:bCs/>
        </w:rPr>
        <w:t xml:space="preserve">Figure </w:t>
      </w:r>
      <w:r w:rsidR="00042F2F">
        <w:rPr>
          <w:rFonts w:ascii="Arial" w:hAnsi="Arial" w:cs="Arial"/>
          <w:b/>
          <w:bCs/>
        </w:rPr>
        <w:t>S1</w:t>
      </w:r>
      <w:r w:rsidRPr="00E37123">
        <w:rPr>
          <w:rFonts w:ascii="Arial" w:hAnsi="Arial" w:cs="Arial"/>
          <w:b/>
          <w:bCs/>
        </w:rPr>
        <w:t>. One Health pandemics are launched by low-risk, massive-impact events.</w:t>
      </w:r>
      <w:r w:rsidRPr="00E37123">
        <w:rPr>
          <w:rFonts w:ascii="Arial" w:hAnsi="Arial" w:cs="Arial"/>
        </w:rPr>
        <w:t xml:space="preserve"> Humans and animals are engaged in a constant level of ‘steady-state’ activities that could potentially result in pathogen transmission. Most of these situations do not result in competent infection (panel A). However, rare spillover events following pathogen-individual interactions results in an ‘index case’, illustrated in Panel B. Infection in one individual does not typically result in a pandemic, but local or regional infections might occur when pathogens are well-suited for infection of the new host (Panel C). Regional outbreaks can potentially spread globally through transportation networks or via efficient individual to individual spread (Panel D). The investment to prevent or predict spread is best deployed at the local or regional scale to focus on true outbreak settings before mitigation costs are extraordinarily high. Investment in infrastructure for early detection and incentivizing early reporting and mitigation would minimize the risk of global pandemics.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027B1" w:rsidRPr="00E37123" w14:paraId="62764573" w14:textId="77777777" w:rsidTr="0093109D">
        <w:tc>
          <w:tcPr>
            <w:tcW w:w="4675" w:type="dxa"/>
            <w:shd w:val="clear" w:color="auto" w:fill="auto"/>
          </w:tcPr>
          <w:p w14:paraId="15AF3CC4" w14:textId="77777777" w:rsidR="000027B1" w:rsidRPr="00E37123" w:rsidRDefault="000027B1" w:rsidP="0093109D">
            <w:pPr>
              <w:pStyle w:val="NoSpacing"/>
              <w:spacing w:line="276" w:lineRule="auto"/>
              <w:rPr>
                <w:rFonts w:ascii="Arial" w:hAnsi="Arial" w:cs="Arial"/>
              </w:rPr>
            </w:pPr>
            <w:r w:rsidRPr="00E37123">
              <w:rPr>
                <w:rFonts w:ascii="Arial" w:hAnsi="Arial" w:cs="Arial"/>
              </w:rPr>
              <w:lastRenderedPageBreak/>
              <w:t xml:space="preserve">Positive Direct/ Indirect Effects </w:t>
            </w:r>
          </w:p>
        </w:tc>
        <w:tc>
          <w:tcPr>
            <w:tcW w:w="4675" w:type="dxa"/>
            <w:shd w:val="clear" w:color="auto" w:fill="auto"/>
          </w:tcPr>
          <w:p w14:paraId="7EBAE1D3" w14:textId="77777777" w:rsidR="000027B1" w:rsidRPr="00E37123" w:rsidRDefault="000027B1" w:rsidP="0093109D">
            <w:pPr>
              <w:pStyle w:val="NoSpacing"/>
              <w:spacing w:line="276" w:lineRule="auto"/>
              <w:rPr>
                <w:rFonts w:ascii="Arial" w:hAnsi="Arial" w:cs="Arial"/>
              </w:rPr>
            </w:pPr>
            <w:r w:rsidRPr="00E37123">
              <w:rPr>
                <w:rFonts w:ascii="Arial" w:hAnsi="Arial" w:cs="Arial"/>
              </w:rPr>
              <w:t>Negative Direct/Indirect Effects</w:t>
            </w:r>
          </w:p>
        </w:tc>
      </w:tr>
      <w:tr w:rsidR="000027B1" w:rsidRPr="00E37123" w14:paraId="599F7266" w14:textId="77777777" w:rsidTr="0093109D">
        <w:tc>
          <w:tcPr>
            <w:tcW w:w="4675" w:type="dxa"/>
            <w:shd w:val="clear" w:color="auto" w:fill="auto"/>
          </w:tcPr>
          <w:p w14:paraId="6E5338E5" w14:textId="77777777" w:rsidR="000027B1" w:rsidRPr="00E37123" w:rsidRDefault="000027B1" w:rsidP="0093109D">
            <w:pPr>
              <w:pStyle w:val="NoSpacing"/>
              <w:spacing w:line="276" w:lineRule="auto"/>
              <w:rPr>
                <w:rFonts w:ascii="Arial" w:hAnsi="Arial" w:cs="Arial"/>
              </w:rPr>
            </w:pPr>
            <w:r w:rsidRPr="00407B85">
              <w:rPr>
                <w:rFonts w:ascii="Arial" w:hAnsi="Arial" w:cs="Arial"/>
              </w:rPr>
              <w:t>Acceleration of discoveries that allow more rapid and accurate disease diagnosis</w:t>
            </w:r>
          </w:p>
        </w:tc>
        <w:tc>
          <w:tcPr>
            <w:tcW w:w="4675" w:type="dxa"/>
            <w:shd w:val="clear" w:color="auto" w:fill="auto"/>
          </w:tcPr>
          <w:p w14:paraId="09BAAD85" w14:textId="77777777" w:rsidR="000027B1" w:rsidRPr="00E37123" w:rsidRDefault="000027B1" w:rsidP="0093109D">
            <w:pPr>
              <w:pStyle w:val="NoSpacing"/>
              <w:spacing w:line="276" w:lineRule="auto"/>
              <w:rPr>
                <w:rFonts w:ascii="Arial" w:hAnsi="Arial" w:cs="Arial"/>
              </w:rPr>
            </w:pPr>
            <w:r w:rsidRPr="00E37123">
              <w:rPr>
                <w:rFonts w:ascii="Arial" w:hAnsi="Arial" w:cs="Arial"/>
              </w:rPr>
              <w:t xml:space="preserve">Worsening of health and wealth disparities </w:t>
            </w:r>
          </w:p>
        </w:tc>
      </w:tr>
      <w:tr w:rsidR="000027B1" w:rsidRPr="00E37123" w14:paraId="762722DA" w14:textId="77777777" w:rsidTr="0093109D">
        <w:tc>
          <w:tcPr>
            <w:tcW w:w="4675" w:type="dxa"/>
            <w:shd w:val="clear" w:color="auto" w:fill="auto"/>
          </w:tcPr>
          <w:p w14:paraId="54F49DE7" w14:textId="77777777" w:rsidR="000027B1" w:rsidRPr="00E37123" w:rsidRDefault="000027B1" w:rsidP="0093109D">
            <w:pPr>
              <w:pStyle w:val="NoSpacing"/>
              <w:spacing w:line="276" w:lineRule="auto"/>
              <w:rPr>
                <w:rFonts w:ascii="Arial" w:hAnsi="Arial" w:cs="Arial"/>
              </w:rPr>
            </w:pPr>
            <w:r w:rsidRPr="00407B85">
              <w:rPr>
                <w:rFonts w:ascii="Arial" w:hAnsi="Arial" w:cs="Arial"/>
              </w:rPr>
              <w:t>New vaccine and therapeutic approaches and improved understanding of virus-host interactions</w:t>
            </w:r>
          </w:p>
        </w:tc>
        <w:tc>
          <w:tcPr>
            <w:tcW w:w="4675" w:type="dxa"/>
            <w:shd w:val="clear" w:color="auto" w:fill="auto"/>
          </w:tcPr>
          <w:p w14:paraId="475A8182" w14:textId="77777777" w:rsidR="000027B1" w:rsidRPr="00E37123" w:rsidRDefault="000027B1" w:rsidP="0093109D">
            <w:pPr>
              <w:pStyle w:val="NoSpacing"/>
              <w:spacing w:line="276" w:lineRule="auto"/>
              <w:rPr>
                <w:rFonts w:ascii="Arial" w:hAnsi="Arial" w:cs="Arial"/>
              </w:rPr>
            </w:pPr>
            <w:r w:rsidRPr="00E37123">
              <w:rPr>
                <w:rFonts w:ascii="Arial" w:hAnsi="Arial" w:cs="Arial"/>
              </w:rPr>
              <w:t>Worsening of food insecurity</w:t>
            </w:r>
          </w:p>
        </w:tc>
      </w:tr>
      <w:tr w:rsidR="000027B1" w:rsidRPr="00E37123" w14:paraId="3690C4A4" w14:textId="77777777" w:rsidTr="0093109D">
        <w:tc>
          <w:tcPr>
            <w:tcW w:w="4675" w:type="dxa"/>
            <w:shd w:val="clear" w:color="auto" w:fill="auto"/>
          </w:tcPr>
          <w:p w14:paraId="5671021A" w14:textId="77777777" w:rsidR="000027B1" w:rsidRPr="00E37123" w:rsidRDefault="000027B1" w:rsidP="0093109D">
            <w:pPr>
              <w:pStyle w:val="NoSpacing"/>
              <w:spacing w:line="276" w:lineRule="auto"/>
              <w:rPr>
                <w:rFonts w:ascii="Arial" w:hAnsi="Arial" w:cs="Arial"/>
              </w:rPr>
            </w:pPr>
            <w:r w:rsidRPr="00407B85">
              <w:rPr>
                <w:rFonts w:ascii="Arial" w:hAnsi="Arial" w:cs="Arial"/>
              </w:rPr>
              <w:t>Empowerment of a new generation of politically active citizen</w:t>
            </w:r>
          </w:p>
        </w:tc>
        <w:tc>
          <w:tcPr>
            <w:tcW w:w="4675" w:type="dxa"/>
            <w:shd w:val="clear" w:color="auto" w:fill="auto"/>
          </w:tcPr>
          <w:p w14:paraId="486A717E" w14:textId="77777777" w:rsidR="000027B1" w:rsidRPr="00E37123" w:rsidRDefault="000027B1" w:rsidP="0093109D">
            <w:pPr>
              <w:pStyle w:val="NoSpacing"/>
              <w:spacing w:line="276" w:lineRule="auto"/>
              <w:rPr>
                <w:rFonts w:ascii="Arial" w:hAnsi="Arial" w:cs="Arial"/>
              </w:rPr>
            </w:pPr>
            <w:r w:rsidRPr="00E37123">
              <w:rPr>
                <w:rFonts w:ascii="Arial" w:hAnsi="Arial" w:cs="Arial"/>
              </w:rPr>
              <w:t>Amplification of misinformation campaigns and distrust of government agencies</w:t>
            </w:r>
          </w:p>
        </w:tc>
      </w:tr>
      <w:tr w:rsidR="000027B1" w:rsidRPr="00E37123" w14:paraId="0A5633EC" w14:textId="77777777" w:rsidTr="0093109D">
        <w:tc>
          <w:tcPr>
            <w:tcW w:w="4675" w:type="dxa"/>
            <w:shd w:val="clear" w:color="auto" w:fill="auto"/>
          </w:tcPr>
          <w:p w14:paraId="6AD4A78F" w14:textId="77777777" w:rsidR="000027B1" w:rsidRPr="00E37123" w:rsidRDefault="000027B1" w:rsidP="0093109D">
            <w:pPr>
              <w:pStyle w:val="NoSpacing"/>
              <w:spacing w:line="276" w:lineRule="auto"/>
              <w:rPr>
                <w:rFonts w:ascii="Arial" w:hAnsi="Arial" w:cs="Arial"/>
              </w:rPr>
            </w:pPr>
            <w:r w:rsidRPr="00407B85">
              <w:rPr>
                <w:rFonts w:ascii="Arial" w:hAnsi="Arial" w:cs="Arial"/>
              </w:rPr>
              <w:t>Decreased carbon emissions from significantly curtailed global travel</w:t>
            </w:r>
          </w:p>
        </w:tc>
        <w:tc>
          <w:tcPr>
            <w:tcW w:w="4675" w:type="dxa"/>
            <w:shd w:val="clear" w:color="auto" w:fill="auto"/>
          </w:tcPr>
          <w:p w14:paraId="7B2D0CEF" w14:textId="77777777" w:rsidR="000027B1" w:rsidRPr="00E37123" w:rsidRDefault="000027B1" w:rsidP="0093109D">
            <w:pPr>
              <w:pStyle w:val="NoSpacing"/>
              <w:spacing w:line="276" w:lineRule="auto"/>
              <w:rPr>
                <w:rFonts w:ascii="Arial" w:hAnsi="Arial" w:cs="Arial"/>
              </w:rPr>
            </w:pPr>
            <w:r w:rsidRPr="00E37123">
              <w:rPr>
                <w:rFonts w:ascii="Arial" w:hAnsi="Arial" w:cs="Arial"/>
              </w:rPr>
              <w:t xml:space="preserve">Increase in incidental diseases due to behavioral changes </w:t>
            </w:r>
          </w:p>
        </w:tc>
      </w:tr>
      <w:tr w:rsidR="000027B1" w:rsidRPr="00E37123" w14:paraId="6B81D148" w14:textId="77777777" w:rsidTr="0093109D">
        <w:tc>
          <w:tcPr>
            <w:tcW w:w="4675" w:type="dxa"/>
            <w:shd w:val="clear" w:color="auto" w:fill="auto"/>
          </w:tcPr>
          <w:p w14:paraId="2812AB65" w14:textId="77777777" w:rsidR="000027B1" w:rsidRPr="00E37123" w:rsidRDefault="000027B1" w:rsidP="0093109D">
            <w:pPr>
              <w:pStyle w:val="NoSpacing"/>
              <w:spacing w:line="276" w:lineRule="auto"/>
              <w:rPr>
                <w:rFonts w:ascii="Arial" w:hAnsi="Arial" w:cs="Arial"/>
              </w:rPr>
            </w:pPr>
            <w:r w:rsidRPr="00407B85">
              <w:rPr>
                <w:rFonts w:ascii="Arial" w:hAnsi="Arial" w:cs="Arial"/>
              </w:rPr>
              <w:t>Decreases in communicable diseases resulting from public health practices</w:t>
            </w:r>
          </w:p>
        </w:tc>
        <w:tc>
          <w:tcPr>
            <w:tcW w:w="4675" w:type="dxa"/>
            <w:shd w:val="clear" w:color="auto" w:fill="auto"/>
          </w:tcPr>
          <w:p w14:paraId="6F46002E" w14:textId="77777777" w:rsidR="000027B1" w:rsidRPr="00E37123" w:rsidRDefault="000027B1" w:rsidP="0093109D">
            <w:pPr>
              <w:pStyle w:val="NoSpacing"/>
              <w:spacing w:line="276" w:lineRule="auto"/>
              <w:rPr>
                <w:rFonts w:ascii="Arial" w:hAnsi="Arial" w:cs="Arial"/>
              </w:rPr>
            </w:pPr>
            <w:r w:rsidRPr="00E37123">
              <w:rPr>
                <w:rFonts w:ascii="Arial" w:hAnsi="Arial" w:cs="Arial"/>
              </w:rPr>
              <w:t>Increase in secondary disease from health care disruption</w:t>
            </w:r>
          </w:p>
        </w:tc>
      </w:tr>
      <w:tr w:rsidR="000027B1" w:rsidRPr="00E37123" w14:paraId="255A8B32" w14:textId="77777777" w:rsidTr="0093109D">
        <w:tc>
          <w:tcPr>
            <w:tcW w:w="9350" w:type="dxa"/>
            <w:gridSpan w:val="2"/>
            <w:shd w:val="clear" w:color="auto" w:fill="auto"/>
          </w:tcPr>
          <w:p w14:paraId="6E4698A3" w14:textId="77777777" w:rsidR="000027B1" w:rsidRPr="000A5C22" w:rsidRDefault="000027B1" w:rsidP="0093109D">
            <w:pPr>
              <w:pStyle w:val="NoSpacing"/>
              <w:spacing w:line="276" w:lineRule="auto"/>
              <w:rPr>
                <w:rFonts w:ascii="Arial" w:hAnsi="Arial" w:cs="Arial"/>
              </w:rPr>
            </w:pPr>
            <w:r w:rsidRPr="00407B85">
              <w:rPr>
                <w:rFonts w:ascii="Arial" w:hAnsi="Arial" w:cs="Arial"/>
              </w:rPr>
              <w:t>Neutral Direct/Indirect Effects</w:t>
            </w:r>
          </w:p>
        </w:tc>
      </w:tr>
      <w:tr w:rsidR="000027B1" w:rsidRPr="00E37123" w14:paraId="53B38706" w14:textId="77777777" w:rsidTr="0093109D">
        <w:tc>
          <w:tcPr>
            <w:tcW w:w="9350" w:type="dxa"/>
            <w:gridSpan w:val="2"/>
            <w:shd w:val="clear" w:color="auto" w:fill="auto"/>
          </w:tcPr>
          <w:p w14:paraId="1D9AB8E2" w14:textId="77777777" w:rsidR="000027B1" w:rsidRPr="000A5C22" w:rsidRDefault="000027B1" w:rsidP="0093109D">
            <w:pPr>
              <w:pStyle w:val="NoSpacing"/>
              <w:spacing w:line="276" w:lineRule="auto"/>
              <w:rPr>
                <w:rFonts w:ascii="Arial" w:hAnsi="Arial" w:cs="Arial"/>
              </w:rPr>
            </w:pPr>
            <w:r w:rsidRPr="00407B85">
              <w:rPr>
                <w:rFonts w:ascii="Arial" w:hAnsi="Arial" w:cs="Arial"/>
              </w:rPr>
              <w:t xml:space="preserve">Changes in protein consumption </w:t>
            </w:r>
            <w:r w:rsidRPr="000A5C22">
              <w:rPr>
                <w:rFonts w:ascii="Arial" w:hAnsi="Arial" w:cs="Arial"/>
              </w:rPr>
              <w:t>patterns</w:t>
            </w:r>
          </w:p>
        </w:tc>
      </w:tr>
      <w:tr w:rsidR="000027B1" w:rsidRPr="00E37123" w14:paraId="7629451B" w14:textId="77777777" w:rsidTr="0093109D">
        <w:tc>
          <w:tcPr>
            <w:tcW w:w="9350" w:type="dxa"/>
            <w:gridSpan w:val="2"/>
            <w:shd w:val="clear" w:color="auto" w:fill="auto"/>
          </w:tcPr>
          <w:p w14:paraId="294FD19D" w14:textId="77777777" w:rsidR="000027B1" w:rsidRPr="000A5C22" w:rsidRDefault="000027B1" w:rsidP="0093109D">
            <w:pPr>
              <w:pStyle w:val="NoSpacing"/>
              <w:spacing w:line="276" w:lineRule="auto"/>
              <w:rPr>
                <w:rFonts w:ascii="Arial" w:hAnsi="Arial" w:cs="Arial"/>
              </w:rPr>
            </w:pPr>
            <w:r w:rsidRPr="00407B85">
              <w:rPr>
                <w:rFonts w:ascii="Arial" w:hAnsi="Arial" w:cs="Arial"/>
              </w:rPr>
              <w:t>Permanent modification of workplace and educational practices</w:t>
            </w:r>
          </w:p>
        </w:tc>
      </w:tr>
      <w:tr w:rsidR="000027B1" w:rsidRPr="00E37123" w14:paraId="2EB2AC9E" w14:textId="77777777" w:rsidTr="0093109D">
        <w:tc>
          <w:tcPr>
            <w:tcW w:w="9350" w:type="dxa"/>
            <w:gridSpan w:val="2"/>
            <w:shd w:val="clear" w:color="auto" w:fill="auto"/>
          </w:tcPr>
          <w:p w14:paraId="284D0B2E" w14:textId="77777777" w:rsidR="000027B1" w:rsidRPr="000A5C22" w:rsidRDefault="000027B1" w:rsidP="0093109D">
            <w:pPr>
              <w:pStyle w:val="NoSpacing"/>
              <w:spacing w:line="276" w:lineRule="auto"/>
              <w:rPr>
                <w:rFonts w:ascii="Arial" w:hAnsi="Arial" w:cs="Arial"/>
              </w:rPr>
            </w:pPr>
            <w:r w:rsidRPr="00407B85">
              <w:rPr>
                <w:rFonts w:ascii="Arial" w:hAnsi="Arial" w:cs="Arial"/>
              </w:rPr>
              <w:t>Shifts in geopolitical power and economic structures</w:t>
            </w:r>
          </w:p>
        </w:tc>
      </w:tr>
    </w:tbl>
    <w:p w14:paraId="1794F920" w14:textId="77777777" w:rsidR="000027B1" w:rsidRPr="00407B85" w:rsidRDefault="000027B1" w:rsidP="000027B1">
      <w:pPr>
        <w:pStyle w:val="NoSpacing"/>
        <w:spacing w:line="480" w:lineRule="auto"/>
        <w:rPr>
          <w:rFonts w:ascii="Arial" w:hAnsi="Arial" w:cs="Arial"/>
        </w:rPr>
      </w:pPr>
    </w:p>
    <w:p w14:paraId="5E081F6F" w14:textId="350958D0" w:rsidR="00937954" w:rsidRDefault="000027B1" w:rsidP="000027B1">
      <w:r w:rsidRPr="00E37123">
        <w:rPr>
          <w:rFonts w:ascii="Arial" w:hAnsi="Arial" w:cs="Arial"/>
          <w:b/>
          <w:bCs/>
        </w:rPr>
        <w:t xml:space="preserve">Table </w:t>
      </w:r>
      <w:r w:rsidR="00042F2F">
        <w:rPr>
          <w:rFonts w:ascii="Arial" w:hAnsi="Arial" w:cs="Arial"/>
          <w:b/>
          <w:bCs/>
        </w:rPr>
        <w:t>S</w:t>
      </w:r>
      <w:r w:rsidRPr="00E37123">
        <w:rPr>
          <w:rFonts w:ascii="Arial" w:hAnsi="Arial" w:cs="Arial"/>
          <w:b/>
          <w:bCs/>
        </w:rPr>
        <w:t xml:space="preserve">1.  Downstream consequences of COVID-19 and ASF pandemics.     </w:t>
      </w:r>
    </w:p>
    <w:sectPr w:rsidR="00937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B1"/>
    <w:rsid w:val="000027B1"/>
    <w:rsid w:val="00042F2F"/>
    <w:rsid w:val="003D38AF"/>
    <w:rsid w:val="00D8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4A13"/>
  <w15:chartTrackingRefBased/>
  <w15:docId w15:val="{E8A74BB9-9546-4C4F-AEDA-1E015EF6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B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27B1"/>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Tucker,Claire</dc:creator>
  <cp:keywords/>
  <dc:description/>
  <cp:lastModifiedBy>Nicole Rossides</cp:lastModifiedBy>
  <cp:revision>2</cp:revision>
  <dcterms:created xsi:type="dcterms:W3CDTF">2021-05-31T17:57:00Z</dcterms:created>
  <dcterms:modified xsi:type="dcterms:W3CDTF">2021-08-20T16:46:00Z</dcterms:modified>
</cp:coreProperties>
</file>