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43793" w14:textId="77081521" w:rsidR="00850837" w:rsidRPr="007B005A" w:rsidRDefault="00654E8F" w:rsidP="00850837">
      <w:pPr>
        <w:autoSpaceDE w:val="0"/>
        <w:autoSpaceDN w:val="0"/>
        <w:adjustRightInd w:val="0"/>
        <w:spacing w:after="0"/>
        <w:rPr>
          <w:rFonts w:eastAsia="SimSun" w:cs="Times New Roman"/>
          <w:b/>
          <w:bCs/>
          <w:kern w:val="1"/>
          <w:szCs w:val="24"/>
          <w:u w:val="single"/>
          <w:lang w:eastAsia="hi-IN" w:bidi="hi-IN"/>
        </w:rPr>
      </w:pPr>
      <w:r w:rsidRPr="001549D3">
        <w:t>Supplementary Material</w:t>
      </w:r>
      <w:r w:rsidR="00850837" w:rsidRPr="00850837">
        <w:rPr>
          <w:rFonts w:eastAsia="SimSun" w:cs="Times New Roman"/>
          <w:b/>
          <w:bCs/>
          <w:kern w:val="1"/>
          <w:szCs w:val="24"/>
          <w:u w:val="single"/>
          <w:lang w:eastAsia="hi-IN" w:bidi="hi-IN"/>
        </w:rPr>
        <w:t xml:space="preserve"> </w:t>
      </w:r>
    </w:p>
    <w:p w14:paraId="45E5035B" w14:textId="77777777" w:rsidR="00850837" w:rsidRDefault="00850837" w:rsidP="00850837">
      <w:pPr>
        <w:rPr>
          <w:rFonts w:eastAsia="SimSun" w:cs="Times New Roman"/>
          <w:kern w:val="1"/>
          <w:szCs w:val="24"/>
          <w:lang w:eastAsia="hi-IN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7"/>
      </w:tblGrid>
      <w:tr w:rsidR="00850837" w14:paraId="10F80A5B" w14:textId="77777777" w:rsidTr="00635E0C">
        <w:tc>
          <w:tcPr>
            <w:tcW w:w="9628" w:type="dxa"/>
          </w:tcPr>
          <w:p w14:paraId="7DBE84C2" w14:textId="702168A7" w:rsidR="00850837" w:rsidRDefault="00183203" w:rsidP="00635E0C">
            <w:pPr>
              <w:rPr>
                <w:rFonts w:eastAsia="SimSun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SimSun" w:cs="Times New Roman"/>
                <w:noProof/>
                <w:kern w:val="1"/>
                <w:szCs w:val="24"/>
                <w:lang w:eastAsia="hi-IN" w:bidi="hi-IN"/>
              </w:rPr>
              <w:drawing>
                <wp:inline distT="0" distB="0" distL="0" distR="0" wp14:anchorId="4CB8B7DE" wp14:editId="5433667F">
                  <wp:extent cx="6208395" cy="4876165"/>
                  <wp:effectExtent l="0" t="0" r="1905" b="635"/>
                  <wp:docPr id="5" name="Picture 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vised Suppl Figure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487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37" w14:paraId="3B42A6EF" w14:textId="77777777" w:rsidTr="00635E0C">
        <w:tc>
          <w:tcPr>
            <w:tcW w:w="9628" w:type="dxa"/>
          </w:tcPr>
          <w:p w14:paraId="16B1EC8C" w14:textId="0D58D778" w:rsidR="00850837" w:rsidRDefault="00850837" w:rsidP="00635E0C"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Suppl</w:t>
            </w:r>
            <w:r w:rsidR="00183203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ementary</w:t>
            </w:r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Fig 1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>Human PBMCs were stained with a proliferation dye (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CellTraceViolet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, CTV) and activated for 3 days with anti-CD3/CD28 in the presence or absence of brequinar. Proliferation was measured by flow cytometry. (A)</w:t>
            </w:r>
            <w:r w:rsidR="00183203">
              <w:rPr>
                <w:rFonts w:ascii="Verdana" w:hAnsi="Verdana"/>
                <w:color w:val="000000"/>
                <w:sz w:val="20"/>
                <w:szCs w:val="20"/>
              </w:rPr>
              <w:t xml:space="preserve"> and (B)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Gating strategy. (B) Percentage CD3+ T cells of live cells. (C) Percentage CD4+ or CD8+ T cells of CD3+ T cells.</w:t>
            </w:r>
            <w:r w:rsidR="00183203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183203" w:rsidRPr="00183203">
              <w:rPr>
                <w:rFonts w:ascii="Verdana" w:hAnsi="Verdana"/>
                <w:color w:val="000000"/>
                <w:sz w:val="20"/>
                <w:szCs w:val="20"/>
              </w:rPr>
              <w:t>Data are plotted as mean ± SEM (n=</w:t>
            </w:r>
            <w:r w:rsidR="00183203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  <w:r w:rsidR="00183203" w:rsidRPr="00183203">
              <w:rPr>
                <w:rFonts w:ascii="Verdana" w:hAnsi="Verdana"/>
                <w:color w:val="000000"/>
                <w:sz w:val="20"/>
                <w:szCs w:val="20"/>
              </w:rPr>
              <w:t>).</w:t>
            </w:r>
          </w:p>
          <w:p w14:paraId="42CC8622" w14:textId="77777777" w:rsidR="00850837" w:rsidRPr="007B005A" w:rsidRDefault="00850837" w:rsidP="00635E0C">
            <w:pPr>
              <w:rPr>
                <w:rFonts w:eastAsia="SimSun" w:cs="Times New Roman"/>
                <w:kern w:val="1"/>
                <w:szCs w:val="24"/>
                <w:lang w:eastAsia="hi-IN" w:bidi="hi-IN"/>
              </w:rPr>
            </w:pPr>
          </w:p>
        </w:tc>
      </w:tr>
    </w:tbl>
    <w:p w14:paraId="070AFDD6" w14:textId="77777777" w:rsidR="00850837" w:rsidRDefault="00850837" w:rsidP="00850837">
      <w:pPr>
        <w:rPr>
          <w:rFonts w:eastAsia="SimSun" w:cs="Times New Roman"/>
          <w:kern w:val="1"/>
          <w:szCs w:val="24"/>
          <w:lang w:eastAsia="hi-IN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7"/>
      </w:tblGrid>
      <w:tr w:rsidR="00850837" w14:paraId="08D7D6CF" w14:textId="77777777" w:rsidTr="00183203">
        <w:tc>
          <w:tcPr>
            <w:tcW w:w="9767" w:type="dxa"/>
          </w:tcPr>
          <w:p w14:paraId="4BB8BA81" w14:textId="189480A1" w:rsidR="00850837" w:rsidRDefault="00E321E5" w:rsidP="00635E0C">
            <w:pPr>
              <w:rPr>
                <w:rFonts w:eastAsia="SimSun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SimSun" w:cs="Times New Roman"/>
                <w:noProof/>
                <w:kern w:val="1"/>
                <w:szCs w:val="24"/>
                <w:lang w:eastAsia="hi-IN" w:bidi="hi-IN"/>
              </w:rPr>
              <w:lastRenderedPageBreak/>
              <w:drawing>
                <wp:inline distT="0" distB="0" distL="0" distR="0" wp14:anchorId="14174CEC" wp14:editId="1D7927AB">
                  <wp:extent cx="6208395" cy="6315710"/>
                  <wp:effectExtent l="0" t="0" r="1905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63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37" w14:paraId="1AD93B95" w14:textId="77777777" w:rsidTr="00183203">
        <w:tc>
          <w:tcPr>
            <w:tcW w:w="9767" w:type="dxa"/>
          </w:tcPr>
          <w:p w14:paraId="5B5884E9" w14:textId="39287C6C" w:rsidR="00850837" w:rsidRDefault="00850837" w:rsidP="00635E0C"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Suppl</w:t>
            </w:r>
            <w:r w:rsidR="00183203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ementary</w:t>
            </w:r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Fig 2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Human PBMCs were activated for 3 days with anti-CD3/CD28 in the presence or absence of brequinar, followed by intracellular staining measured by flow cytometry. (A) Gating strategy. (B) MFI of expression of IFN-γ, TNF-α, CD107a,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granulysin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, perforin, and granzyme B, in CD3+ T cells</w:t>
            </w:r>
            <w:r w:rsidR="00183203">
              <w:rPr>
                <w:rFonts w:ascii="Verdana" w:hAnsi="Verdana"/>
                <w:color w:val="000000"/>
                <w:sz w:val="20"/>
                <w:szCs w:val="20"/>
              </w:rPr>
              <w:t xml:space="preserve">. </w:t>
            </w:r>
            <w:r w:rsidR="00183203" w:rsidRPr="00183203">
              <w:rPr>
                <w:rFonts w:ascii="Verdana" w:hAnsi="Verdana"/>
                <w:color w:val="000000"/>
                <w:sz w:val="20"/>
                <w:szCs w:val="20"/>
              </w:rPr>
              <w:t>Data are plotted as mean ± SEM (n=4).</w:t>
            </w:r>
          </w:p>
          <w:p w14:paraId="6DEFC3F2" w14:textId="77777777" w:rsidR="00850837" w:rsidRDefault="00850837" w:rsidP="00635E0C"/>
          <w:p w14:paraId="223D0AEF" w14:textId="77777777" w:rsidR="00850837" w:rsidRPr="007B005A" w:rsidRDefault="00850837" w:rsidP="00635E0C">
            <w:pPr>
              <w:rPr>
                <w:rFonts w:eastAsia="SimSun" w:cs="Times New Roman"/>
                <w:kern w:val="1"/>
                <w:szCs w:val="24"/>
                <w:lang w:eastAsia="hi-IN" w:bidi="hi-IN"/>
              </w:rPr>
            </w:pPr>
          </w:p>
        </w:tc>
      </w:tr>
      <w:tr w:rsidR="00183203" w14:paraId="58CDEB98" w14:textId="77777777" w:rsidTr="00183203">
        <w:tc>
          <w:tcPr>
            <w:tcW w:w="9767" w:type="dxa"/>
          </w:tcPr>
          <w:p w14:paraId="4543E5A6" w14:textId="10F516FE" w:rsidR="00183203" w:rsidRDefault="00183203" w:rsidP="00183203">
            <w:pPr>
              <w:pStyle w:val="SupplementaryMaterial"/>
              <w:jc w:val="left"/>
              <w:rPr>
                <w:b w:val="0"/>
              </w:rPr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 wp14:anchorId="257FCD97" wp14:editId="53DAA8E6">
                  <wp:extent cx="5786120" cy="861314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vised Suppl Figure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20" cy="861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03" w14:paraId="555DF945" w14:textId="77777777" w:rsidTr="00183203">
        <w:tc>
          <w:tcPr>
            <w:tcW w:w="9767" w:type="dxa"/>
          </w:tcPr>
          <w:p w14:paraId="510A7544" w14:textId="31DB9C5E" w:rsidR="00183203" w:rsidRDefault="00183203" w:rsidP="00183203"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lastRenderedPageBreak/>
              <w:t>Suppl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ementary</w:t>
            </w:r>
            <w:r w:rsidRPr="007B005A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Fig 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Human PBMCs were activated for 3 days with anti-CD3/CD28 in the presence or absence of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brequinar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or teriflunomide. (A) proliferation was measured by flow cytometry using a proliferation dye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 xml:space="preserve"> (n=4 and n=8)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. (B) </w:t>
            </w:r>
            <w:r w:rsidRPr="00183203">
              <w:rPr>
                <w:rFonts w:ascii="Verdana" w:hAnsi="Verdana"/>
                <w:color w:val="000000"/>
                <w:sz w:val="20"/>
                <w:szCs w:val="20"/>
              </w:rPr>
              <w:t>IFN-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g</w:t>
            </w:r>
            <w:r w:rsidRPr="00183203">
              <w:rPr>
                <w:rFonts w:ascii="Verdana" w:hAnsi="Verdana"/>
                <w:color w:val="000000"/>
                <w:sz w:val="20"/>
                <w:szCs w:val="20"/>
              </w:rPr>
              <w:t xml:space="preserve"> concentrations in culture supernatants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 (C) Representative dot plots of forward scatter and side scatter of cells cultured in the presence or absence of TF (teriflunomide)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 xml:space="preserve"> (n=4 and n=8)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 (D) Percentage lymphocyte sized T cells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 xml:space="preserve"> (n=4 and n=8)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. (E) </w:t>
            </w:r>
            <w:r w:rsidRPr="00183203">
              <w:rPr>
                <w:rFonts w:ascii="Verdana" w:hAnsi="Verdana"/>
                <w:color w:val="000000"/>
                <w:sz w:val="20"/>
                <w:szCs w:val="20"/>
              </w:rPr>
              <w:t>Oxygen consumption rates of cells treated with oligomycin, FCCP and antimycin 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(n=4)</w:t>
            </w:r>
            <w:r w:rsidRPr="00183203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(F) Percentage of live cells when treated with 10 µM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brequinar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during three-day stimulation with CD3/CD28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 xml:space="preserve"> (n=4)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. (F) Normalized oxygen consumption rate of three-day activated T cells treated with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Brequinar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and FCCP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 xml:space="preserve"> (n=4)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. </w:t>
            </w:r>
            <w:r w:rsidRPr="00183203">
              <w:rPr>
                <w:rFonts w:ascii="Verdana" w:hAnsi="Verdana"/>
                <w:color w:val="000000"/>
                <w:sz w:val="20"/>
                <w:szCs w:val="20"/>
              </w:rPr>
              <w:t>Data are plotted as mean ± SEM</w:t>
            </w:r>
            <w:r w:rsidR="00E175DB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bookmarkStart w:id="0" w:name="_GoBack"/>
            <w:bookmarkEnd w:id="0"/>
          </w:p>
          <w:p w14:paraId="6ED3FB56" w14:textId="77777777" w:rsidR="00183203" w:rsidRDefault="00183203" w:rsidP="00183203">
            <w:pPr>
              <w:pStyle w:val="SupplementaryMaterial"/>
              <w:jc w:val="left"/>
              <w:rPr>
                <w:b w:val="0"/>
              </w:rPr>
            </w:pPr>
          </w:p>
        </w:tc>
      </w:tr>
    </w:tbl>
    <w:p w14:paraId="7B65BC41" w14:textId="221D2EC9" w:rsidR="00DE23E8" w:rsidRPr="00850837" w:rsidRDefault="00DE23E8" w:rsidP="00183203">
      <w:pPr>
        <w:pStyle w:val="SupplementaryMaterial"/>
        <w:jc w:val="left"/>
        <w:rPr>
          <w:b w:val="0"/>
        </w:rPr>
      </w:pPr>
    </w:p>
    <w:sectPr w:rsidR="00DE23E8" w:rsidRPr="00850837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F0BFE" w14:textId="77777777" w:rsidR="008445B4" w:rsidRDefault="008445B4" w:rsidP="00117666">
      <w:pPr>
        <w:spacing w:after="0"/>
      </w:pPr>
      <w:r>
        <w:separator/>
      </w:r>
    </w:p>
  </w:endnote>
  <w:endnote w:type="continuationSeparator" w:id="0">
    <w:p w14:paraId="79FABA66" w14:textId="77777777" w:rsidR="008445B4" w:rsidRDefault="008445B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87F3A" w14:textId="77777777" w:rsidR="008445B4" w:rsidRDefault="008445B4" w:rsidP="00117666">
      <w:pPr>
        <w:spacing w:after="0"/>
      </w:pPr>
      <w:r>
        <w:separator/>
      </w:r>
    </w:p>
  </w:footnote>
  <w:footnote w:type="continuationSeparator" w:id="0">
    <w:p w14:paraId="5EC5D381" w14:textId="77777777" w:rsidR="008445B4" w:rsidRDefault="008445B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3203"/>
    <w:rsid w:val="00267D18"/>
    <w:rsid w:val="00274347"/>
    <w:rsid w:val="002868E2"/>
    <w:rsid w:val="002869C3"/>
    <w:rsid w:val="00286B2B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6F15"/>
    <w:rsid w:val="00817DD6"/>
    <w:rsid w:val="0083759F"/>
    <w:rsid w:val="008445B4"/>
    <w:rsid w:val="00850837"/>
    <w:rsid w:val="00885156"/>
    <w:rsid w:val="00893EC9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175DB"/>
    <w:rsid w:val="00E321E5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203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stTable4-Accent5">
    <w:name w:val="List Table 4 Accent 5"/>
    <w:basedOn w:val="TableNormal"/>
    <w:uiPriority w:val="49"/>
    <w:rsid w:val="00850837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6D14B6-0FE9-49F6-AA61-CB7D2B800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4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Marlies Peeters</cp:lastModifiedBy>
  <cp:revision>4</cp:revision>
  <cp:lastPrinted>2013-10-03T12:51:00Z</cp:lastPrinted>
  <dcterms:created xsi:type="dcterms:W3CDTF">2021-09-18T15:06:00Z</dcterms:created>
  <dcterms:modified xsi:type="dcterms:W3CDTF">2021-09-18T15:13:00Z</dcterms:modified>
</cp:coreProperties>
</file>