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825C0F" w14:textId="77777777" w:rsidR="00EE7819" w:rsidRPr="00EE7819" w:rsidRDefault="00EE7819" w:rsidP="00EE7819">
      <w:pPr>
        <w:spacing w:after="0" w:line="240" w:lineRule="auto"/>
        <w:ind w:left="720" w:hanging="720"/>
        <w:rPr>
          <w:rFonts w:cs="Times New Roman"/>
          <w:b/>
          <w:szCs w:val="24"/>
        </w:rPr>
      </w:pPr>
      <w:r w:rsidRPr="00EE7819">
        <w:rPr>
          <w:rFonts w:cs="Times New Roman"/>
          <w:b/>
          <w:szCs w:val="24"/>
        </w:rPr>
        <w:t xml:space="preserve">Supplemental C. Genetic Methods </w:t>
      </w:r>
    </w:p>
    <w:p w14:paraId="5E125D33" w14:textId="77777777" w:rsidR="00EE7819" w:rsidRDefault="00EE7819" w:rsidP="00EE7819">
      <w:pPr>
        <w:spacing w:after="0" w:line="240" w:lineRule="auto"/>
        <w:ind w:firstLine="720"/>
        <w:rPr>
          <w:rFonts w:cs="Times New Roman"/>
          <w:szCs w:val="24"/>
        </w:rPr>
      </w:pPr>
    </w:p>
    <w:p w14:paraId="018E5EC0" w14:textId="77777777" w:rsidR="00EE7819" w:rsidRDefault="00EE7819" w:rsidP="00EE7819">
      <w:pPr>
        <w:spacing w:after="0" w:line="240" w:lineRule="auto"/>
        <w:ind w:firstLine="720"/>
        <w:rPr>
          <w:rFonts w:cs="Times New Roman"/>
          <w:szCs w:val="24"/>
        </w:rPr>
      </w:pPr>
      <w:r>
        <w:rPr>
          <w:rFonts w:cs="Times New Roman"/>
          <w:szCs w:val="24"/>
        </w:rPr>
        <w:t>Samples within each collection event (i.e., for each site in every collection round) were reviewed by WGI by randomly assigning each sample a number, excluding samples that did not appear to be bear hair. In the first tier of sample selection, samples with more than one guard hair and 20 or more underfur hairs (considered high quality samples) were randomly selected for analysis. If we lacked high-quality samples in the first tier of sub-selection, samples with one guard hair and five to 19 underfur hairs (otherwise considered marginal samples) were selected. Samples with less hair than this were treated as inadequate and not selected for analysis. However, we had to make exceptions to this rule with 36 collection events in which all available samples were classified as inadequate. As such, the best available hair samples as determined by the lab were analyzed from this collection (Table 1).</w:t>
      </w:r>
    </w:p>
    <w:p w14:paraId="4DD5A179" w14:textId="77777777" w:rsidR="00EE7819" w:rsidRDefault="00EE7819" w:rsidP="00EE7819">
      <w:pPr>
        <w:spacing w:after="0" w:line="240" w:lineRule="auto"/>
        <w:ind w:firstLine="720"/>
        <w:rPr>
          <w:rFonts w:cs="Times New Roman"/>
          <w:szCs w:val="24"/>
        </w:rPr>
      </w:pPr>
    </w:p>
    <w:p w14:paraId="17A081DE" w14:textId="7119852B" w:rsidR="00EE7819" w:rsidRPr="00D24F49" w:rsidRDefault="00EE7819" w:rsidP="00EE7819">
      <w:pPr>
        <w:spacing w:after="0" w:line="240" w:lineRule="auto"/>
        <w:rPr>
          <w:szCs w:val="24"/>
        </w:rPr>
      </w:pPr>
      <w:r>
        <w:rPr>
          <w:rStyle w:val="Heading3Char"/>
        </w:rPr>
        <w:t>Table 1</w:t>
      </w:r>
      <w:r w:rsidRPr="00D24F49">
        <w:rPr>
          <w:rFonts w:cs="Times New Roman"/>
          <w:b/>
          <w:szCs w:val="24"/>
        </w:rPr>
        <w:t>.</w:t>
      </w:r>
      <w:r w:rsidRPr="00D24F49">
        <w:rPr>
          <w:rFonts w:cs="Times New Roman"/>
          <w:szCs w:val="24"/>
        </w:rPr>
        <w:t xml:space="preserve"> </w:t>
      </w:r>
      <w:r>
        <w:rPr>
          <w:szCs w:val="24"/>
        </w:rPr>
        <w:t>Genetic s</w:t>
      </w:r>
      <w:r w:rsidRPr="00D24F49">
        <w:rPr>
          <w:szCs w:val="24"/>
        </w:rPr>
        <w:t xml:space="preserve">ub-sampling rules for a given collection event in which multiple hair samples were collected at a single hair snag site, during the BMA 1 Grizzly </w:t>
      </w:r>
      <w:r w:rsidR="004C3FD2">
        <w:rPr>
          <w:szCs w:val="24"/>
        </w:rPr>
        <w:t>B</w:t>
      </w:r>
      <w:r w:rsidRPr="00D24F49">
        <w:rPr>
          <w:szCs w:val="24"/>
        </w:rPr>
        <w:t>ear Program.</w:t>
      </w:r>
    </w:p>
    <w:p w14:paraId="03A2D79A" w14:textId="77777777" w:rsidR="00EE7819" w:rsidRPr="00D24F49" w:rsidRDefault="00EE7819" w:rsidP="00EE7819">
      <w:pPr>
        <w:spacing w:after="0" w:line="240" w:lineRule="auto"/>
        <w:rPr>
          <w:szCs w:val="24"/>
        </w:rPr>
      </w:pPr>
    </w:p>
    <w:tbl>
      <w:tblPr>
        <w:tblW w:w="9100" w:type="dxa"/>
        <w:tblLook w:val="04A0" w:firstRow="1" w:lastRow="0" w:firstColumn="1" w:lastColumn="0" w:noHBand="0" w:noVBand="1"/>
      </w:tblPr>
      <w:tblGrid>
        <w:gridCol w:w="3180"/>
        <w:gridCol w:w="1000"/>
        <w:gridCol w:w="1000"/>
        <w:gridCol w:w="1000"/>
        <w:gridCol w:w="1000"/>
        <w:gridCol w:w="960"/>
        <w:gridCol w:w="960"/>
      </w:tblGrid>
      <w:tr w:rsidR="00EE7819" w14:paraId="375F6CF4" w14:textId="77777777" w:rsidTr="0063631A">
        <w:trPr>
          <w:trHeight w:val="700"/>
        </w:trPr>
        <w:tc>
          <w:tcPr>
            <w:tcW w:w="3180" w:type="dxa"/>
            <w:tcBorders>
              <w:top w:val="single" w:sz="8" w:space="0" w:color="auto"/>
              <w:left w:val="nil"/>
              <w:bottom w:val="single" w:sz="4" w:space="0" w:color="auto"/>
              <w:right w:val="nil"/>
            </w:tcBorders>
            <w:shd w:val="clear" w:color="auto" w:fill="D9D9D9" w:themeFill="background1" w:themeFillShade="D9"/>
            <w:vAlign w:val="center"/>
            <w:hideMark/>
          </w:tcPr>
          <w:p w14:paraId="1935DA08" w14:textId="77777777" w:rsidR="00EE7819" w:rsidRDefault="00EE7819" w:rsidP="0063631A">
            <w:pPr>
              <w:rPr>
                <w:color w:val="000000"/>
                <w:szCs w:val="24"/>
              </w:rPr>
            </w:pPr>
            <w:r>
              <w:rPr>
                <w:bCs/>
                <w:color w:val="000000"/>
              </w:rPr>
              <w:t>Number of Available Samples from single collection event</w:t>
            </w:r>
          </w:p>
        </w:tc>
        <w:tc>
          <w:tcPr>
            <w:tcW w:w="1000" w:type="dxa"/>
            <w:tcBorders>
              <w:top w:val="single" w:sz="8" w:space="0" w:color="auto"/>
              <w:left w:val="nil"/>
              <w:bottom w:val="single" w:sz="4" w:space="0" w:color="auto"/>
              <w:right w:val="nil"/>
            </w:tcBorders>
            <w:shd w:val="clear" w:color="auto" w:fill="FFD966" w:themeFill="accent4" w:themeFillTint="99"/>
            <w:vAlign w:val="center"/>
            <w:hideMark/>
          </w:tcPr>
          <w:p w14:paraId="41FA2964" w14:textId="77777777" w:rsidR="00EE7819" w:rsidRDefault="00EE7819" w:rsidP="0063631A">
            <w:pPr>
              <w:jc w:val="center"/>
              <w:rPr>
                <w:b/>
                <w:bCs/>
                <w:color w:val="000000"/>
              </w:rPr>
            </w:pPr>
            <w:r>
              <w:rPr>
                <w:b/>
                <w:bCs/>
                <w:color w:val="000000"/>
              </w:rPr>
              <w:t>1-4</w:t>
            </w:r>
          </w:p>
        </w:tc>
        <w:tc>
          <w:tcPr>
            <w:tcW w:w="1000" w:type="dxa"/>
            <w:tcBorders>
              <w:top w:val="single" w:sz="8" w:space="0" w:color="auto"/>
              <w:left w:val="nil"/>
              <w:bottom w:val="single" w:sz="4" w:space="0" w:color="auto"/>
              <w:right w:val="nil"/>
            </w:tcBorders>
            <w:shd w:val="clear" w:color="auto" w:fill="D9D9D9" w:themeFill="background1" w:themeFillShade="D9"/>
            <w:vAlign w:val="center"/>
            <w:hideMark/>
          </w:tcPr>
          <w:p w14:paraId="3512BBEB" w14:textId="77777777" w:rsidR="00EE7819" w:rsidRDefault="00EE7819" w:rsidP="0063631A">
            <w:pPr>
              <w:jc w:val="center"/>
              <w:rPr>
                <w:b/>
                <w:bCs/>
                <w:color w:val="000000"/>
              </w:rPr>
            </w:pPr>
            <w:r>
              <w:rPr>
                <w:b/>
                <w:bCs/>
                <w:color w:val="000000"/>
              </w:rPr>
              <w:t>5-6</w:t>
            </w:r>
          </w:p>
        </w:tc>
        <w:tc>
          <w:tcPr>
            <w:tcW w:w="1000" w:type="dxa"/>
            <w:tcBorders>
              <w:top w:val="single" w:sz="8" w:space="0" w:color="auto"/>
              <w:left w:val="nil"/>
              <w:bottom w:val="single" w:sz="4" w:space="0" w:color="auto"/>
              <w:right w:val="nil"/>
            </w:tcBorders>
            <w:shd w:val="clear" w:color="auto" w:fill="FFD966" w:themeFill="accent4" w:themeFillTint="99"/>
            <w:vAlign w:val="center"/>
            <w:hideMark/>
          </w:tcPr>
          <w:p w14:paraId="2ABFF100" w14:textId="77777777" w:rsidR="00EE7819" w:rsidRDefault="00EE7819" w:rsidP="0063631A">
            <w:pPr>
              <w:jc w:val="center"/>
              <w:rPr>
                <w:b/>
                <w:bCs/>
                <w:color w:val="000000"/>
              </w:rPr>
            </w:pPr>
            <w:r>
              <w:rPr>
                <w:b/>
                <w:bCs/>
                <w:color w:val="000000"/>
              </w:rPr>
              <w:t>7-9</w:t>
            </w:r>
          </w:p>
        </w:tc>
        <w:tc>
          <w:tcPr>
            <w:tcW w:w="1000" w:type="dxa"/>
            <w:tcBorders>
              <w:top w:val="single" w:sz="8" w:space="0" w:color="auto"/>
              <w:left w:val="nil"/>
              <w:bottom w:val="single" w:sz="4" w:space="0" w:color="auto"/>
              <w:right w:val="nil"/>
            </w:tcBorders>
            <w:shd w:val="clear" w:color="auto" w:fill="D9D9D9" w:themeFill="background1" w:themeFillShade="D9"/>
            <w:vAlign w:val="center"/>
            <w:hideMark/>
          </w:tcPr>
          <w:p w14:paraId="208D638B" w14:textId="77777777" w:rsidR="00EE7819" w:rsidRDefault="00EE7819" w:rsidP="0063631A">
            <w:pPr>
              <w:jc w:val="center"/>
              <w:rPr>
                <w:b/>
                <w:bCs/>
                <w:color w:val="000000"/>
              </w:rPr>
            </w:pPr>
            <w:r>
              <w:rPr>
                <w:b/>
                <w:bCs/>
                <w:color w:val="000000"/>
              </w:rPr>
              <w:t>10-12</w:t>
            </w:r>
          </w:p>
        </w:tc>
        <w:tc>
          <w:tcPr>
            <w:tcW w:w="960" w:type="dxa"/>
            <w:tcBorders>
              <w:top w:val="single" w:sz="8" w:space="0" w:color="auto"/>
              <w:left w:val="nil"/>
              <w:bottom w:val="single" w:sz="4" w:space="0" w:color="auto"/>
              <w:right w:val="nil"/>
            </w:tcBorders>
            <w:shd w:val="clear" w:color="auto" w:fill="FFD966" w:themeFill="accent4" w:themeFillTint="99"/>
            <w:vAlign w:val="center"/>
            <w:hideMark/>
          </w:tcPr>
          <w:p w14:paraId="6B309D77" w14:textId="77777777" w:rsidR="00EE7819" w:rsidRDefault="00EE7819" w:rsidP="0063631A">
            <w:pPr>
              <w:jc w:val="center"/>
              <w:rPr>
                <w:b/>
                <w:bCs/>
                <w:color w:val="000000"/>
              </w:rPr>
            </w:pPr>
            <w:r>
              <w:rPr>
                <w:b/>
                <w:bCs/>
                <w:color w:val="000000"/>
              </w:rPr>
              <w:t>13-16</w:t>
            </w:r>
          </w:p>
        </w:tc>
        <w:tc>
          <w:tcPr>
            <w:tcW w:w="960" w:type="dxa"/>
            <w:tcBorders>
              <w:top w:val="single" w:sz="8" w:space="0" w:color="auto"/>
              <w:left w:val="nil"/>
              <w:bottom w:val="single" w:sz="4" w:space="0" w:color="auto"/>
              <w:right w:val="nil"/>
            </w:tcBorders>
            <w:shd w:val="clear" w:color="auto" w:fill="D9D9D9" w:themeFill="background1" w:themeFillShade="D9"/>
            <w:vAlign w:val="center"/>
            <w:hideMark/>
          </w:tcPr>
          <w:p w14:paraId="4315D37E" w14:textId="77777777" w:rsidR="00EE7819" w:rsidRDefault="00EE7819" w:rsidP="0063631A">
            <w:pPr>
              <w:jc w:val="center"/>
              <w:rPr>
                <w:b/>
                <w:bCs/>
                <w:color w:val="000000"/>
              </w:rPr>
            </w:pPr>
            <w:r>
              <w:rPr>
                <w:b/>
                <w:bCs/>
                <w:color w:val="000000"/>
              </w:rPr>
              <w:t>16+</w:t>
            </w:r>
          </w:p>
        </w:tc>
      </w:tr>
      <w:tr w:rsidR="00EE7819" w14:paraId="29E52144" w14:textId="77777777" w:rsidTr="0063631A">
        <w:trPr>
          <w:trHeight w:val="645"/>
        </w:trPr>
        <w:tc>
          <w:tcPr>
            <w:tcW w:w="3180" w:type="dxa"/>
            <w:tcBorders>
              <w:top w:val="nil"/>
              <w:left w:val="nil"/>
              <w:bottom w:val="single" w:sz="8" w:space="0" w:color="auto"/>
              <w:right w:val="nil"/>
            </w:tcBorders>
            <w:shd w:val="clear" w:color="auto" w:fill="auto"/>
            <w:vAlign w:val="center"/>
            <w:hideMark/>
          </w:tcPr>
          <w:p w14:paraId="62E3A0DC" w14:textId="77777777" w:rsidR="00EE7819" w:rsidRDefault="00EE7819" w:rsidP="0063631A">
            <w:pPr>
              <w:rPr>
                <w:color w:val="000000"/>
                <w:szCs w:val="24"/>
              </w:rPr>
            </w:pPr>
            <w:r>
              <w:rPr>
                <w:bCs/>
                <w:color w:val="000000"/>
              </w:rPr>
              <w:t>Number of Samples Genetically analyzed</w:t>
            </w:r>
          </w:p>
        </w:tc>
        <w:tc>
          <w:tcPr>
            <w:tcW w:w="1000" w:type="dxa"/>
            <w:tcBorders>
              <w:top w:val="nil"/>
              <w:left w:val="nil"/>
              <w:bottom w:val="single" w:sz="8" w:space="0" w:color="auto"/>
              <w:right w:val="nil"/>
            </w:tcBorders>
            <w:shd w:val="clear" w:color="auto" w:fill="FFE599" w:themeFill="accent4" w:themeFillTint="66"/>
            <w:vAlign w:val="center"/>
            <w:hideMark/>
          </w:tcPr>
          <w:p w14:paraId="519EF80E" w14:textId="77777777" w:rsidR="00EE7819" w:rsidRDefault="00EE7819" w:rsidP="0063631A">
            <w:pPr>
              <w:jc w:val="center"/>
              <w:rPr>
                <w:color w:val="000000"/>
              </w:rPr>
            </w:pPr>
            <w:r>
              <w:rPr>
                <w:color w:val="000000"/>
              </w:rPr>
              <w:t>All</w:t>
            </w:r>
          </w:p>
        </w:tc>
        <w:tc>
          <w:tcPr>
            <w:tcW w:w="1000" w:type="dxa"/>
            <w:tcBorders>
              <w:top w:val="nil"/>
              <w:left w:val="nil"/>
              <w:bottom w:val="single" w:sz="8" w:space="0" w:color="auto"/>
              <w:right w:val="nil"/>
            </w:tcBorders>
            <w:shd w:val="clear" w:color="auto" w:fill="auto"/>
            <w:vAlign w:val="center"/>
            <w:hideMark/>
          </w:tcPr>
          <w:p w14:paraId="5A9F0CA6" w14:textId="77777777" w:rsidR="00EE7819" w:rsidRDefault="00EE7819" w:rsidP="0063631A">
            <w:pPr>
              <w:jc w:val="center"/>
              <w:rPr>
                <w:color w:val="000000"/>
              </w:rPr>
            </w:pPr>
            <w:r>
              <w:rPr>
                <w:color w:val="000000"/>
              </w:rPr>
              <w:t>4</w:t>
            </w:r>
          </w:p>
        </w:tc>
        <w:tc>
          <w:tcPr>
            <w:tcW w:w="1000" w:type="dxa"/>
            <w:tcBorders>
              <w:top w:val="nil"/>
              <w:left w:val="nil"/>
              <w:bottom w:val="single" w:sz="8" w:space="0" w:color="auto"/>
              <w:right w:val="nil"/>
            </w:tcBorders>
            <w:shd w:val="clear" w:color="auto" w:fill="FFE599" w:themeFill="accent4" w:themeFillTint="66"/>
            <w:vAlign w:val="center"/>
            <w:hideMark/>
          </w:tcPr>
          <w:p w14:paraId="22B514CC" w14:textId="77777777" w:rsidR="00EE7819" w:rsidRDefault="00EE7819" w:rsidP="0063631A">
            <w:pPr>
              <w:jc w:val="center"/>
              <w:rPr>
                <w:color w:val="000000"/>
              </w:rPr>
            </w:pPr>
            <w:r>
              <w:rPr>
                <w:color w:val="000000"/>
              </w:rPr>
              <w:t>5</w:t>
            </w:r>
          </w:p>
        </w:tc>
        <w:tc>
          <w:tcPr>
            <w:tcW w:w="1000" w:type="dxa"/>
            <w:tcBorders>
              <w:top w:val="nil"/>
              <w:left w:val="nil"/>
              <w:bottom w:val="single" w:sz="8" w:space="0" w:color="auto"/>
              <w:right w:val="nil"/>
            </w:tcBorders>
            <w:shd w:val="clear" w:color="auto" w:fill="auto"/>
            <w:vAlign w:val="center"/>
            <w:hideMark/>
          </w:tcPr>
          <w:p w14:paraId="17EB9D72" w14:textId="77777777" w:rsidR="00EE7819" w:rsidRDefault="00EE7819" w:rsidP="0063631A">
            <w:pPr>
              <w:jc w:val="center"/>
              <w:rPr>
                <w:color w:val="000000"/>
              </w:rPr>
            </w:pPr>
            <w:r>
              <w:rPr>
                <w:color w:val="000000"/>
              </w:rPr>
              <w:t>6</w:t>
            </w:r>
          </w:p>
        </w:tc>
        <w:tc>
          <w:tcPr>
            <w:tcW w:w="960" w:type="dxa"/>
            <w:tcBorders>
              <w:top w:val="nil"/>
              <w:left w:val="nil"/>
              <w:bottom w:val="single" w:sz="8" w:space="0" w:color="auto"/>
              <w:right w:val="nil"/>
            </w:tcBorders>
            <w:shd w:val="clear" w:color="auto" w:fill="FFE599" w:themeFill="accent4" w:themeFillTint="66"/>
            <w:vAlign w:val="center"/>
            <w:hideMark/>
          </w:tcPr>
          <w:p w14:paraId="4503CEE5" w14:textId="77777777" w:rsidR="00EE7819" w:rsidRDefault="00EE7819" w:rsidP="0063631A">
            <w:pPr>
              <w:jc w:val="center"/>
              <w:rPr>
                <w:color w:val="000000"/>
              </w:rPr>
            </w:pPr>
            <w:r>
              <w:rPr>
                <w:color w:val="000000"/>
              </w:rPr>
              <w:t>7</w:t>
            </w:r>
          </w:p>
        </w:tc>
        <w:tc>
          <w:tcPr>
            <w:tcW w:w="960" w:type="dxa"/>
            <w:tcBorders>
              <w:top w:val="nil"/>
              <w:left w:val="nil"/>
              <w:bottom w:val="single" w:sz="8" w:space="0" w:color="auto"/>
              <w:right w:val="nil"/>
            </w:tcBorders>
            <w:shd w:val="clear" w:color="auto" w:fill="auto"/>
            <w:vAlign w:val="center"/>
            <w:hideMark/>
          </w:tcPr>
          <w:p w14:paraId="3E24EEAC" w14:textId="77777777" w:rsidR="00EE7819" w:rsidRDefault="00EE7819" w:rsidP="0063631A">
            <w:pPr>
              <w:jc w:val="center"/>
              <w:rPr>
                <w:color w:val="000000"/>
              </w:rPr>
            </w:pPr>
            <w:r>
              <w:rPr>
                <w:color w:val="000000"/>
              </w:rPr>
              <w:t>8</w:t>
            </w:r>
          </w:p>
        </w:tc>
      </w:tr>
    </w:tbl>
    <w:p w14:paraId="5639ECF1" w14:textId="77777777" w:rsidR="00730516" w:rsidRDefault="00730516"/>
    <w:sectPr w:rsidR="00730516" w:rsidSect="0080788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10B05" w14:textId="77777777" w:rsidR="007008D0" w:rsidRDefault="007008D0" w:rsidP="00EE7819">
      <w:pPr>
        <w:spacing w:after="0" w:line="240" w:lineRule="auto"/>
      </w:pPr>
      <w:r>
        <w:separator/>
      </w:r>
    </w:p>
  </w:endnote>
  <w:endnote w:type="continuationSeparator" w:id="0">
    <w:p w14:paraId="6B2E39DC" w14:textId="77777777" w:rsidR="007008D0" w:rsidRDefault="007008D0" w:rsidP="00EE78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6743770"/>
      <w:docPartObj>
        <w:docPartGallery w:val="Page Numbers (Bottom of Page)"/>
        <w:docPartUnique/>
      </w:docPartObj>
    </w:sdtPr>
    <w:sdtEndPr>
      <w:rPr>
        <w:noProof/>
      </w:rPr>
    </w:sdtEndPr>
    <w:sdtContent>
      <w:p w14:paraId="74A74EFA" w14:textId="77777777" w:rsidR="00E2032B" w:rsidRDefault="00EE7819">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518DBE09" w14:textId="77777777" w:rsidR="00E2032B" w:rsidRDefault="00EE7819">
    <w:pPr>
      <w:pStyle w:val="Footer"/>
    </w:pPr>
    <w:r>
      <w:rPr>
        <w:noProof/>
        <w:lang w:val="en-US"/>
      </w:rPr>
      <mc:AlternateContent>
        <mc:Choice Requires="wps">
          <w:drawing>
            <wp:anchor distT="0" distB="0" distL="114300" distR="114300" simplePos="0" relativeHeight="251659264" behindDoc="0" locked="0" layoutInCell="0" allowOverlap="1" wp14:anchorId="54B8AE0E" wp14:editId="4BFA2913">
              <wp:simplePos x="0" y="0"/>
              <wp:positionH relativeFrom="page">
                <wp:posOffset>0</wp:posOffset>
              </wp:positionH>
              <wp:positionV relativeFrom="page">
                <wp:posOffset>9594215</wp:posOffset>
              </wp:positionV>
              <wp:extent cx="7772400" cy="273050"/>
              <wp:effectExtent l="0" t="0" r="0" b="12700"/>
              <wp:wrapNone/>
              <wp:docPr id="1" name="MSIPCMb539460b8fdd830fb1ec2b94" descr="{&quot;HashCode&quot;:-1542678785,&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7069D82" w14:textId="77777777" w:rsidR="00E2032B" w:rsidRPr="00AA0CC5" w:rsidRDefault="00EE7819" w:rsidP="00AA0CC5">
                          <w:pPr>
                            <w:spacing w:after="0"/>
                            <w:rPr>
                              <w:rFonts w:ascii="Calibri" w:hAnsi="Calibri" w:cs="Calibri"/>
                              <w:color w:val="000000"/>
                              <w:sz w:val="22"/>
                            </w:rPr>
                          </w:pPr>
                          <w:r w:rsidRPr="00AA0CC5">
                            <w:rPr>
                              <w:rFonts w:ascii="Calibri" w:hAnsi="Calibri" w:cs="Calibri"/>
                              <w:color w:val="000000"/>
                              <w:sz w:val="22"/>
                            </w:rPr>
                            <w:t>Classification: Protected A</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C387AC4" id="_x0000_t202" coordsize="21600,21600" o:spt="202" path="m,l,21600r21600,l21600,xe">
              <v:stroke joinstyle="miter"/>
              <v:path gradientshapeok="t" o:connecttype="rect"/>
            </v:shapetype>
            <v:shape id="MSIPCMb539460b8fdd830fb1ec2b94" o:spid="_x0000_s1026" type="#_x0000_t202" alt="{&quot;HashCode&quot;:-1542678785,&quot;Height&quot;:792.0,&quot;Width&quot;:612.0,&quot;Placement&quot;:&quot;Footer&quot;,&quot;Index&quot;:&quot;Primary&quot;,&quot;Section&quot;:1,&quot;Top&quot;:0.0,&quot;Left&quot;:0.0}" style="position:absolute;margin-left:0;margin-top:755.45pt;width:612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" o:allowincell="f" filled="f" stroked="f" strokeweight=".5pt">
              <v:textbox inset="20pt,0,,0">
                <w:txbxContent>
                  <w:p w:rsidR="00E2032B" w:rsidRPr="00AA0CC5" w:rsidRDefault="00EE7819" w:rsidP="00AA0CC5">
                    <w:pPr>
                      <w:spacing w:after="0"/>
                      <w:rPr>
                        <w:rFonts w:ascii="Calibri" w:hAnsi="Calibri" w:cs="Calibri"/>
                        <w:color w:val="000000"/>
                        <w:sz w:val="22"/>
                      </w:rPr>
                    </w:pPr>
                    <w:r w:rsidRPr="00AA0CC5">
                      <w:rPr>
                        <w:rFonts w:ascii="Calibri" w:hAnsi="Calibri" w:cs="Calibri"/>
                        <w:color w:val="000000"/>
                        <w:sz w:val="22"/>
                      </w:rPr>
                      <w:t>Classifica</w:t>
                    </w:r>
                    <w:r w:rsidRPr="00AA0CC5">
                      <w:rPr>
                        <w:rFonts w:ascii="Calibri" w:hAnsi="Calibri" w:cs="Calibri"/>
                        <w:color w:val="000000"/>
                        <w:sz w:val="22"/>
                      </w:rPr>
                      <w:t>tion: Protected A</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AA265" w14:textId="77777777" w:rsidR="007008D0" w:rsidRDefault="007008D0" w:rsidP="00EE7819">
      <w:pPr>
        <w:spacing w:after="0" w:line="240" w:lineRule="auto"/>
      </w:pPr>
      <w:r>
        <w:separator/>
      </w:r>
    </w:p>
  </w:footnote>
  <w:footnote w:type="continuationSeparator" w:id="0">
    <w:p w14:paraId="50029C12" w14:textId="77777777" w:rsidR="007008D0" w:rsidRDefault="007008D0" w:rsidP="00EE78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819"/>
    <w:rsid w:val="004C3FD2"/>
    <w:rsid w:val="007008D0"/>
    <w:rsid w:val="00730516"/>
    <w:rsid w:val="00807886"/>
    <w:rsid w:val="00EE78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E46A39"/>
  <w15:chartTrackingRefBased/>
  <w15:docId w15:val="{7E974A96-B7D5-489F-84A8-FE733CCAD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7819"/>
    <w:rPr>
      <w:rFonts w:ascii="Times New Roman" w:hAnsi="Times New Roman"/>
      <w:sz w:val="24"/>
      <w:lang w:val="en-CA"/>
    </w:rPr>
  </w:style>
  <w:style w:type="paragraph" w:styleId="Heading2">
    <w:name w:val="heading 2"/>
    <w:basedOn w:val="Normal"/>
    <w:next w:val="Normal"/>
    <w:link w:val="Heading2Char"/>
    <w:uiPriority w:val="9"/>
    <w:semiHidden/>
    <w:unhideWhenUsed/>
    <w:qFormat/>
    <w:rsid w:val="00EE781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Heading2"/>
    <w:next w:val="Normal"/>
    <w:link w:val="Heading3Char"/>
    <w:uiPriority w:val="9"/>
    <w:unhideWhenUsed/>
    <w:qFormat/>
    <w:rsid w:val="00EE7819"/>
    <w:pPr>
      <w:keepNext w:val="0"/>
      <w:keepLines w:val="0"/>
      <w:spacing w:before="0" w:after="200" w:line="240" w:lineRule="auto"/>
      <w:outlineLvl w:val="2"/>
    </w:pPr>
    <w:rPr>
      <w:rFonts w:ascii="Times New Roman" w:eastAsiaTheme="minorHAnsi" w:hAnsi="Times New Roman" w:cstheme="minorBidi"/>
      <w:b/>
      <w:bCs/>
      <w:color w:val="auto"/>
      <w:sz w:val="24"/>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E7819"/>
    <w:rPr>
      <w:rFonts w:ascii="Times New Roman" w:hAnsi="Times New Roman"/>
      <w:b/>
      <w:bCs/>
      <w:sz w:val="24"/>
      <w:szCs w:val="18"/>
      <w:lang w:val="en-CA"/>
    </w:rPr>
  </w:style>
  <w:style w:type="paragraph" w:styleId="CommentText">
    <w:name w:val="annotation text"/>
    <w:basedOn w:val="Normal"/>
    <w:link w:val="CommentTextChar"/>
    <w:uiPriority w:val="99"/>
    <w:semiHidden/>
    <w:unhideWhenUsed/>
    <w:rsid w:val="00EE7819"/>
    <w:pPr>
      <w:spacing w:line="240" w:lineRule="auto"/>
    </w:pPr>
    <w:rPr>
      <w:sz w:val="20"/>
      <w:szCs w:val="20"/>
    </w:rPr>
  </w:style>
  <w:style w:type="character" w:customStyle="1" w:styleId="CommentTextChar">
    <w:name w:val="Comment Text Char"/>
    <w:basedOn w:val="DefaultParagraphFont"/>
    <w:link w:val="CommentText"/>
    <w:uiPriority w:val="99"/>
    <w:semiHidden/>
    <w:rsid w:val="00EE7819"/>
    <w:rPr>
      <w:rFonts w:ascii="Times New Roman" w:hAnsi="Times New Roman"/>
      <w:sz w:val="20"/>
      <w:szCs w:val="20"/>
      <w:lang w:val="en-CA"/>
    </w:rPr>
  </w:style>
  <w:style w:type="paragraph" w:styleId="Footer">
    <w:name w:val="footer"/>
    <w:basedOn w:val="Normal"/>
    <w:link w:val="FooterChar"/>
    <w:uiPriority w:val="99"/>
    <w:unhideWhenUsed/>
    <w:rsid w:val="00EE78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7819"/>
    <w:rPr>
      <w:rFonts w:ascii="Times New Roman" w:hAnsi="Times New Roman"/>
      <w:sz w:val="24"/>
      <w:lang w:val="en-CA"/>
    </w:rPr>
  </w:style>
  <w:style w:type="character" w:customStyle="1" w:styleId="Heading2Char">
    <w:name w:val="Heading 2 Char"/>
    <w:basedOn w:val="DefaultParagraphFont"/>
    <w:link w:val="Heading2"/>
    <w:uiPriority w:val="9"/>
    <w:semiHidden/>
    <w:rsid w:val="00EE7819"/>
    <w:rPr>
      <w:rFonts w:asciiTheme="majorHAnsi" w:eastAsiaTheme="majorEastAsia" w:hAnsiTheme="majorHAnsi" w:cstheme="majorBidi"/>
      <w:color w:val="2E74B5" w:themeColor="accent1" w:themeShade="BF"/>
      <w:sz w:val="26"/>
      <w:szCs w:val="26"/>
      <w:lang w:val="en-CA"/>
    </w:rPr>
  </w:style>
  <w:style w:type="character" w:styleId="LineNumber">
    <w:name w:val="line number"/>
    <w:basedOn w:val="DefaultParagraphFont"/>
    <w:uiPriority w:val="99"/>
    <w:semiHidden/>
    <w:unhideWhenUsed/>
    <w:rsid w:val="00EE7819"/>
  </w:style>
  <w:style w:type="paragraph" w:styleId="BalloonText">
    <w:name w:val="Balloon Text"/>
    <w:basedOn w:val="Normal"/>
    <w:link w:val="BalloonTextChar"/>
    <w:uiPriority w:val="99"/>
    <w:semiHidden/>
    <w:unhideWhenUsed/>
    <w:rsid w:val="00EE78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7819"/>
    <w:rPr>
      <w:rFonts w:ascii="Segoe UI" w:hAnsi="Segoe UI" w:cs="Segoe UI"/>
      <w:sz w:val="18"/>
      <w:szCs w:val="18"/>
      <w:lang w:val="en-CA"/>
    </w:rPr>
  </w:style>
  <w:style w:type="paragraph" w:styleId="Header">
    <w:name w:val="header"/>
    <w:basedOn w:val="Normal"/>
    <w:link w:val="HeaderChar"/>
    <w:uiPriority w:val="99"/>
    <w:unhideWhenUsed/>
    <w:rsid w:val="00EE78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7819"/>
    <w:rPr>
      <w:rFonts w:ascii="Times New Roman" w:hAnsi="Times New Roman"/>
      <w:sz w:val="24"/>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Words>
  <Characters>1072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GoA</Company>
  <LinksUpToDate>false</LinksUpToDate>
  <CharactersWithSpaces>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Courtney Hughes</dc:creator>
  <cp:keywords/>
  <dc:description/>
  <cp:lastModifiedBy>Hannah McFarlane</cp:lastModifiedBy>
  <cp:revision>3</cp:revision>
  <dcterms:created xsi:type="dcterms:W3CDTF">2021-09-29T15:36:00Z</dcterms:created>
  <dcterms:modified xsi:type="dcterms:W3CDTF">2021-09-29T15:37:00Z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bf2ea38-542c-4b75-bd7d-582ec36a519f_Enabled">
    <vt:lpwstr>true</vt:lpwstr>
  </property>
  <property fmtid="{D5CDD505-2E9C-101B-9397-08002B2CF9AE}" pid="3" name="MSIP_Label_abf2ea38-542c-4b75-bd7d-582ec36a519f_SetDate">
    <vt:lpwstr>2021-04-15T20:23:03Z</vt:lpwstr>
  </property>
  <property fmtid="{D5CDD505-2E9C-101B-9397-08002B2CF9AE}" pid="4" name="MSIP_Label_abf2ea38-542c-4b75-bd7d-582ec36a519f_Method">
    <vt:lpwstr>Standard</vt:lpwstr>
  </property>
  <property fmtid="{D5CDD505-2E9C-101B-9397-08002B2CF9AE}" pid="5" name="MSIP_Label_abf2ea38-542c-4b75-bd7d-582ec36a519f_Name">
    <vt:lpwstr>Protected A</vt:lpwstr>
  </property>
  <property fmtid="{D5CDD505-2E9C-101B-9397-08002B2CF9AE}" pid="6" name="MSIP_Label_abf2ea38-542c-4b75-bd7d-582ec36a519f_SiteId">
    <vt:lpwstr>2bb51c06-af9b-42c5-8bf5-3c3b7b10850b</vt:lpwstr>
  </property>
  <property fmtid="{D5CDD505-2E9C-101B-9397-08002B2CF9AE}" pid="7" name="MSIP_Label_abf2ea38-542c-4b75-bd7d-582ec36a519f_ActionId">
    <vt:lpwstr>7df2744a-d4b7-4170-b9c8-8e5ba1ea29c8</vt:lpwstr>
  </property>
  <property fmtid="{D5CDD505-2E9C-101B-9397-08002B2CF9AE}" pid="8" name="MSIP_Label_abf2ea38-542c-4b75-bd7d-582ec36a519f_ContentBits">
    <vt:lpwstr>2</vt:lpwstr>
  </property>
</Properties>
</file>