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2FDE" w14:textId="77777777" w:rsidR="002303B8" w:rsidRPr="00C44510" w:rsidRDefault="002303B8" w:rsidP="002303B8">
      <w:pPr>
        <w:widowControl/>
        <w:suppressLineNumbers/>
        <w:wordWrap/>
        <w:autoSpaceDE/>
        <w:autoSpaceDN/>
        <w:spacing w:before="240" w:after="360" w:line="480" w:lineRule="auto"/>
        <w:jc w:val="center"/>
        <w:rPr>
          <w:rFonts w:ascii="Times New Roman" w:eastAsia="Malgun Gothic" w:hAnsi="Times New Roman" w:cs="Times New Roman"/>
          <w:b/>
          <w:kern w:val="0"/>
          <w:sz w:val="32"/>
          <w:szCs w:val="32"/>
          <w:lang w:eastAsia="en-US"/>
        </w:rPr>
      </w:pPr>
      <w:r w:rsidRPr="00C44510">
        <w:rPr>
          <w:rFonts w:ascii="Times New Roman" w:eastAsia="Malgun Gothic" w:hAnsi="Times New Roman" w:cs="Times New Roman"/>
          <w:b/>
          <w:kern w:val="0"/>
          <w:sz w:val="32"/>
          <w:szCs w:val="32"/>
          <w:lang w:eastAsia="en-US"/>
        </w:rPr>
        <w:t xml:space="preserve">Modulation of the Gut Microbiota by </w:t>
      </w:r>
      <w:proofErr w:type="spellStart"/>
      <w:r w:rsidRPr="00C44510">
        <w:rPr>
          <w:rFonts w:ascii="Times New Roman" w:eastAsia="Malgun Gothic" w:hAnsi="Times New Roman" w:cs="Times New Roman"/>
          <w:b/>
          <w:i/>
          <w:kern w:val="0"/>
          <w:sz w:val="32"/>
          <w:szCs w:val="32"/>
          <w:lang w:eastAsia="en-US"/>
        </w:rPr>
        <w:t>Sihocheonggan</w:t>
      </w:r>
      <w:proofErr w:type="spellEnd"/>
      <w:r w:rsidRPr="00C44510">
        <w:rPr>
          <w:rFonts w:ascii="Times New Roman" w:eastAsia="Malgun Gothic" w:hAnsi="Times New Roman" w:cs="Times New Roman"/>
          <w:b/>
          <w:kern w:val="0"/>
          <w:sz w:val="32"/>
          <w:szCs w:val="32"/>
          <w:lang w:eastAsia="en-US"/>
        </w:rPr>
        <w:t>-</w:t>
      </w:r>
      <w:r w:rsidRPr="00C44510">
        <w:rPr>
          <w:rFonts w:ascii="Times New Roman" w:eastAsia="Malgun Gothic" w:hAnsi="Times New Roman" w:cs="Times New Roman"/>
          <w:b/>
          <w:i/>
          <w:kern w:val="0"/>
          <w:sz w:val="32"/>
          <w:szCs w:val="32"/>
          <w:lang w:eastAsia="en-US"/>
        </w:rPr>
        <w:t>Tang</w:t>
      </w:r>
      <w:r w:rsidRPr="00C44510">
        <w:rPr>
          <w:rFonts w:ascii="Times New Roman" w:eastAsia="Malgun Gothic" w:hAnsi="Times New Roman" w:cs="Times New Roman"/>
          <w:b/>
          <w:kern w:val="0"/>
          <w:sz w:val="32"/>
          <w:szCs w:val="32"/>
          <w:lang w:eastAsia="en-US"/>
        </w:rPr>
        <w:t xml:space="preserve"> Shapes the Immune Responses of Atopic Dermatitis</w:t>
      </w:r>
    </w:p>
    <w:p w14:paraId="551A12EA" w14:textId="1CA9F893" w:rsidR="00D20CEB" w:rsidRPr="00C44510" w:rsidRDefault="00D20CEB" w:rsidP="00D20CEB">
      <w:pPr>
        <w:widowControl/>
        <w:wordWrap/>
        <w:autoSpaceDE/>
        <w:autoSpaceDN/>
        <w:spacing w:before="240" w:after="240" w:line="480" w:lineRule="auto"/>
        <w:jc w:val="left"/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</w:pPr>
      <w:bookmarkStart w:id="0" w:name="_Hlk79139972"/>
      <w:proofErr w:type="spellStart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Jaemoo</w:t>
      </w:r>
      <w:proofErr w:type="spellEnd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Chun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vertAlign w:val="superscript"/>
          <w:lang w:eastAsia="en-US"/>
        </w:rPr>
        <w:t>1#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, So Min Lee</w:t>
      </w:r>
      <w:r w:rsidRPr="00C44510">
        <w:rPr>
          <w:rFonts w:ascii="Times New Roman" w:eastAsia="Malgun Gothic" w:hAnsi="Times New Roman" w:cs="Times New Roman" w:hint="eastAsia"/>
          <w:b/>
          <w:kern w:val="0"/>
          <w:sz w:val="24"/>
          <w:szCs w:val="24"/>
          <w:vertAlign w:val="superscript"/>
        </w:rPr>
        <w:t>2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vertAlign w:val="superscript"/>
          <w:lang w:eastAsia="en-US"/>
        </w:rPr>
        <w:t>#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, You </w:t>
      </w:r>
      <w:proofErr w:type="spellStart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Mee</w:t>
      </w:r>
      <w:proofErr w:type="spellEnd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Ahn</w:t>
      </w:r>
      <w:r w:rsidRPr="00C44510">
        <w:rPr>
          <w:rFonts w:ascii="Times New Roman" w:eastAsia="Malgun Gothic" w:hAnsi="Times New Roman" w:cs="Times New Roman" w:hint="eastAsia"/>
          <w:b/>
          <w:kern w:val="0"/>
          <w:sz w:val="24"/>
          <w:szCs w:val="24"/>
          <w:vertAlign w:val="superscript"/>
        </w:rPr>
        <w:t>1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, Min-</w:t>
      </w:r>
      <w:proofErr w:type="spellStart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gyung</w:t>
      </w:r>
      <w:proofErr w:type="spellEnd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Baek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vertAlign w:val="superscript"/>
          <w:lang w:eastAsia="en-US"/>
        </w:rPr>
        <w:t>3,4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, Hana Yi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vertAlign w:val="superscript"/>
          <w:lang w:eastAsia="en-US"/>
        </w:rPr>
        <w:t>5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r w:rsidR="00743A4E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Shin Sarah</w:t>
      </w:r>
      <w:r w:rsidR="00743A4E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="00743A4E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Jeeyoun</w:t>
      </w:r>
      <w:proofErr w:type="spellEnd"/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 Jung</w:t>
      </w:r>
      <w:r w:rsidRPr="00C44510">
        <w:rPr>
          <w:rFonts w:ascii="Times New Roman" w:eastAsia="Malgun Gothic" w:hAnsi="Times New Roman" w:cs="Times New Roman" w:hint="eastAsia"/>
          <w:b/>
          <w:kern w:val="0"/>
          <w:sz w:val="24"/>
          <w:szCs w:val="24"/>
          <w:vertAlign w:val="superscript"/>
        </w:rPr>
        <w:t>1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*</w:t>
      </w:r>
    </w:p>
    <w:p w14:paraId="64547F2F" w14:textId="77777777" w:rsidR="00D20CEB" w:rsidRPr="00C44510" w:rsidRDefault="00D20CEB" w:rsidP="00D20CEB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w w:val="90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w w:val="90"/>
          <w:kern w:val="0"/>
          <w:sz w:val="24"/>
          <w:szCs w:val="24"/>
          <w:vertAlign w:val="superscript"/>
          <w:lang w:eastAsia="en-US"/>
        </w:rPr>
        <w:t>1</w:t>
      </w:r>
      <w:r w:rsidRPr="00C44510">
        <w:rPr>
          <w:rFonts w:ascii="Times New Roman" w:eastAsia="Malgun Gothic" w:hAnsi="Times New Roman" w:cs="Times New Roman"/>
          <w:w w:val="90"/>
          <w:kern w:val="0"/>
          <w:sz w:val="24"/>
          <w:lang w:eastAsia="en-US"/>
        </w:rPr>
        <w:t xml:space="preserve"> </w:t>
      </w:r>
      <w:r w:rsidRPr="00C44510">
        <w:rPr>
          <w:rFonts w:ascii="Times New Roman" w:eastAsia="Malgun Gothic" w:hAnsi="Times New Roman" w:cs="Times New Roman"/>
          <w:w w:val="90"/>
          <w:kern w:val="0"/>
          <w:sz w:val="24"/>
          <w:szCs w:val="24"/>
          <w:lang w:eastAsia="en-US"/>
        </w:rPr>
        <w:t>KM Science Research Division</w:t>
      </w:r>
      <w:r w:rsidRPr="00C44510">
        <w:rPr>
          <w:rFonts w:ascii="Times New Roman" w:eastAsia="Malgun Gothic" w:hAnsi="Times New Roman" w:cs="Times New Roman" w:hint="eastAsia"/>
          <w:w w:val="90"/>
          <w:kern w:val="0"/>
          <w:sz w:val="24"/>
          <w:szCs w:val="24"/>
          <w:lang w:eastAsia="en-US"/>
        </w:rPr>
        <w:t>, Korea Institute of Oriental Medicine, Daejeon 34054, Korea</w:t>
      </w:r>
    </w:p>
    <w:p w14:paraId="18A028A9" w14:textId="77777777" w:rsidR="00D20CEB" w:rsidRPr="00C44510" w:rsidRDefault="00D20CEB" w:rsidP="00D20CEB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w w:val="90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w w:val="90"/>
          <w:kern w:val="0"/>
          <w:sz w:val="24"/>
          <w:szCs w:val="24"/>
          <w:vertAlign w:val="superscript"/>
          <w:lang w:eastAsia="en-US"/>
        </w:rPr>
        <w:t>2</w:t>
      </w:r>
      <w:r w:rsidRPr="00C44510">
        <w:rPr>
          <w:rFonts w:ascii="Times New Roman" w:eastAsia="Malgun Gothic" w:hAnsi="Times New Roman" w:cs="Times New Roman"/>
          <w:w w:val="90"/>
          <w:kern w:val="0"/>
          <w:sz w:val="24"/>
          <w:lang w:eastAsia="en-US"/>
        </w:rPr>
        <w:t xml:space="preserve"> </w:t>
      </w:r>
      <w:r w:rsidRPr="00C44510">
        <w:rPr>
          <w:rFonts w:ascii="Times New Roman" w:eastAsia="Malgun Gothic" w:hAnsi="Times New Roman" w:cs="Times New Roman"/>
          <w:w w:val="90"/>
          <w:kern w:val="0"/>
          <w:sz w:val="24"/>
          <w:szCs w:val="24"/>
          <w:lang w:eastAsia="en-US"/>
        </w:rPr>
        <w:t>KM Convergence Research Division, Korea Institute of Oriental Medicine, Daejeon 34054, Korea</w:t>
      </w:r>
    </w:p>
    <w:bookmarkEnd w:id="0"/>
    <w:p w14:paraId="5344952A" w14:textId="77777777" w:rsidR="00D20CEB" w:rsidRPr="00C44510" w:rsidRDefault="00D20CEB" w:rsidP="00D20CEB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kern w:val="0"/>
          <w:sz w:val="24"/>
          <w:szCs w:val="24"/>
          <w:vertAlign w:val="superscript"/>
          <w:lang w:eastAsia="en-US"/>
        </w:rPr>
        <w:t>3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Interdisciplinary Program in Precision Public Health, Korea University, Seoul 02841, Korea</w:t>
      </w:r>
    </w:p>
    <w:p w14:paraId="091B47D3" w14:textId="77777777" w:rsidR="00D20CEB" w:rsidRPr="00C44510" w:rsidRDefault="00D20CEB" w:rsidP="00D20CEB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kern w:val="0"/>
          <w:sz w:val="24"/>
          <w:szCs w:val="24"/>
          <w:vertAlign w:val="superscript"/>
          <w:lang w:eastAsia="en-US"/>
        </w:rPr>
        <w:t>4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Department of Public Health Sciences, Korea University, Seoul 02841, Korea</w:t>
      </w:r>
    </w:p>
    <w:p w14:paraId="769F1BC7" w14:textId="77777777" w:rsidR="00D20CEB" w:rsidRPr="00C44510" w:rsidRDefault="00D20CEB" w:rsidP="00D20CEB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kern w:val="0"/>
          <w:sz w:val="24"/>
          <w:szCs w:val="24"/>
          <w:vertAlign w:val="superscript"/>
          <w:lang w:eastAsia="en-US"/>
        </w:rPr>
        <w:t>5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School of Biosystems and Biomedical Sciences, Korea University, Seoul 02841, Korea</w:t>
      </w:r>
    </w:p>
    <w:p w14:paraId="50F98EFD" w14:textId="77777777" w:rsidR="00D20CEB" w:rsidRPr="00C44510" w:rsidRDefault="00D20CEB" w:rsidP="00D20CEB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 xml:space="preserve">* Correspondence:  </w:t>
      </w:r>
      <w:r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br/>
      </w:r>
      <w:proofErr w:type="spellStart"/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Jeeyoun</w:t>
      </w:r>
      <w:proofErr w:type="spellEnd"/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Jung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br/>
        <w:t>jjy0918@kiom.re.kr</w:t>
      </w:r>
    </w:p>
    <w:p w14:paraId="313D42F9" w14:textId="39177CC3" w:rsidR="002303B8" w:rsidRPr="00C44510" w:rsidRDefault="002303B8" w:rsidP="002303B8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</w:p>
    <w:p w14:paraId="163F20A1" w14:textId="77777777" w:rsidR="002303B8" w:rsidRPr="00C44510" w:rsidRDefault="002303B8" w:rsidP="002303B8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</w:pPr>
    </w:p>
    <w:p w14:paraId="0ED36F9F" w14:textId="77777777" w:rsidR="002303B8" w:rsidRPr="00C44510" w:rsidRDefault="002303B8" w:rsidP="002303B8">
      <w:pPr>
        <w:widowControl/>
        <w:wordWrap/>
        <w:autoSpaceDE/>
        <w:autoSpaceDN/>
        <w:spacing w:before="240" w:after="0" w:line="48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# </w:t>
      </w:r>
      <w:r w:rsidRPr="00C44510">
        <w:rPr>
          <w:rFonts w:ascii="Times New Roman" w:eastAsia="Malgun Gothic" w:hAnsi="Times New Roman" w:cs="Times New Roman" w:hint="eastAsia"/>
          <w:kern w:val="0"/>
          <w:sz w:val="24"/>
          <w:szCs w:val="24"/>
          <w:lang w:eastAsia="en-US"/>
        </w:rPr>
        <w:t>T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hese authors contributed equally to this work</w:t>
      </w:r>
    </w:p>
    <w:p w14:paraId="138C0A5E" w14:textId="77777777" w:rsidR="00317F44" w:rsidRPr="00C44510" w:rsidRDefault="00317F44" w:rsidP="003D19EF">
      <w:pPr>
        <w:widowControl/>
        <w:wordWrap/>
        <w:autoSpaceDE/>
        <w:autoSpaceDN/>
        <w:rPr>
          <w:rFonts w:ascii="Times New Roman" w:hAnsi="Times New Roman" w:cs="Times New Roman"/>
          <w:b/>
          <w:kern w:val="0"/>
          <w:sz w:val="26"/>
          <w:szCs w:val="26"/>
        </w:rPr>
      </w:pPr>
    </w:p>
    <w:p w14:paraId="1F9286AA" w14:textId="77777777" w:rsidR="00A53C3D" w:rsidRPr="00C44510" w:rsidRDefault="00A53C3D">
      <w:pPr>
        <w:widowControl/>
        <w:wordWrap/>
        <w:autoSpaceDE/>
        <w:autoSpaceDN/>
        <w:rPr>
          <w:rFonts w:ascii="Times New Roman" w:hAnsi="Times New Roman" w:cs="Times New Roman"/>
          <w:b/>
          <w:kern w:val="0"/>
          <w:sz w:val="26"/>
          <w:szCs w:val="26"/>
        </w:rPr>
      </w:pPr>
      <w:r w:rsidRPr="00C44510">
        <w:rPr>
          <w:rFonts w:ascii="Times New Roman" w:hAnsi="Times New Roman" w:cs="Times New Roman"/>
          <w:b/>
          <w:kern w:val="0"/>
          <w:sz w:val="26"/>
          <w:szCs w:val="26"/>
        </w:rPr>
        <w:br w:type="page"/>
      </w:r>
    </w:p>
    <w:p w14:paraId="692D15B6" w14:textId="49C18184" w:rsidR="003D19EF" w:rsidRPr="00C44510" w:rsidRDefault="003D19EF" w:rsidP="003D19EF">
      <w:pPr>
        <w:widowControl/>
        <w:wordWrap/>
        <w:autoSpaceDE/>
        <w:autoSpaceDN/>
        <w:rPr>
          <w:rFonts w:ascii="Times New Roman" w:hAnsi="Times New Roman" w:cs="Times New Roman"/>
          <w:b/>
          <w:kern w:val="0"/>
          <w:sz w:val="26"/>
          <w:szCs w:val="26"/>
        </w:rPr>
      </w:pPr>
      <w:r w:rsidRPr="00C44510">
        <w:rPr>
          <w:rFonts w:ascii="Times New Roman" w:hAnsi="Times New Roman" w:cs="Times New Roman"/>
          <w:b/>
          <w:kern w:val="0"/>
          <w:sz w:val="26"/>
          <w:szCs w:val="26"/>
        </w:rPr>
        <w:lastRenderedPageBreak/>
        <w:t>Supplementary Methods</w:t>
      </w:r>
    </w:p>
    <w:p w14:paraId="51DD1C54" w14:textId="6E7AD9E5" w:rsidR="00B00A30" w:rsidRPr="00C44510" w:rsidRDefault="003D19EF" w:rsidP="003D19EF">
      <w:pPr>
        <w:wordWrap/>
        <w:adjustRightInd w:val="0"/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4510">
        <w:rPr>
          <w:rFonts w:ascii="Times New Roman" w:hAnsi="Times New Roman" w:cs="Times New Roman"/>
          <w:b/>
          <w:i/>
          <w:sz w:val="24"/>
          <w:szCs w:val="24"/>
        </w:rPr>
        <w:br/>
      </w:r>
      <w:r w:rsidR="00B00A30" w:rsidRPr="00C44510">
        <w:rPr>
          <w:rFonts w:ascii="Times New Roman" w:hAnsi="Times New Roman" w:cs="Times New Roman"/>
          <w:b/>
          <w:i/>
          <w:sz w:val="24"/>
          <w:szCs w:val="24"/>
        </w:rPr>
        <w:t xml:space="preserve">Preparation of the </w:t>
      </w:r>
      <w:r w:rsidR="00B00A30" w:rsidRPr="00C44510">
        <w:rPr>
          <w:rFonts w:ascii="Times New Roman" w:hAnsi="Times New Roman" w:cs="Times New Roman" w:hint="eastAsia"/>
          <w:b/>
          <w:i/>
          <w:sz w:val="24"/>
          <w:szCs w:val="24"/>
        </w:rPr>
        <w:t>SHCG-tang</w:t>
      </w:r>
    </w:p>
    <w:p w14:paraId="24C303C3" w14:textId="15EC68A8" w:rsidR="00B00A30" w:rsidRPr="00C44510" w:rsidRDefault="00D718F0" w:rsidP="003D19EF">
      <w:pPr>
        <w:wordWrap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44510">
        <w:rPr>
          <w:rFonts w:ascii="Times New Roman" w:hAnsi="Times New Roman" w:cs="Times New Roman"/>
          <w:sz w:val="24"/>
          <w:szCs w:val="24"/>
        </w:rPr>
        <w:t xml:space="preserve">SHCGT was purchased from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Hanpoong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Pharm &amp; Foods Co. Ltd. (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Jeonju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, Republic of Korea). The SHCG-tang was prepared by extracting a mixture of fifteen types of dried medicinal herbs, which included the following: 0.67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Bupleuri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Forsythiae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Fructus,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Cnidium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officinale,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Trichosanthis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Scutellariae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Gardeniae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Fructus,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Paeoniae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Arctii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Fructus,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Coptidis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Rhizoma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Angelicae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Gigantis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Platycodi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Rehmanniae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Preparat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Menthae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Phellodendri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Cortex, 0.5 g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Glycyrrhizae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Radix. Briefly, The SHCGT comprising fifteen herbal medicines was mixed and extracted in a 10-fold mass in distilled water at 100°C for 2 h. The aqueous extract was filtered by pressing through a filter (10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pore size), and then the solution was evaporated and freeze-dried to give a powder. The amount of SHCGT powder was 1.32 g (extract yield: 17.2%), which was then stored at 4˚C until use.</w:t>
      </w:r>
      <w:r w:rsidR="00AC2888" w:rsidRPr="00C44510">
        <w:rPr>
          <w:rFonts w:ascii="Times New Roman" w:hAnsi="Times New Roman" w:cs="Times New Roman"/>
          <w:sz w:val="24"/>
          <w:szCs w:val="24"/>
        </w:rPr>
        <w:t xml:space="preserve"> The details about species of fifteen herbal medicines were described in </w:t>
      </w:r>
      <w:r w:rsidR="00AC2888" w:rsidRPr="00C44510">
        <w:rPr>
          <w:rFonts w:ascii="Times New Roman" w:hAnsi="Times New Roman" w:cs="Times New Roman"/>
          <w:b/>
          <w:sz w:val="24"/>
          <w:szCs w:val="24"/>
        </w:rPr>
        <w:t>Supplementary Table 1.</w:t>
      </w:r>
    </w:p>
    <w:p w14:paraId="58FBC270" w14:textId="4D5F231F" w:rsidR="00B00A30" w:rsidRPr="00C44510" w:rsidRDefault="00B00A30" w:rsidP="003D19EF">
      <w:pPr>
        <w:wordWrap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D32D55" w14:textId="77777777" w:rsidR="00B00A30" w:rsidRPr="00C44510" w:rsidRDefault="00B00A30" w:rsidP="003D19EF">
      <w:pPr>
        <w:wordWrap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A6E17B" w14:textId="2A94AD24" w:rsidR="003D19EF" w:rsidRPr="00C44510" w:rsidRDefault="003D19EF" w:rsidP="003D19EF">
      <w:pPr>
        <w:wordWrap/>
        <w:adjustRightInd w:val="0"/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4510">
        <w:rPr>
          <w:rFonts w:ascii="Times New Roman" w:hAnsi="Times New Roman" w:cs="Times New Roman"/>
          <w:b/>
          <w:i/>
          <w:sz w:val="24"/>
          <w:szCs w:val="24"/>
        </w:rPr>
        <w:t xml:space="preserve">UPLC/Q-TOF MS Analysis of </w:t>
      </w:r>
      <w:r w:rsidRPr="00C44510">
        <w:rPr>
          <w:rFonts w:ascii="Times New Roman" w:hAnsi="Times New Roman" w:cs="Times New Roman" w:hint="eastAsia"/>
          <w:b/>
          <w:i/>
          <w:sz w:val="24"/>
          <w:szCs w:val="24"/>
        </w:rPr>
        <w:t>SHCG-tang</w:t>
      </w:r>
    </w:p>
    <w:p w14:paraId="716172C9" w14:textId="77777777" w:rsidR="003D19EF" w:rsidRPr="00C44510" w:rsidRDefault="003D19EF" w:rsidP="003D19EF">
      <w:pPr>
        <w:wordWrap/>
        <w:adjustRightInd w:val="0"/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We performed </w:t>
      </w:r>
      <w:r w:rsidRPr="00C44510">
        <w:rPr>
          <w:rFonts w:ascii="Times New Roman" w:hAnsi="Times New Roman" w:cs="Times New Roman"/>
          <w:spacing w:val="3"/>
          <w:sz w:val="24"/>
          <w:szCs w:val="24"/>
        </w:rPr>
        <w:t xml:space="preserve">UPLC 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(Waters Corp., Milford, MS, USA)</w:t>
      </w:r>
      <w:r w:rsidRPr="00C44510">
        <w:rPr>
          <w:rFonts w:ascii="Times New Roman" w:hAnsi="Times New Roman" w:cs="Times New Roman"/>
          <w:spacing w:val="3"/>
          <w:sz w:val="24"/>
          <w:szCs w:val="24"/>
        </w:rPr>
        <w:t xml:space="preserve"> combined with Q-TOF MS</w:t>
      </w: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 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(impact HD; Bruker, Bremen, Germany) </w:t>
      </w: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analysis to verify the chemical components of the </w:t>
      </w:r>
      <w:r w:rsidRPr="00C44510">
        <w:rPr>
          <w:rFonts w:ascii="Times New Roman" w:hAnsi="Times New Roman" w:cs="Times New Roman" w:hint="eastAsia"/>
          <w:sz w:val="24"/>
          <w:szCs w:val="24"/>
        </w:rPr>
        <w:t>SHCG</w:t>
      </w: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>-tang (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Fig. S1)</w:t>
      </w: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. </w:t>
      </w:r>
      <w:r w:rsidRPr="00C44510">
        <w:rPr>
          <w:rFonts w:ascii="Times New Roman" w:hAnsi="Times New Roman" w:cs="Times New Roman"/>
          <w:sz w:val="24"/>
          <w:szCs w:val="24"/>
        </w:rPr>
        <w:t xml:space="preserve">The power of </w:t>
      </w:r>
      <w:r w:rsidRPr="00C44510">
        <w:rPr>
          <w:rFonts w:ascii="Times New Roman" w:hAnsi="Times New Roman" w:cs="Times New Roman" w:hint="eastAsia"/>
          <w:sz w:val="24"/>
          <w:szCs w:val="24"/>
        </w:rPr>
        <w:t>SHCG</w:t>
      </w:r>
      <w:r w:rsidRPr="00C44510">
        <w:rPr>
          <w:rFonts w:ascii="Times New Roman" w:hAnsi="Times New Roman" w:cs="Times New Roman"/>
          <w:sz w:val="24"/>
          <w:szCs w:val="24"/>
        </w:rPr>
        <w:t xml:space="preserve">T (10 mg) was mixed with 1 mL methanol-water solution (50:50, </w:t>
      </w:r>
      <w:r w:rsidRPr="00C44510">
        <w:rPr>
          <w:rFonts w:ascii="Times New Roman" w:hAnsi="Times New Roman" w:cs="Times New Roman"/>
          <w:i/>
          <w:sz w:val="24"/>
          <w:szCs w:val="24"/>
        </w:rPr>
        <w:t>v/v</w:t>
      </w:r>
      <w:r w:rsidRPr="00C44510">
        <w:rPr>
          <w:rFonts w:ascii="Times New Roman" w:hAnsi="Times New Roman" w:cs="Times New Roman"/>
          <w:sz w:val="24"/>
          <w:szCs w:val="24"/>
        </w:rPr>
        <w:t xml:space="preserve">) was added. The sample was vortexed for 1 min and then centrifuged at 12,500 </w:t>
      </w:r>
      <w:r w:rsidRPr="00C44510">
        <w:rPr>
          <w:rFonts w:ascii="Times New Roman" w:hAnsi="Times New Roman" w:cs="Times New Roman"/>
          <w:i/>
          <w:sz w:val="24"/>
          <w:szCs w:val="24"/>
        </w:rPr>
        <w:t>g</w:t>
      </w:r>
      <w:r w:rsidRPr="00C44510">
        <w:rPr>
          <w:rFonts w:ascii="Times New Roman" w:hAnsi="Times New Roman" w:cs="Times New Roman"/>
          <w:sz w:val="24"/>
          <w:szCs w:val="24"/>
        </w:rPr>
        <w:t xml:space="preserve"> and 25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°C</w:t>
      </w:r>
      <w:r w:rsidRPr="00C44510">
        <w:rPr>
          <w:rFonts w:ascii="Times New Roman" w:hAnsi="Times New Roman" w:cs="Times New Roman"/>
          <w:sz w:val="24"/>
          <w:szCs w:val="24"/>
        </w:rPr>
        <w:t xml:space="preserve"> for 20 min. The supernatant was collected and filtered using a </w:t>
      </w:r>
      <w:proofErr w:type="spellStart"/>
      <w:r w:rsidRPr="00C44510">
        <w:rPr>
          <w:rFonts w:ascii="Times New Roman" w:eastAsia="Arial Unicode MS" w:hAnsi="Times New Roman" w:cs="Times New Roman"/>
          <w:sz w:val="24"/>
          <w:szCs w:val="24"/>
        </w:rPr>
        <w:t>Millex</w:t>
      </w:r>
      <w:proofErr w:type="spellEnd"/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®-LG filter with a 0.20 </w:t>
      </w:r>
      <w:proofErr w:type="spellStart"/>
      <w:r w:rsidRPr="00C44510">
        <w:rPr>
          <w:rFonts w:ascii="Times New Roman" w:eastAsia="Arial Unicode MS" w:hAnsi="Times New Roman" w:cs="Times New Roman"/>
          <w:sz w:val="24"/>
          <w:szCs w:val="24"/>
        </w:rPr>
        <w:t>μm</w:t>
      </w:r>
      <w:proofErr w:type="spellEnd"/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pore size (Millipore, Billerica, MA, USA).</w:t>
      </w:r>
      <w:r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A UPLC BEH C18 column (100</w:t>
      </w:r>
      <m:oMath>
        <m:r>
          <m:rPr>
            <m:sty m:val="p"/>
          </m:rPr>
          <w:rPr>
            <w:rFonts w:ascii="Cambria Math" w:eastAsia="Arial Unicode MS" w:hAnsi="Cambria Math" w:cs="Times New Roman"/>
            <w:sz w:val="24"/>
            <w:szCs w:val="24"/>
          </w:rPr>
          <m:t xml:space="preserve"> ×</m:t>
        </m:r>
      </m:oMath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2.1 mm, 1.7 </w:t>
      </w:r>
      <w:proofErr w:type="spellStart"/>
      <w:r w:rsidRPr="00C44510">
        <w:rPr>
          <w:rFonts w:ascii="Times New Roman" w:eastAsia="Arial Unicode MS" w:hAnsi="Times New Roman" w:cs="Times New Roman"/>
          <w:sz w:val="24"/>
          <w:szCs w:val="24"/>
        </w:rPr>
        <w:lastRenderedPageBreak/>
        <w:t>μm</w:t>
      </w:r>
      <w:proofErr w:type="spellEnd"/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particle size; Waters Corp., Milford, MA, USA) was used to separate the </w:t>
      </w:r>
      <w:r w:rsidRPr="00C44510">
        <w:rPr>
          <w:rFonts w:ascii="Times New Roman" w:hAnsi="Times New Roman" w:cs="Times New Roman" w:hint="eastAsia"/>
          <w:sz w:val="24"/>
          <w:szCs w:val="24"/>
        </w:rPr>
        <w:t>SHCG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T at 40°C. The mobile phase consisted of water with 0.1% (</w:t>
      </w:r>
      <w:r w:rsidRPr="00C44510">
        <w:rPr>
          <w:rFonts w:ascii="Times New Roman" w:eastAsia="Arial Unicode MS" w:hAnsi="Times New Roman" w:cs="Times New Roman"/>
          <w:i/>
          <w:sz w:val="24"/>
          <w:szCs w:val="24"/>
        </w:rPr>
        <w:t>v/v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) formic acid (solvent A) and acetonitrile with 0.1% (</w:t>
      </w:r>
      <w:r w:rsidRPr="00C44510">
        <w:rPr>
          <w:rFonts w:ascii="Times New Roman" w:eastAsia="Arial Unicode MS" w:hAnsi="Times New Roman" w:cs="Times New Roman"/>
          <w:i/>
          <w:sz w:val="24"/>
          <w:szCs w:val="24"/>
        </w:rPr>
        <w:t>v/v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) formic acid (solvent B). The flow rate was set to 0.45 mL/min for the total 20 min run time. </w:t>
      </w:r>
      <w:r w:rsidRPr="00C44510">
        <w:rPr>
          <w:rFonts w:ascii="Times New Roman" w:hAnsi="Times New Roman" w:cs="Times New Roman"/>
          <w:sz w:val="24"/>
          <w:szCs w:val="24"/>
        </w:rPr>
        <w:t xml:space="preserve">The linear gradient of UPLC was as follows: 5% B for 2 min, 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5% to 30% B from 2 min to 10 min, 30% to 50% B from 10 min to 14 min, 50% to 99% B from 14 min to 16 min, 99% B from 16 min to 18 min, 5% B from 18 min to 20 min. The injection volume of each standard or </w:t>
      </w:r>
      <w:r w:rsidRPr="00C44510">
        <w:rPr>
          <w:rFonts w:ascii="Times New Roman" w:hAnsi="Times New Roman" w:cs="Times New Roman" w:hint="eastAsia"/>
          <w:sz w:val="24"/>
          <w:szCs w:val="24"/>
        </w:rPr>
        <w:t>SHCG</w:t>
      </w: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>T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sample was 3 </w:t>
      </w:r>
      <w:proofErr w:type="spellStart"/>
      <w:r w:rsidRPr="00C44510">
        <w:rPr>
          <w:rFonts w:ascii="Times New Roman" w:eastAsia="Arial Unicode MS" w:hAnsi="Times New Roman" w:cs="Times New Roman"/>
          <w:sz w:val="24"/>
          <w:szCs w:val="24"/>
        </w:rPr>
        <w:t>μL</w:t>
      </w:r>
      <w:proofErr w:type="spellEnd"/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. The mass spectrometer was operated in positive ionization mode with a mass range of </w:t>
      </w:r>
      <w:r w:rsidRPr="00C44510">
        <w:rPr>
          <w:rFonts w:ascii="Times New Roman" w:eastAsia="Arial Unicode MS" w:hAnsi="Times New Roman" w:cs="Times New Roman"/>
          <w:i/>
          <w:sz w:val="24"/>
          <w:szCs w:val="24"/>
        </w:rPr>
        <w:t>m/z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50 to 1000 at a sampling rate of 3 Hz. The MS parameters were set as follows: capillary voltage, +4500 V; end plate offset, 500 V; nebulizer gas, 1.5 bar; dry gas, 5 L/min at 250°C. Nitrogen was used as the drying, nebulizing, and collision gas. The MS/MS analyses were acquired by automatic fragmentation with a cycle time of 3 s. </w:t>
      </w:r>
    </w:p>
    <w:p w14:paraId="427D6C00" w14:textId="3B7FEB5B" w:rsidR="009D6245" w:rsidRPr="00C44510" w:rsidRDefault="003D19EF" w:rsidP="003D19EF">
      <w:pPr>
        <w:wordWrap/>
        <w:adjustRightInd w:val="0"/>
        <w:spacing w:after="0" w:line="480" w:lineRule="auto"/>
        <w:ind w:firstLine="800"/>
        <w:rPr>
          <w:rFonts w:ascii="Times New Roman" w:eastAsia="Arial Unicode MS" w:hAnsi="Times New Roman" w:cs="Times New Roman"/>
          <w:sz w:val="24"/>
          <w:szCs w:val="24"/>
        </w:rPr>
      </w:pP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The UPLC/Q-TOF MS data were processed using MS-Dial </w:t>
      </w:r>
      <w:proofErr w:type="gramStart"/>
      <w:r w:rsidRPr="00C44510">
        <w:rPr>
          <w:rFonts w:ascii="Times New Roman" w:eastAsia="Arial Unicode MS" w:hAnsi="Times New Roman" w:cs="Times New Roman"/>
          <w:sz w:val="24"/>
          <w:szCs w:val="24"/>
        </w:rPr>
        <w:t>and also</w:t>
      </w:r>
      <w:proofErr w:type="gramEnd"/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identified </w:t>
      </w: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chemical components of the </w:t>
      </w:r>
      <w:r w:rsidRPr="00C44510">
        <w:rPr>
          <w:rFonts w:ascii="Times New Roman" w:hAnsi="Times New Roman" w:cs="Times New Roman" w:hint="eastAsia"/>
          <w:sz w:val="24"/>
          <w:szCs w:val="24"/>
        </w:rPr>
        <w:t>SHCG</w:t>
      </w:r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T based on the retention time, m/z, and the MS fragment pattern using in all publicly available mass spectral databases obtained from RIKEN (http://prime.psc.riken.jp/Metabolomics_Software/MS-DIAL/) which includes MS/MS records of </w:t>
      </w:r>
      <w:proofErr w:type="spellStart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>MassBank</w:t>
      </w:r>
      <w:proofErr w:type="spellEnd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>ReSpect</w:t>
      </w:r>
      <w:proofErr w:type="spellEnd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, GNP, </w:t>
      </w:r>
      <w:proofErr w:type="spellStart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>Fiehn</w:t>
      </w:r>
      <w:proofErr w:type="spellEnd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 HILIC, CASMI2016, RIKEN </w:t>
      </w:r>
      <w:proofErr w:type="spellStart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>PlaSMA</w:t>
      </w:r>
      <w:proofErr w:type="spellEnd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 authentic standards, RIKEN </w:t>
      </w:r>
      <w:proofErr w:type="spellStart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>PlaSMA</w:t>
      </w:r>
      <w:proofErr w:type="spellEnd"/>
      <w:r w:rsidRPr="00C44510">
        <w:rPr>
          <w:rFonts w:ascii="Times New Roman" w:eastAsia="DotumChe" w:hAnsi="Times New Roman" w:cs="Times New Roman"/>
          <w:kern w:val="0"/>
          <w:sz w:val="24"/>
          <w:szCs w:val="24"/>
        </w:rPr>
        <w:t xml:space="preserve"> bio-MS/MS 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[</w:t>
      </w:r>
      <w:r w:rsidR="00D84010" w:rsidRPr="00C44510">
        <w:rPr>
          <w:rFonts w:ascii="Times New Roman" w:eastAsia="Arial Unicode MS" w:hAnsi="Times New Roman" w:cs="Times New Roman"/>
          <w:sz w:val="24"/>
          <w:szCs w:val="24"/>
        </w:rPr>
        <w:t>1</w:t>
      </w:r>
      <w:r w:rsidR="004D416F" w:rsidRPr="00C44510">
        <w:rPr>
          <w:rFonts w:ascii="Times New Roman" w:eastAsia="Arial Unicode MS" w:hAnsi="Times New Roman" w:cs="Times New Roman"/>
          <w:sz w:val="24"/>
          <w:szCs w:val="24"/>
        </w:rPr>
        <w:t>]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574C2DF" w14:textId="77777777" w:rsidR="009D6245" w:rsidRPr="00C44510" w:rsidRDefault="009D6245">
      <w:pPr>
        <w:widowControl/>
        <w:wordWrap/>
        <w:autoSpaceDE/>
        <w:autoSpaceDN/>
        <w:rPr>
          <w:rFonts w:ascii="Times New Roman" w:eastAsia="Arial Unicode MS" w:hAnsi="Times New Roman" w:cs="Times New Roman"/>
          <w:sz w:val="24"/>
          <w:szCs w:val="24"/>
        </w:rPr>
      </w:pPr>
      <w:r w:rsidRPr="00C44510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14:paraId="2D65F54A" w14:textId="13A97716" w:rsidR="003D19EF" w:rsidRPr="00C44510" w:rsidRDefault="009D6245" w:rsidP="009D6245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C44510">
        <w:rPr>
          <w:rFonts w:ascii="Times New Roman" w:hAnsi="Times New Roman" w:cs="Times New Roman"/>
          <w:b/>
          <w:kern w:val="0"/>
          <w:sz w:val="26"/>
          <w:szCs w:val="26"/>
        </w:rPr>
        <w:lastRenderedPageBreak/>
        <w:t>Supplementary Results</w:t>
      </w:r>
    </w:p>
    <w:p w14:paraId="674A3F90" w14:textId="70BDFBBC" w:rsidR="009D6245" w:rsidRPr="00C44510" w:rsidRDefault="009D6245" w:rsidP="009D6245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44510">
        <w:rPr>
          <w:rFonts w:ascii="Times New Roman" w:hAnsi="Times New Roman" w:cs="Times New Roman" w:hint="eastAsia"/>
          <w:b/>
          <w:sz w:val="24"/>
          <w:szCs w:val="24"/>
        </w:rPr>
        <w:t xml:space="preserve">SHCGT alleviated the atopic dermatitis </w:t>
      </w:r>
      <w:r w:rsidRPr="00C44510">
        <w:rPr>
          <w:rFonts w:ascii="Times New Roman" w:hAnsi="Times New Roman" w:cs="Times New Roman"/>
          <w:b/>
          <w:sz w:val="24"/>
          <w:szCs w:val="24"/>
        </w:rPr>
        <w:t>in dose-dependent manners</w:t>
      </w:r>
    </w:p>
    <w:p w14:paraId="54DE74BE" w14:textId="30D17B7C" w:rsidR="009D6245" w:rsidRPr="00C44510" w:rsidRDefault="009D6245" w:rsidP="009D6245">
      <w:pPr>
        <w:widowControl/>
        <w:wordWrap/>
        <w:autoSpaceDE/>
        <w:autoSpaceDN/>
        <w:spacing w:before="120" w:after="240" w:line="48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To investigate the dose-dependent effect of SHCGT on AD, we </w:t>
      </w:r>
      <w:r w:rsidR="00030D67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conducted additional experiments (#21-072). 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DNCB was regularly applied to the dorsal skin of BALB/c mice, and low (313</w:t>
      </w:r>
      <w:r w:rsidR="00C92C4F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mg/kg) and high dose (625</w:t>
      </w:r>
      <w:r w:rsidR="00C92C4F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mg/kg) of SHCGT </w:t>
      </w:r>
      <w:r w:rsidR="00C92C4F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were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administered orally daily for 2 weeks</w:t>
      </w:r>
      <w:r w:rsidR="00030D67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[Sham (n=5), AD (n=5), </w:t>
      </w:r>
      <w:proofErr w:type="spellStart"/>
      <w:r w:rsidR="00030D67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AD+SHCGT_L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ow</w:t>
      </w:r>
      <w:proofErr w:type="spellEnd"/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dose</w:t>
      </w:r>
      <w:r w:rsidR="00030D67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(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L</w:t>
      </w:r>
      <w:r w:rsidR="00030D67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ow-dose SHCGT treated AD mice, n=5), </w:t>
      </w:r>
      <w:proofErr w:type="spellStart"/>
      <w:r w:rsidR="00030D67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AD+SHCGT_H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igh</w:t>
      </w:r>
      <w:proofErr w:type="spellEnd"/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dose</w:t>
      </w:r>
      <w:r w:rsidR="00030D67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(High-dose SHCGT treated AD mice, n=5)]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. On days 7–21, atopic dermatitis index (ADI) scores were significantly higher in BALB/c mice treated with DNCB than in sham mice (</w:t>
      </w:r>
      <w:r w:rsidR="00997D4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A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). </w:t>
      </w:r>
      <w:r w:rsidRPr="00C44510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O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n days 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14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-21, ADI </w:t>
      </w:r>
      <w:r w:rsidR="001C56D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indices 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were significantly reduced in 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the 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low-dose, and high-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dose SHCGT treated AD group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s (</w:t>
      </w:r>
      <w:r w:rsidR="00895C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A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).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</w:p>
    <w:p w14:paraId="392CE28D" w14:textId="630452B8" w:rsidR="00123263" w:rsidRPr="00C44510" w:rsidRDefault="00443210" w:rsidP="00030D67">
      <w:pPr>
        <w:widowControl/>
        <w:wordWrap/>
        <w:autoSpaceDE/>
        <w:autoSpaceDN/>
        <w:spacing w:before="120" w:after="240" w:line="480" w:lineRule="auto"/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</w:pP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The percentage of neutrophils was significantly higher in AD group than those in Sham group, whereas high dose of SHCGT treated AD group</w:t>
      </w:r>
      <w:r w:rsidR="00997D4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(p=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0.07) showed the </w:t>
      </w:r>
      <w:proofErr w:type="gramStart"/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decrease</w:t>
      </w:r>
      <w:proofErr w:type="gramEnd"/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tendency compared to AD group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(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A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)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. The </w:t>
      </w:r>
      <w:proofErr w:type="spellStart"/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IgE</w:t>
      </w:r>
      <w:proofErr w:type="spellEnd"/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levels 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were also significantly lower </w:t>
      </w:r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in 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the </w:t>
      </w:r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low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-dose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,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and high dose of SHCGT treated AD groups than in AD group (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A</w:t>
      </w:r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). 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In addition, </w:t>
      </w:r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SHCGT decreased the corticosterone levels 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of AD </w:t>
      </w:r>
      <w:r w:rsidR="00895C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mice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</w:t>
      </w:r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>in dose-dependent manners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 (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A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)</w:t>
      </w:r>
      <w:r w:rsidR="009D6245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. </w:t>
      </w:r>
    </w:p>
    <w:p w14:paraId="297B7DD3" w14:textId="259E784D" w:rsidR="00443210" w:rsidRPr="00C44510" w:rsidRDefault="00030D67" w:rsidP="00443210">
      <w:pPr>
        <w:widowControl/>
        <w:wordWrap/>
        <w:autoSpaceDE/>
        <w:autoSpaceDN/>
        <w:spacing w:before="120" w:after="240" w:line="480" w:lineRule="auto"/>
        <w:rPr>
          <w:rFonts w:ascii="Times New Roman" w:eastAsia="Malgun Gothic" w:hAnsi="Times New Roman" w:cs="Times New Roman"/>
          <w:kern w:val="0"/>
          <w:sz w:val="24"/>
          <w:szCs w:val="24"/>
        </w:rPr>
      </w:pPr>
      <w:r w:rsidRPr="00C44510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>F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urthermore, the 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decreasing trend of Th2 and Th1 cytokines, 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including IL-4, IL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-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10, TNF-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α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, and INF-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γ</w:t>
      </w:r>
      <w:r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in the spleen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, showed a more clearly SHCGT dose-dependent change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(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B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)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. The levels of IL-10, TNF-α, and INF-γ of AD mice were significantly increased compared to those of Sham mice. The low-dose of SHCGT significantly decreased the IL-4 and TNF-α</w:t>
      </w:r>
      <w:r w:rsidR="001C56D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compared to 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AD mice, whereas the high-dose of SHCGT significantly reduced the IL-4, IL-10 and TNF-α 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in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AD mice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(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B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)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.</w:t>
      </w:r>
      <w:r w:rsidR="00997D4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In </w:t>
      </w:r>
      <w:r w:rsidR="00997D4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lastRenderedPageBreak/>
        <w:t>addition, there were no significant difference</w:t>
      </w:r>
      <w:r w:rsidR="001C56D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s</w:t>
      </w:r>
      <w:r w:rsidR="00997D4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in INF-γ between Sham and high-dose SHCGT</w:t>
      </w:r>
      <w:r w:rsidR="00C77E94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</w:t>
      </w:r>
      <w:r w:rsidR="00997D4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treated AD mice, whereas AD and low-dose SHCGT treated AD mice had significantly higher levels of INF-γ than 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the </w:t>
      </w:r>
      <w:r w:rsidR="00997D4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>Sham mice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(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Supplementary Figure 2</w:t>
      </w:r>
      <w:r w:rsidR="001C56D4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B</w:t>
      </w:r>
      <w:r w:rsidR="00123263" w:rsidRPr="00C44510">
        <w:rPr>
          <w:rFonts w:ascii="Times New Roman" w:eastAsia="Malgun Gothic" w:hAnsi="Times New Roman" w:cs="Times New Roman"/>
          <w:b/>
          <w:kern w:val="0"/>
          <w:sz w:val="24"/>
          <w:szCs w:val="24"/>
          <w:lang w:eastAsia="en-US"/>
        </w:rPr>
        <w:t>)</w:t>
      </w:r>
      <w:r w:rsidR="00997D43" w:rsidRPr="00C44510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. </w:t>
      </w:r>
    </w:p>
    <w:p w14:paraId="3834B0BC" w14:textId="586CDD7C" w:rsidR="00933514" w:rsidRPr="00C44510" w:rsidRDefault="00933514">
      <w:pPr>
        <w:widowControl/>
        <w:wordWrap/>
        <w:autoSpaceDE/>
        <w:autoSpaceDN/>
        <w:rPr>
          <w:rFonts w:ascii="Times New Roman" w:eastAsia="Arial Unicode MS" w:hAnsi="Times New Roman" w:cs="Times New Roman"/>
          <w:sz w:val="24"/>
          <w:szCs w:val="24"/>
        </w:rPr>
      </w:pPr>
      <w:r w:rsidRPr="00C44510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14:paraId="14EEC4A2" w14:textId="28AAB40A" w:rsidR="003D19EF" w:rsidRPr="00C44510" w:rsidRDefault="00A53C3D" w:rsidP="009D61D7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44510">
        <w:rPr>
          <w:noProof/>
          <w:szCs w:val="28"/>
        </w:rPr>
        <w:lastRenderedPageBreak/>
        <w:drawing>
          <wp:inline distT="0" distB="0" distL="0" distR="0" wp14:anchorId="26E519D1" wp14:editId="7CABFCC3">
            <wp:extent cx="5713095" cy="3435607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80982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58" cy="344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0B8C0" w14:textId="47B85CAB" w:rsidR="00800743" w:rsidRPr="00C44510" w:rsidRDefault="003D19EF" w:rsidP="003D19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4510">
        <w:rPr>
          <w:rFonts w:ascii="Times New Roman" w:hAnsi="Times New Roman" w:cs="Times New Roman" w:hint="eastAsia"/>
          <w:b/>
          <w:sz w:val="24"/>
          <w:szCs w:val="24"/>
        </w:rPr>
        <w:t>Figure S</w:t>
      </w:r>
      <w:r w:rsidR="00646013" w:rsidRPr="00C44510">
        <w:rPr>
          <w:rFonts w:ascii="Times New Roman" w:hAnsi="Times New Roman" w:cs="Times New Roman"/>
          <w:b/>
          <w:sz w:val="24"/>
          <w:szCs w:val="24"/>
        </w:rPr>
        <w:t>1</w:t>
      </w:r>
      <w:r w:rsidRPr="00C44510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="00A53C3D" w:rsidRPr="00C44510">
        <w:rPr>
          <w:rFonts w:ascii="Times New Roman" w:hAnsi="Times New Roman" w:cs="Times New Roman"/>
          <w:sz w:val="24"/>
          <w:szCs w:val="24"/>
        </w:rPr>
        <w:t>Chemical components in SHCGT. The chemical components of SHCGT were identified by UPLC-MS analysis. (A) ESI+ base peak chromatography (BPC) from UPLC-MS chromatography. (B) Peak spot graph representing identified metabolites. (C) List of secondary metabolites</w:t>
      </w:r>
    </w:p>
    <w:p w14:paraId="06C7F0C1" w14:textId="77777777" w:rsidR="00800743" w:rsidRPr="00C44510" w:rsidRDefault="00800743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44510">
        <w:rPr>
          <w:rFonts w:ascii="Times New Roman" w:hAnsi="Times New Roman" w:cs="Times New Roman"/>
          <w:sz w:val="24"/>
          <w:szCs w:val="24"/>
        </w:rPr>
        <w:br w:type="page"/>
      </w:r>
    </w:p>
    <w:p w14:paraId="1CD559AC" w14:textId="04FC5FBE" w:rsidR="003739EE" w:rsidRPr="00C44510" w:rsidRDefault="000C4766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445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3960CB" wp14:editId="4CF9BBFD">
            <wp:extent cx="5255537" cy="4883409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82" cy="492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30498" w14:textId="0E4EB4F4" w:rsidR="005F318D" w:rsidRPr="00C44510" w:rsidRDefault="003739EE" w:rsidP="00CA1A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4510">
        <w:rPr>
          <w:rFonts w:ascii="Times New Roman" w:hAnsi="Times New Roman" w:cs="Times New Roman" w:hint="eastAsia"/>
          <w:b/>
          <w:sz w:val="24"/>
          <w:szCs w:val="24"/>
        </w:rPr>
        <w:t>Figure S</w:t>
      </w:r>
      <w:r w:rsidRPr="00C44510">
        <w:rPr>
          <w:rFonts w:ascii="Times New Roman" w:hAnsi="Times New Roman" w:cs="Times New Roman"/>
          <w:b/>
          <w:sz w:val="24"/>
          <w:szCs w:val="24"/>
        </w:rPr>
        <w:t>2</w:t>
      </w:r>
      <w:r w:rsidRPr="00C44510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Pr="00C44510">
        <w:rPr>
          <w:rFonts w:ascii="Times New Roman" w:hAnsi="Times New Roman" w:cs="Times New Roman" w:hint="eastAsia"/>
          <w:sz w:val="24"/>
          <w:szCs w:val="24"/>
        </w:rPr>
        <w:t xml:space="preserve">SHCGT alleviated the atopic dermatitis </w:t>
      </w:r>
      <w:r w:rsidRPr="00C44510">
        <w:rPr>
          <w:rFonts w:ascii="Times New Roman" w:hAnsi="Times New Roman" w:cs="Times New Roman"/>
          <w:sz w:val="24"/>
          <w:szCs w:val="24"/>
        </w:rPr>
        <w:t xml:space="preserve">in dose-dependent manners. </w:t>
      </w:r>
      <w:r w:rsidR="00CA1AF0" w:rsidRPr="00C44510">
        <w:rPr>
          <w:rFonts w:ascii="Times New Roman" w:hAnsi="Times New Roman" w:cs="Times New Roman"/>
          <w:sz w:val="24"/>
          <w:szCs w:val="24"/>
        </w:rPr>
        <w:t>DNCB-induced AD mice were treated with low (313</w:t>
      </w:r>
      <w:r w:rsidR="005F318D"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="00CA1AF0" w:rsidRPr="00C44510">
        <w:rPr>
          <w:rFonts w:ascii="Times New Roman" w:hAnsi="Times New Roman" w:cs="Times New Roman"/>
          <w:sz w:val="24"/>
          <w:szCs w:val="24"/>
        </w:rPr>
        <w:t>mg/kg) and high (625</w:t>
      </w:r>
      <w:r w:rsidR="005F318D"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="00CA1AF0" w:rsidRPr="00C44510">
        <w:rPr>
          <w:rFonts w:ascii="Times New Roman" w:hAnsi="Times New Roman" w:cs="Times New Roman"/>
          <w:sz w:val="24"/>
          <w:szCs w:val="24"/>
        </w:rPr>
        <w:t xml:space="preserve">mg/kg) dose SHCGT. </w:t>
      </w:r>
      <w:r w:rsidRPr="00C44510">
        <w:rPr>
          <w:rFonts w:ascii="Times New Roman" w:hAnsi="Times New Roman" w:cs="Times New Roman"/>
          <w:sz w:val="24"/>
          <w:szCs w:val="24"/>
        </w:rPr>
        <w:t xml:space="preserve">(A) The change in atopic dermatitis index (ADI) and levels of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and corticosterone were significantly decreased in low and high dose SHCGT treated AD groups, compared to those of AD mice. In particular, the ADI index, the percentage of neutrophil and </w:t>
      </w:r>
      <w:r w:rsidR="001C56D4" w:rsidRPr="00C44510">
        <w:rPr>
          <w:rFonts w:ascii="Times New Roman" w:hAnsi="Times New Roman" w:cs="Times New Roman"/>
          <w:sz w:val="24"/>
          <w:szCs w:val="24"/>
        </w:rPr>
        <w:t xml:space="preserve">the levels of </w:t>
      </w:r>
      <w:r w:rsidRPr="00C44510">
        <w:rPr>
          <w:rFonts w:ascii="Times New Roman" w:hAnsi="Times New Roman" w:cs="Times New Roman"/>
          <w:sz w:val="24"/>
          <w:szCs w:val="24"/>
        </w:rPr>
        <w:t>corticosterone were changed in dose-dependent manners.</w:t>
      </w:r>
      <w:r w:rsidR="00CA1AF0"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="00123263" w:rsidRPr="00C44510">
        <w:rPr>
          <w:rFonts w:ascii="Times New Roman" w:hAnsi="Times New Roman" w:cs="Times New Roman"/>
          <w:sz w:val="24"/>
          <w:szCs w:val="24"/>
        </w:rPr>
        <w:t>(B</w:t>
      </w:r>
      <w:r w:rsidRPr="00C44510">
        <w:rPr>
          <w:rFonts w:ascii="Times New Roman" w:hAnsi="Times New Roman" w:cs="Times New Roman"/>
          <w:sz w:val="24"/>
          <w:szCs w:val="24"/>
        </w:rPr>
        <w:t xml:space="preserve">) </w:t>
      </w:r>
      <w:r w:rsidR="00123263" w:rsidRPr="00C44510">
        <w:rPr>
          <w:rFonts w:ascii="Times New Roman" w:hAnsi="Times New Roman" w:cs="Times New Roman"/>
          <w:sz w:val="24"/>
          <w:szCs w:val="24"/>
        </w:rPr>
        <w:t xml:space="preserve">SHCGT dose-dependently inhibited the cytokines secretion in the spleens of mice with DNCB-induced AD. IL-4, IL-10, TNF-α, and IFN-γ levels in the spleen. </w:t>
      </w:r>
      <w:r w:rsidR="00CA1AF0" w:rsidRPr="00C44510">
        <w:rPr>
          <w:rFonts w:ascii="Times New Roman" w:eastAsia="Malgun Gothic" w:hAnsi="Times New Roman" w:cs="Times New Roman"/>
          <w:bCs/>
          <w:kern w:val="0"/>
          <w:sz w:val="24"/>
          <w:szCs w:val="24"/>
          <w:lang w:eastAsia="en-US"/>
        </w:rPr>
        <w:t>*p&lt;0.05, **p&lt;0.01, ***p&lt;0.001 vs. sham;</w:t>
      </w:r>
      <w:r w:rsidR="00CA1AF0" w:rsidRPr="00C44510">
        <w:rPr>
          <w:rFonts w:ascii="Times New Roman" w:eastAsia="Malgun Gothic" w:hAnsi="Times New Roman" w:cs="Times New Roman"/>
          <w:bCs/>
          <w:kern w:val="0"/>
          <w:sz w:val="24"/>
          <w:szCs w:val="24"/>
          <w:vertAlign w:val="superscript"/>
          <w:lang w:eastAsia="en-US"/>
        </w:rPr>
        <w:t xml:space="preserve"> </w:t>
      </w:r>
      <w:r w:rsidR="00123263" w:rsidRPr="00C44510">
        <w:rPr>
          <w:rFonts w:ascii="Times New Roman" w:eastAsia="Malgun Gothic" w:hAnsi="Times New Roman" w:cs="Times New Roman"/>
          <w:bCs/>
          <w:kern w:val="0"/>
          <w:sz w:val="24"/>
          <w:szCs w:val="24"/>
          <w:vertAlign w:val="superscript"/>
          <w:lang w:eastAsia="en-US"/>
        </w:rPr>
        <w:t>##</w:t>
      </w:r>
      <w:r w:rsidR="00123263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p&lt;0.01, </w:t>
      </w:r>
      <w:r w:rsidR="00CA1AF0" w:rsidRPr="00C44510">
        <w:rPr>
          <w:rFonts w:ascii="Times New Roman" w:eastAsia="Malgun Gothic" w:hAnsi="Times New Roman" w:cs="Times New Roman"/>
          <w:bCs/>
          <w:kern w:val="0"/>
          <w:sz w:val="24"/>
          <w:szCs w:val="24"/>
          <w:vertAlign w:val="superscript"/>
          <w:lang w:eastAsia="en-US"/>
        </w:rPr>
        <w:t>###</w:t>
      </w:r>
      <w:r w:rsidR="00CA1AF0" w:rsidRPr="00C44510">
        <w:rPr>
          <w:rFonts w:ascii="Times New Roman" w:eastAsia="Malgun Gothic" w:hAnsi="Times New Roman" w:cs="Times New Roman"/>
          <w:kern w:val="0"/>
          <w:sz w:val="24"/>
          <w:szCs w:val="24"/>
          <w:lang w:eastAsia="en-US"/>
        </w:rPr>
        <w:t xml:space="preserve">p&lt;0.001 vs. AD. AD, atopic dermatitis; </w:t>
      </w:r>
      <w:r w:rsidR="00CA1AF0" w:rsidRPr="00C44510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 xml:space="preserve">SHCGT, </w:t>
      </w:r>
      <w:proofErr w:type="spellStart"/>
      <w:r w:rsidR="00CA1AF0" w:rsidRPr="00C44510">
        <w:rPr>
          <w:rFonts w:ascii="Times New Roman" w:eastAsia="Malgun Gothic" w:hAnsi="Times New Roman" w:cs="Times New Roman"/>
          <w:i/>
          <w:kern w:val="0"/>
          <w:sz w:val="24"/>
          <w:szCs w:val="24"/>
          <w:lang w:eastAsia="en-US"/>
        </w:rPr>
        <w:t>Sihocheonggan</w:t>
      </w:r>
      <w:proofErr w:type="spellEnd"/>
      <w:r w:rsidR="00CA1AF0" w:rsidRPr="00C44510">
        <w:rPr>
          <w:rFonts w:ascii="Times New Roman" w:eastAsia="Malgun Gothic" w:hAnsi="Times New Roman" w:cs="Times New Roman"/>
          <w:i/>
          <w:kern w:val="0"/>
          <w:sz w:val="24"/>
          <w:szCs w:val="24"/>
          <w:lang w:eastAsia="en-US"/>
        </w:rPr>
        <w:t>-Tang</w:t>
      </w:r>
      <w:r w:rsidR="00123263" w:rsidRPr="00C44510">
        <w:rPr>
          <w:rFonts w:ascii="Times New Roman" w:eastAsia="Malgun Gothic" w:hAnsi="Times New Roman" w:cs="Times New Roman"/>
          <w:i/>
          <w:kern w:val="0"/>
          <w:sz w:val="24"/>
          <w:szCs w:val="24"/>
          <w:lang w:eastAsia="en-US"/>
        </w:rPr>
        <w:t xml:space="preserve">; </w:t>
      </w:r>
      <w:r w:rsidR="00123263" w:rsidRPr="00C44510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 xml:space="preserve">AD+SHCGT_L, </w:t>
      </w:r>
      <w:r w:rsidR="00123263" w:rsidRPr="00C44510">
        <w:rPr>
          <w:rFonts w:ascii="Times New Roman" w:hAnsi="Times New Roman" w:cs="Times New Roman"/>
          <w:sz w:val="24"/>
          <w:szCs w:val="24"/>
        </w:rPr>
        <w:t xml:space="preserve">low dose SHCGT treated AD group; </w:t>
      </w:r>
      <w:r w:rsidR="00123263" w:rsidRPr="00C44510">
        <w:rPr>
          <w:rFonts w:ascii="Times New Roman" w:eastAsia="Malgun Gothic" w:hAnsi="Times New Roman" w:cs="Times New Roman" w:hint="eastAsia"/>
          <w:kern w:val="0"/>
          <w:sz w:val="24"/>
          <w:szCs w:val="24"/>
        </w:rPr>
        <w:t xml:space="preserve">AD+SHCGT_H, </w:t>
      </w:r>
      <w:r w:rsidR="00123263" w:rsidRPr="00C44510">
        <w:rPr>
          <w:rFonts w:ascii="Times New Roman" w:hAnsi="Times New Roman" w:cs="Times New Roman"/>
          <w:sz w:val="24"/>
          <w:szCs w:val="24"/>
        </w:rPr>
        <w:t>high dose SHCGT treated AD group</w:t>
      </w:r>
      <w:r w:rsidR="005F318D" w:rsidRPr="00C44510">
        <w:rPr>
          <w:rFonts w:ascii="Times New Roman" w:hAnsi="Times New Roman" w:cs="Times New Roman"/>
          <w:sz w:val="24"/>
          <w:szCs w:val="24"/>
        </w:rPr>
        <w:t>.</w:t>
      </w:r>
    </w:p>
    <w:p w14:paraId="096EEBEB" w14:textId="2CCA649C" w:rsidR="00315ECA" w:rsidRPr="00C44510" w:rsidRDefault="003739EE" w:rsidP="003D19EF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5ECA" w:rsidRPr="00C44510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721B1A2F" wp14:editId="1337A975">
            <wp:extent cx="5808331" cy="38862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859" cy="389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A458F" w14:textId="66BF9243" w:rsidR="00315ECA" w:rsidRPr="00C44510" w:rsidRDefault="00315ECA" w:rsidP="003D19EF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 w:hint="eastAsia"/>
          <w:b/>
          <w:sz w:val="24"/>
          <w:szCs w:val="24"/>
        </w:rPr>
        <w:t>Figure S</w:t>
      </w:r>
      <w:r w:rsidR="003739EE" w:rsidRPr="00C44510">
        <w:rPr>
          <w:rFonts w:ascii="Times New Roman" w:hAnsi="Times New Roman" w:cs="Times New Roman"/>
          <w:b/>
          <w:sz w:val="24"/>
          <w:szCs w:val="24"/>
        </w:rPr>
        <w:t>3</w:t>
      </w:r>
      <w:r w:rsidRPr="00C44510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D5584F" w:rsidRPr="00C44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84F" w:rsidRPr="00C44510">
        <w:rPr>
          <w:rFonts w:ascii="Times New Roman" w:hAnsi="Times New Roman" w:cs="Times New Roman"/>
          <w:sz w:val="24"/>
          <w:szCs w:val="28"/>
        </w:rPr>
        <w:t>Microbiota</w:t>
      </w:r>
      <w:r w:rsidR="006D36EF" w:rsidRPr="00C44510">
        <w:rPr>
          <w:rFonts w:ascii="Times New Roman" w:hAnsi="Times New Roman" w:cs="Times New Roman"/>
          <w:sz w:val="24"/>
          <w:szCs w:val="28"/>
        </w:rPr>
        <w:t xml:space="preserve"> </w:t>
      </w:r>
      <w:r w:rsidRPr="00C44510">
        <w:rPr>
          <w:rFonts w:ascii="Times New Roman" w:hAnsi="Times New Roman" w:cs="Times New Roman"/>
          <w:sz w:val="24"/>
          <w:szCs w:val="28"/>
        </w:rPr>
        <w:t xml:space="preserve">identiﬁed by </w:t>
      </w:r>
      <w:r w:rsidR="00012007" w:rsidRPr="00C44510">
        <w:rPr>
          <w:rFonts w:ascii="Times New Roman" w:hAnsi="Times New Roman" w:cs="Times New Roman"/>
          <w:sz w:val="24"/>
          <w:szCs w:val="28"/>
        </w:rPr>
        <w:t xml:space="preserve">pattern search. </w:t>
      </w:r>
    </w:p>
    <w:p w14:paraId="43812E29" w14:textId="77777777" w:rsidR="00315ECA" w:rsidRPr="00C44510" w:rsidRDefault="00315ECA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/>
          <w:sz w:val="24"/>
          <w:szCs w:val="28"/>
        </w:rPr>
        <w:br w:type="page"/>
      </w:r>
    </w:p>
    <w:p w14:paraId="01A3EF0E" w14:textId="7861EFB1" w:rsidR="003D19EF" w:rsidRPr="00C44510" w:rsidRDefault="00190035" w:rsidP="003D19EF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0B65C4B6" wp14:editId="3555E320">
            <wp:extent cx="5753686" cy="4262755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20" cy="4268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3E8A3" w14:textId="53588964" w:rsidR="00A8088A" w:rsidRPr="00C44510" w:rsidRDefault="003D19EF" w:rsidP="003D19EF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 w:hint="eastAsia"/>
          <w:b/>
          <w:sz w:val="24"/>
          <w:szCs w:val="24"/>
        </w:rPr>
        <w:t>Figure S</w:t>
      </w:r>
      <w:r w:rsidR="003739EE" w:rsidRPr="00C44510">
        <w:rPr>
          <w:rFonts w:ascii="Times New Roman" w:hAnsi="Times New Roman" w:cs="Times New Roman"/>
          <w:b/>
          <w:sz w:val="24"/>
          <w:szCs w:val="24"/>
        </w:rPr>
        <w:t>4</w:t>
      </w:r>
      <w:r w:rsidRPr="00C44510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C44510">
        <w:rPr>
          <w:rFonts w:ascii="Times New Roman" w:hAnsi="Times New Roman" w:cs="Times New Roman"/>
          <w:sz w:val="24"/>
          <w:szCs w:val="24"/>
        </w:rPr>
        <w:t xml:space="preserve"> Cytotoxicity of </w:t>
      </w:r>
      <w:r w:rsidR="005A624B" w:rsidRPr="00C44510">
        <w:rPr>
          <w:rFonts w:ascii="Times New Roman" w:hAnsi="Times New Roman" w:cs="Times New Roman"/>
          <w:b/>
          <w:sz w:val="24"/>
          <w:szCs w:val="24"/>
        </w:rPr>
        <w:t>(A)</w:t>
      </w:r>
      <w:r w:rsidR="005A624B"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Pr="00C44510">
        <w:rPr>
          <w:rFonts w:ascii="Times New Roman" w:hAnsi="Times New Roman" w:cs="Times New Roman"/>
          <w:sz w:val="24"/>
          <w:szCs w:val="24"/>
        </w:rPr>
        <w:t>SCFA</w:t>
      </w:r>
      <w:r w:rsidR="00A8088A" w:rsidRPr="00C44510">
        <w:rPr>
          <w:rFonts w:ascii="Times New Roman" w:hAnsi="Times New Roman" w:cs="Times New Roman"/>
          <w:sz w:val="24"/>
          <w:szCs w:val="24"/>
        </w:rPr>
        <w:t xml:space="preserve">, </w:t>
      </w:r>
      <w:r w:rsidR="005A624B" w:rsidRPr="00C44510">
        <w:rPr>
          <w:rFonts w:ascii="Times New Roman" w:hAnsi="Times New Roman" w:cs="Times New Roman"/>
          <w:b/>
          <w:sz w:val="24"/>
          <w:szCs w:val="24"/>
        </w:rPr>
        <w:t>(B)</w:t>
      </w:r>
      <w:r w:rsidR="005A624B"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="00A8088A" w:rsidRPr="00C44510">
        <w:rPr>
          <w:rFonts w:ascii="Times New Roman" w:hAnsi="Times New Roman" w:cs="Times New Roman"/>
          <w:sz w:val="24"/>
          <w:szCs w:val="24"/>
        </w:rPr>
        <w:t xml:space="preserve">SHCGT and </w:t>
      </w:r>
      <w:r w:rsidR="005A624B" w:rsidRPr="00C44510">
        <w:rPr>
          <w:rFonts w:ascii="Times New Roman" w:hAnsi="Times New Roman" w:cs="Times New Roman"/>
          <w:b/>
          <w:sz w:val="24"/>
          <w:szCs w:val="24"/>
        </w:rPr>
        <w:t>(C)</w:t>
      </w:r>
      <w:r w:rsidR="005A624B"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="00A8088A" w:rsidRPr="00C44510">
        <w:rPr>
          <w:rFonts w:ascii="Times New Roman" w:hAnsi="Times New Roman" w:cs="Times New Roman"/>
          <w:sz w:val="24"/>
          <w:szCs w:val="24"/>
        </w:rPr>
        <w:t xml:space="preserve">compounds including </w:t>
      </w:r>
      <w:proofErr w:type="spellStart"/>
      <w:r w:rsidR="005A624B" w:rsidRPr="00C44510">
        <w:rPr>
          <w:rFonts w:ascii="Times New Roman" w:hAnsi="Times New Roman" w:cs="Times New Roman"/>
          <w:sz w:val="24"/>
          <w:szCs w:val="24"/>
        </w:rPr>
        <w:t>a</w:t>
      </w:r>
      <w:r w:rsidR="00A8088A" w:rsidRPr="00C44510">
        <w:rPr>
          <w:rFonts w:ascii="Times New Roman" w:hAnsi="Times New Roman" w:cs="Times New Roman"/>
          <w:sz w:val="24"/>
          <w:szCs w:val="24"/>
        </w:rPr>
        <w:t>lbiflorin</w:t>
      </w:r>
      <w:proofErr w:type="spellEnd"/>
      <w:r w:rsidR="00A8088A" w:rsidRPr="00C44510">
        <w:rPr>
          <w:rFonts w:ascii="Times New Roman" w:hAnsi="Times New Roman" w:cs="Times New Roman"/>
          <w:sz w:val="24"/>
          <w:szCs w:val="24"/>
        </w:rPr>
        <w:t xml:space="preserve">, baicalin, </w:t>
      </w:r>
      <w:proofErr w:type="spellStart"/>
      <w:r w:rsidR="00A8088A" w:rsidRPr="00C44510">
        <w:rPr>
          <w:rFonts w:ascii="Times New Roman" w:hAnsi="Times New Roman" w:cs="Times New Roman"/>
          <w:sz w:val="24"/>
          <w:szCs w:val="24"/>
        </w:rPr>
        <w:t>geniposide</w:t>
      </w:r>
      <w:proofErr w:type="spellEnd"/>
      <w:r w:rsidR="00A8088A" w:rsidRPr="00C44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88A" w:rsidRPr="00C44510">
        <w:rPr>
          <w:rFonts w:ascii="Times New Roman" w:hAnsi="Times New Roman" w:cs="Times New Roman"/>
          <w:sz w:val="24"/>
          <w:szCs w:val="24"/>
        </w:rPr>
        <w:t>glycyrrhizic</w:t>
      </w:r>
      <w:proofErr w:type="spellEnd"/>
      <w:r w:rsidR="00A8088A" w:rsidRPr="00C44510">
        <w:rPr>
          <w:rFonts w:ascii="Times New Roman" w:hAnsi="Times New Roman" w:cs="Times New Roman"/>
          <w:sz w:val="24"/>
          <w:szCs w:val="24"/>
        </w:rPr>
        <w:t xml:space="preserve"> acid, paeoniflorin, apigenin, luteolin, berberine hydrochloride, and </w:t>
      </w:r>
      <w:proofErr w:type="spellStart"/>
      <w:r w:rsidR="00A8088A" w:rsidRPr="00C44510">
        <w:rPr>
          <w:rFonts w:ascii="Times New Roman" w:hAnsi="Times New Roman" w:cs="Times New Roman"/>
          <w:sz w:val="24"/>
          <w:szCs w:val="24"/>
        </w:rPr>
        <w:t>physcion</w:t>
      </w:r>
      <w:proofErr w:type="spellEnd"/>
      <w:r w:rsidR="00A8088A" w:rsidRPr="00C44510">
        <w:rPr>
          <w:rFonts w:ascii="Times New Roman" w:hAnsi="Times New Roman" w:cs="Times New Roman"/>
          <w:sz w:val="24"/>
          <w:szCs w:val="24"/>
        </w:rPr>
        <w:t xml:space="preserve"> </w:t>
      </w:r>
      <w:r w:rsidRPr="00C4451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44510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C44510">
        <w:rPr>
          <w:rFonts w:ascii="Times New Roman" w:hAnsi="Times New Roman" w:cs="Times New Roman"/>
          <w:sz w:val="24"/>
          <w:szCs w:val="24"/>
        </w:rPr>
        <w:t xml:space="preserve"> cells</w:t>
      </w:r>
      <w:r w:rsidRPr="00C44510">
        <w:rPr>
          <w:rFonts w:ascii="Times New Roman" w:hAnsi="Times New Roman" w:cs="Times New Roman"/>
          <w:sz w:val="24"/>
          <w:szCs w:val="28"/>
        </w:rPr>
        <w:t xml:space="preserve">. Cell viability was analyzed using a cell counting kit-8 (CCK-8) assay. </w:t>
      </w:r>
      <w:r w:rsidR="0056716A" w:rsidRPr="00C44510">
        <w:rPr>
          <w:rFonts w:ascii="Times New Roman" w:hAnsi="Times New Roman" w:cs="Times New Roman"/>
          <w:sz w:val="24"/>
          <w:szCs w:val="28"/>
        </w:rPr>
        <w:t xml:space="preserve">SCFA, Short-chain fatty acids; SHCGT, </w:t>
      </w:r>
      <w:proofErr w:type="spellStart"/>
      <w:r w:rsidR="0056716A" w:rsidRPr="00C44510">
        <w:rPr>
          <w:rFonts w:ascii="Times New Roman" w:hAnsi="Times New Roman" w:cs="Times New Roman"/>
          <w:i/>
          <w:sz w:val="24"/>
          <w:szCs w:val="24"/>
        </w:rPr>
        <w:t>Sihocheonggan</w:t>
      </w:r>
      <w:proofErr w:type="spellEnd"/>
      <w:r w:rsidR="0056716A" w:rsidRPr="00C44510">
        <w:rPr>
          <w:rFonts w:ascii="Times New Roman" w:hAnsi="Times New Roman" w:cs="Times New Roman"/>
          <w:i/>
          <w:sz w:val="24"/>
          <w:szCs w:val="24"/>
        </w:rPr>
        <w:t>-Tang</w:t>
      </w:r>
    </w:p>
    <w:p w14:paraId="6E2E7853" w14:textId="77777777" w:rsidR="00A8088A" w:rsidRPr="00C44510" w:rsidRDefault="00A8088A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/>
          <w:sz w:val="24"/>
          <w:szCs w:val="28"/>
        </w:rPr>
        <w:br w:type="page"/>
      </w:r>
    </w:p>
    <w:p w14:paraId="36727014" w14:textId="77777777" w:rsidR="00015882" w:rsidRPr="00C44510" w:rsidRDefault="00015882" w:rsidP="00015882">
      <w:pPr>
        <w:spacing w:line="48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445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Pr="00C44510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C44510">
        <w:rPr>
          <w:rFonts w:ascii="Times New Roman" w:hAnsi="Times New Roman" w:cs="Times New Roman"/>
          <w:b/>
          <w:sz w:val="24"/>
          <w:szCs w:val="24"/>
        </w:rPr>
        <w:t>1.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The composition of </w:t>
      </w:r>
      <w:proofErr w:type="spellStart"/>
      <w:r w:rsidRPr="00C44510">
        <w:rPr>
          <w:rFonts w:ascii="Times New Roman" w:eastAsia="Arial Unicode MS" w:hAnsi="Times New Roman" w:cs="Times New Roman"/>
          <w:i/>
          <w:iCs/>
          <w:sz w:val="24"/>
          <w:szCs w:val="24"/>
        </w:rPr>
        <w:t>Sihocheonggan</w:t>
      </w:r>
      <w:proofErr w:type="spellEnd"/>
      <w:r w:rsidRPr="00C4451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C44510">
        <w:rPr>
          <w:rFonts w:ascii="Times New Roman" w:eastAsia="Arial Unicode MS" w:hAnsi="Times New Roman" w:cs="Times New Roman"/>
          <w:i/>
          <w:iCs/>
          <w:sz w:val="24"/>
          <w:szCs w:val="24"/>
        </w:rPr>
        <w:t>Tang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.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1559"/>
        <w:gridCol w:w="3686"/>
        <w:gridCol w:w="708"/>
        <w:gridCol w:w="1088"/>
      </w:tblGrid>
      <w:tr w:rsidR="00C44510" w:rsidRPr="00C44510" w14:paraId="042654AB" w14:textId="77777777" w:rsidTr="00166CE4">
        <w:trPr>
          <w:trHeight w:val="639"/>
        </w:trPr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42753F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Composition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98E4C1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Family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8C850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Scientific name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D8FB6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Amount (g)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312A0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Production region</w:t>
            </w:r>
          </w:p>
        </w:tc>
      </w:tr>
      <w:tr w:rsidR="00C44510" w:rsidRPr="00C44510" w14:paraId="4C2E3519" w14:textId="77777777" w:rsidTr="00166CE4">
        <w:trPr>
          <w:trHeight w:val="639"/>
        </w:trPr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D8ADCD7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Bupleuri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3471133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Apiaceae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86BBD5A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iCs/>
                <w:szCs w:val="20"/>
              </w:rPr>
              <w:t>Bupleurum 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iCs/>
                <w:szCs w:val="20"/>
              </w:rPr>
              <w:t>falcatum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> L.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84BE7C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0.67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307C570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180A83AD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3B7F100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Forsythiae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Fructus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2A55C92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Oleaceae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CDD497E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Forsythia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suspensa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(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Thunb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.)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Vahl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0595BA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F1E4A0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1945EC2E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666A3FDD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Cnidii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Rhizoma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520EE15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Umbelliferae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B5A6B94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Ligusticum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 striatum</w:t>
            </w:r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DC.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6DDDF5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8CDC68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6FDB8183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A8270F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Trichosanthis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9345572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Cucurbitaceae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17BEEC94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Trichosanthes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kirilowii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Maxim.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286AE67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3DD6794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27A85FA4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3047C3E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Scutellariae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E1F47E3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Lamiaceae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115C8D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iCs/>
                <w:szCs w:val="20"/>
              </w:rPr>
              <w:t>Scutellaria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i/>
                <w:iCs/>
                <w:szCs w:val="20"/>
              </w:rPr>
              <w:t> 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iCs/>
                <w:szCs w:val="20"/>
              </w:rPr>
              <w:t>baicalensis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> Georgi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BC7108F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ED3351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47C85D7E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169D778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Gardeniae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Fructus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47BD59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Rubiaceae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2DBE924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Gardenia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jasminoides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J.Ellis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2FF3DA3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4EC4965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573FB0B6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CB7854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Paeoniae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7812B8B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Paeoniaceae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11704E3D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Paeonia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lactiflora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Pall.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C762C5D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C90BA15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075EBD60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16B245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Arctii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Fructus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65DD880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Asteraceae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19477780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Arctium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lappa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L.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5C02A8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82CBD16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16E87E10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893D12F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Coptidis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Rhizoma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9CCD297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Ranunculaceae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01B7AE85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Coptis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 chinensis</w:t>
            </w:r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Franch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EAED89D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4B8F700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63D3627D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038F517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Angelicae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Gigantis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41F65E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Apiaceae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395DE3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iCs/>
                <w:szCs w:val="20"/>
              </w:rPr>
              <w:t>Angelica gigas 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Nakai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77B72E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5F49A62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537CF2D8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F763ACA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Platycodi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5BA2802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Campanulaceae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419D994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Platycodon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grandiflorus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(Jacq.) A.DC.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60E6713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19530C7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3F53DA1F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B7D3D48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Rehmanniae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Preparata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EA4DF48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Scrophulariaceae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61684D3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hAnsi="Times New Roman" w:cs="Times New Roman"/>
                <w:i/>
                <w:szCs w:val="20"/>
              </w:rPr>
              <w:t>Rehmannia</w:t>
            </w:r>
            <w:proofErr w:type="spellEnd"/>
            <w:r w:rsidRPr="00C44510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hAnsi="Times New Roman" w:cs="Times New Roman"/>
                <w:i/>
                <w:szCs w:val="20"/>
              </w:rPr>
              <w:t>glutinosa</w:t>
            </w:r>
            <w:proofErr w:type="spellEnd"/>
            <w:r w:rsidRPr="00C44510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C44510">
              <w:rPr>
                <w:rFonts w:ascii="Times New Roman" w:hAnsi="Times New Roman" w:cs="Times New Roman"/>
                <w:szCs w:val="20"/>
              </w:rPr>
              <w:t>Gaertn</w:t>
            </w:r>
            <w:proofErr w:type="spellEnd"/>
            <w:r w:rsidRPr="00C44510">
              <w:rPr>
                <w:rFonts w:ascii="Times New Roman" w:hAnsi="Times New Roman" w:cs="Times New Roman"/>
                <w:szCs w:val="20"/>
              </w:rPr>
              <w:t>.) DC.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8F29149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CBC4FF2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4E060E66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EE39D9F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Menthae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Herba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D22A5BE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Lamiaceae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453D40B7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Mentha arvensis</w:t>
            </w:r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L.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9E88C63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95E9EF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C44510" w:rsidRPr="00C44510" w14:paraId="008323B3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9634BA0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Phellodendri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Cortex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1591A88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Rutaceae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625BB257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Phellodendron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chinense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C.</w:t>
            </w:r>
            <w:proofErr w:type="gram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K.Schneid</w:t>
            </w:r>
            <w:proofErr w:type="spellEnd"/>
            <w:proofErr w:type="gramEnd"/>
            <w:r w:rsidRPr="00C44510">
              <w:rPr>
                <w:rFonts w:ascii="Times New Roman" w:eastAsia="Arial Unicode MS" w:hAnsi="Times New Roman" w:cs="Times New Roman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2D592C3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66C36E8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China</w:t>
            </w:r>
          </w:p>
        </w:tc>
      </w:tr>
      <w:tr w:rsidR="00015882" w:rsidRPr="00C44510" w14:paraId="05C753F2" w14:textId="77777777" w:rsidTr="00166CE4">
        <w:trPr>
          <w:trHeight w:val="639"/>
        </w:trPr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1FD2D18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proofErr w:type="spellStart"/>
            <w:r w:rsidRPr="00C44510">
              <w:rPr>
                <w:rFonts w:ascii="Times New Roman" w:eastAsia="Arial Unicode MS" w:hAnsi="Times New Roman" w:cs="Times New Roman"/>
                <w:szCs w:val="20"/>
              </w:rPr>
              <w:t>Glycyrrhizae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Radix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8B7CBDC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Fabaceae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14:paraId="2E148992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 xml:space="preserve">Glycyrrhiza </w:t>
            </w:r>
            <w:proofErr w:type="spellStart"/>
            <w:r w:rsidRPr="00C44510">
              <w:rPr>
                <w:rFonts w:ascii="Times New Roman" w:eastAsia="Arial Unicode MS" w:hAnsi="Times New Roman" w:cs="Times New Roman"/>
                <w:i/>
                <w:szCs w:val="20"/>
              </w:rPr>
              <w:t>uralensis</w:t>
            </w:r>
            <w:proofErr w:type="spellEnd"/>
            <w:r w:rsidRPr="00C44510">
              <w:rPr>
                <w:rFonts w:ascii="Times New Roman" w:eastAsia="Arial Unicode MS" w:hAnsi="Times New Roman" w:cs="Times New Roman"/>
                <w:szCs w:val="20"/>
              </w:rPr>
              <w:t xml:space="preserve"> Fisch.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4EE66ED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0.5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8EF777A" w14:textId="77777777" w:rsidR="00015882" w:rsidRPr="00C44510" w:rsidRDefault="00015882" w:rsidP="00166CE4">
            <w:pPr>
              <w:wordWrap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 w:rsidRPr="00C44510">
              <w:rPr>
                <w:rFonts w:ascii="Times New Roman" w:eastAsia="Arial Unicode MS" w:hAnsi="Times New Roman" w:cs="Times New Roman"/>
                <w:szCs w:val="20"/>
              </w:rPr>
              <w:t>Kazakhstan</w:t>
            </w:r>
          </w:p>
        </w:tc>
      </w:tr>
    </w:tbl>
    <w:p w14:paraId="016378C6" w14:textId="77777777" w:rsidR="00933514" w:rsidRPr="00C44510" w:rsidRDefault="00933514" w:rsidP="00933514">
      <w:pPr>
        <w:wordWrap/>
        <w:adjustRightInd w:val="0"/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01CFE13" w14:textId="77777777" w:rsidR="00933514" w:rsidRPr="00C44510" w:rsidRDefault="00933514" w:rsidP="0093351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44510">
        <w:rPr>
          <w:rFonts w:ascii="Times New Roman" w:hAnsi="Times New Roman" w:cs="Times New Roman"/>
          <w:sz w:val="24"/>
          <w:szCs w:val="24"/>
        </w:rPr>
        <w:br w:type="page"/>
      </w:r>
    </w:p>
    <w:p w14:paraId="2AE6E21A" w14:textId="357BC51C" w:rsidR="003D19EF" w:rsidRPr="00C44510" w:rsidRDefault="003D19EF" w:rsidP="003D19EF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/>
          <w:b/>
          <w:sz w:val="24"/>
          <w:szCs w:val="28"/>
        </w:rPr>
        <w:lastRenderedPageBreak/>
        <w:t xml:space="preserve">Table </w:t>
      </w:r>
      <w:r w:rsidRPr="00C44510">
        <w:rPr>
          <w:rFonts w:ascii="Times New Roman" w:hAnsi="Times New Roman" w:cs="Times New Roman" w:hint="eastAsia"/>
          <w:b/>
          <w:sz w:val="24"/>
          <w:szCs w:val="28"/>
        </w:rPr>
        <w:t>S</w:t>
      </w:r>
      <w:r w:rsidR="00933514" w:rsidRPr="00C44510">
        <w:rPr>
          <w:rFonts w:ascii="Times New Roman" w:hAnsi="Times New Roman" w:cs="Times New Roman"/>
          <w:b/>
          <w:sz w:val="24"/>
          <w:szCs w:val="28"/>
        </w:rPr>
        <w:t>2</w:t>
      </w:r>
      <w:r w:rsidRPr="00C44510">
        <w:rPr>
          <w:rFonts w:ascii="Times New Roman" w:hAnsi="Times New Roman" w:cs="Times New Roman"/>
          <w:b/>
          <w:sz w:val="24"/>
          <w:szCs w:val="28"/>
        </w:rPr>
        <w:t>.</w:t>
      </w:r>
      <w:r w:rsidRPr="00C44510">
        <w:rPr>
          <w:rFonts w:ascii="Times New Roman" w:hAnsi="Times New Roman" w:cs="Times New Roman"/>
          <w:sz w:val="24"/>
          <w:szCs w:val="28"/>
        </w:rPr>
        <w:t xml:space="preserve"> Top 50 features identiﬁed by linear discriminant analysis of effect size (</w:t>
      </w:r>
      <w:proofErr w:type="spellStart"/>
      <w:r w:rsidRPr="00C44510">
        <w:rPr>
          <w:rFonts w:ascii="Times New Roman" w:hAnsi="Times New Roman" w:cs="Times New Roman"/>
          <w:sz w:val="24"/>
          <w:szCs w:val="28"/>
        </w:rPr>
        <w:t>LEfSe</w:t>
      </w:r>
      <w:proofErr w:type="spellEnd"/>
      <w:r w:rsidRPr="00C44510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815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6"/>
        <w:gridCol w:w="1080"/>
        <w:gridCol w:w="1080"/>
        <w:gridCol w:w="1080"/>
        <w:gridCol w:w="1134"/>
        <w:gridCol w:w="1080"/>
      </w:tblGrid>
      <w:tr w:rsidR="00C44510" w:rsidRPr="00C44510" w14:paraId="5947CF31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B9A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Features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8DC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P values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7E5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Sham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4C7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0C9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AD+SHCG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6F1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LDA score</w:t>
            </w:r>
          </w:p>
        </w:tc>
      </w:tr>
      <w:tr w:rsidR="00C44510" w:rsidRPr="00C44510" w14:paraId="7D7B8467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79D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HQ786508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34A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4.92E-05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B4B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317720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FC3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21012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A10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31757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FFA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5.17</w:t>
            </w:r>
          </w:p>
        </w:tc>
      </w:tr>
      <w:tr w:rsidR="00C44510" w:rsidRPr="00C44510" w14:paraId="59761FD9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625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DQ815395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BEC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0.000114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DF5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83831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E60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178170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EFB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272770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106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4.98</w:t>
            </w:r>
          </w:p>
        </w:tc>
      </w:tr>
      <w:tr w:rsidR="00C44510" w:rsidRPr="00C44510" w14:paraId="22D4CECC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BF4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Staphylococcusimiae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821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0.000351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DBB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840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48908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CEE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23932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2D6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4.39</w:t>
            </w:r>
          </w:p>
        </w:tc>
      </w:tr>
      <w:tr w:rsidR="00C44510" w:rsidRPr="00C44510" w14:paraId="45F9356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28E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EF098405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C426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0.001579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942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68761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B9A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196280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EDD6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143400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2C3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4.8</w:t>
            </w:r>
          </w:p>
        </w:tc>
      </w:tr>
      <w:tr w:rsidR="00C44510" w:rsidRPr="00C44510" w14:paraId="5AEB392E" w14:textId="77777777" w:rsidTr="00933514">
        <w:trPr>
          <w:trHeight w:val="42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F70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DQ394637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75C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0.001683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098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20867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E07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17897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9C8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DCF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3.99</w:t>
            </w:r>
          </w:p>
        </w:tc>
      </w:tr>
      <w:tr w:rsidR="00C44510" w:rsidRPr="00C44510" w14:paraId="2C12B787" w14:textId="77777777" w:rsidTr="00933514">
        <w:trPr>
          <w:trHeight w:val="42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90E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EU622736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873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0.001941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84B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14636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74E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1159.3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086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326.05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37B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3.85</w:t>
            </w:r>
          </w:p>
        </w:tc>
      </w:tr>
      <w:tr w:rsidR="00C44510" w:rsidRPr="00C44510" w14:paraId="7E11A1B1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864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EF406686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B35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0.002673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6D5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192440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810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453210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04F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447150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AD3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5.12</w:t>
            </w:r>
          </w:p>
        </w:tc>
      </w:tr>
      <w:tr w:rsidR="00C44510" w:rsidRPr="00C44510" w14:paraId="3C7B53CC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028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EU510197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F5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0.003061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E95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1738.9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D66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5071.9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825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6390.6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0C5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3.37</w:t>
            </w:r>
          </w:p>
        </w:tc>
      </w:tr>
      <w:tr w:rsidR="00C44510" w:rsidRPr="00C44510" w14:paraId="7F222C98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80D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AB606259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A53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0.004089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3B2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9129.4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2146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20795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74C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3130.1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349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3.95</w:t>
            </w:r>
          </w:p>
        </w:tc>
      </w:tr>
      <w:tr w:rsidR="00C44510" w:rsidRPr="00C44510" w14:paraId="3BF69E82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C0F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AB021165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FC5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0.004377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D206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16665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E9C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56878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2B1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47669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3ED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4.3</w:t>
            </w:r>
          </w:p>
        </w:tc>
      </w:tr>
      <w:tr w:rsidR="00C44510" w:rsidRPr="00C44510" w14:paraId="3143A81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BF4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 xml:space="preserve">Eubacterium </w:t>
            </w: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ventriosum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459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0.004987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243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14853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760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4999.5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CF2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A2A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3.73</w:t>
            </w:r>
          </w:p>
        </w:tc>
      </w:tr>
      <w:tr w:rsidR="00C44510" w:rsidRPr="00C44510" w14:paraId="3CFC6CFD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BEB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EU510350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35D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0.005277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5E4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26157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EC0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14853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CC5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1891.1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38F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4.08</w:t>
            </w:r>
          </w:p>
        </w:tc>
      </w:tr>
      <w:tr w:rsidR="00C44510" w:rsidRPr="00C44510" w14:paraId="3E525D3C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EDE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EU939413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193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0.005766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A8A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15143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AA1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869.47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20A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260.84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860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3.87</w:t>
            </w:r>
          </w:p>
        </w:tc>
      </w:tr>
      <w:tr w:rsidR="00C44510" w:rsidRPr="00C44510" w14:paraId="10C5DEF0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A48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CDPR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D82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0.005985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865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37387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C11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78252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9BB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68993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977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4.31</w:t>
            </w:r>
          </w:p>
        </w:tc>
      </w:tr>
      <w:tr w:rsidR="00C44510" w:rsidRPr="00C44510" w14:paraId="350F02AB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4DA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 xml:space="preserve">Bacteroides </w:t>
            </w: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uniformis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609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0.006078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D8B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5868.9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16D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17897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E8B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22172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062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3.91</w:t>
            </w:r>
          </w:p>
        </w:tc>
      </w:tr>
      <w:tr w:rsidR="00C44510" w:rsidRPr="00C44510" w14:paraId="38C3369D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3C6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EF603964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076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0.006566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B4A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8839.6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D65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1666.5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C54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3390.9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200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3.55</w:t>
            </w:r>
          </w:p>
        </w:tc>
      </w:tr>
      <w:tr w:rsidR="00C44510" w:rsidRPr="00C44510" w14:paraId="092EB8F5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FF2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EU474208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288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0.008189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B25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891710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76C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469150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E10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864170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817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5.32</w:t>
            </w:r>
          </w:p>
        </w:tc>
      </w:tr>
      <w:tr w:rsidR="00C44510" w:rsidRPr="00C44510" w14:paraId="04A8D5D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32B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KI535319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958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0.008199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B16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44343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D56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58037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66A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22889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F28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4.24</w:t>
            </w:r>
          </w:p>
        </w:tc>
      </w:tr>
      <w:tr w:rsidR="00C44510" w:rsidRPr="00C44510" w14:paraId="52FB6A6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BCB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HM124343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BA1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80C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12825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9D3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869.47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82D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4629.9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7A9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</w:t>
            </w:r>
          </w:p>
        </w:tc>
      </w:tr>
      <w:tr w:rsidR="00C44510" w:rsidRPr="00C44510" w14:paraId="076CAAE6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440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FJ880834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FE1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0.008524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410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92671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45E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57892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488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167260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DAF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4.74</w:t>
            </w:r>
          </w:p>
        </w:tc>
      </w:tr>
      <w:tr w:rsidR="00C44510" w:rsidRPr="00C44510" w14:paraId="58CC76B6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F99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HM124060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07D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0.012892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0DF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54269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7E9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1014.4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340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16368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CE1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4.43</w:t>
            </w:r>
          </w:p>
        </w:tc>
      </w:tr>
      <w:tr w:rsidR="00C44510" w:rsidRPr="00C44510" w14:paraId="794E5AD7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17F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Anaerostipes</w:t>
            </w:r>
            <w:proofErr w:type="spellEnd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butyraticus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E4C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0.013066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5B4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869.47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4FC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3115.6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23C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5086.4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AD5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3.32</w:t>
            </w:r>
          </w:p>
        </w:tc>
      </w:tr>
      <w:tr w:rsidR="00C44510" w:rsidRPr="00C44510" w14:paraId="2382689B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E1B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FJ879877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193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0.014748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467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3405.4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7FF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1159.3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628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65.21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A9A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3.22</w:t>
            </w:r>
          </w:p>
        </w:tc>
      </w:tr>
      <w:tr w:rsidR="00C44510" w:rsidRPr="00C44510" w14:paraId="57E13D5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C77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DQ905725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132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0.016405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4AE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C06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652.1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21E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1499.8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8A0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3.24</w:t>
            </w:r>
          </w:p>
        </w:tc>
      </w:tr>
      <w:tr w:rsidR="00C44510" w:rsidRPr="00C44510" w14:paraId="21C16535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87B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JQ083832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882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0.016605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01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2028.8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929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11158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52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6977.5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A77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3.66</w:t>
            </w:r>
          </w:p>
        </w:tc>
      </w:tr>
      <w:tr w:rsidR="00C44510" w:rsidRPr="00C44510" w14:paraId="4AA6667C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5CE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 xml:space="preserve">Parabacteroides </w:t>
            </w: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goldsteinii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AC3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0.017427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A13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13912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13B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29490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4CC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39387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BE26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4.11</w:t>
            </w:r>
          </w:p>
        </w:tc>
      </w:tr>
      <w:tr w:rsidR="00C44510" w:rsidRPr="00C44510" w14:paraId="4367CE9A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831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DQ815703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776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871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9926.5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E4B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D68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4825.6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489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3.7</w:t>
            </w:r>
          </w:p>
        </w:tc>
      </w:tr>
      <w:tr w:rsidR="00C44510" w:rsidRPr="00C44510" w14:paraId="43C7F02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CC8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GU302582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189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0.017642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0FE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1883.9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C9C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1738.9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AF1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326.05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E45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2.89</w:t>
            </w:r>
          </w:p>
        </w:tc>
      </w:tr>
      <w:tr w:rsidR="00C44510" w:rsidRPr="00C44510" w14:paraId="24939CBD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3A1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EF406567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7A3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0.017741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857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4709.6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1F3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1738.9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656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6FD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3.37</w:t>
            </w:r>
          </w:p>
        </w:tc>
      </w:tr>
      <w:tr w:rsidR="00C44510" w:rsidRPr="00C44510" w14:paraId="6CA640B9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C32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 xml:space="preserve">Bacteroides </w:t>
            </w: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faecichinchillae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3D0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0.020872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268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18983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2C5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54994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CB0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33257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E72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4.26</w:t>
            </w:r>
          </w:p>
        </w:tc>
      </w:tr>
      <w:tr w:rsidR="00C44510" w:rsidRPr="00C44510" w14:paraId="1171465A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ECD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Akkermansia</w:t>
            </w:r>
            <w:proofErr w:type="spellEnd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muciniphila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189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0.022509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478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340760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EA7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1376.7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26B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5216.8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C62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5.23</w:t>
            </w:r>
          </w:p>
        </w:tc>
      </w:tr>
      <w:tr w:rsidR="00C44510" w:rsidRPr="00C44510" w14:paraId="487D7CDC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9F4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AB606295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EDB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0.023279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6DC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25867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658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5868.9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C32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20215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9F5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</w:t>
            </w:r>
          </w:p>
        </w:tc>
      </w:tr>
      <w:tr w:rsidR="00C44510" w:rsidRPr="00C44510" w14:paraId="52A01E6F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CD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Mucispirillum</w:t>
            </w:r>
            <w:proofErr w:type="spellEnd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 xml:space="preserve"> </w:t>
            </w:r>
            <w:proofErr w:type="spellStart"/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chaedleri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D51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0.025836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AB4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383580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25F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651090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B77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357550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53A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5.17</w:t>
            </w:r>
          </w:p>
        </w:tc>
      </w:tr>
      <w:tr w:rsidR="00C44510" w:rsidRPr="00C44510" w14:paraId="4F1E9B8A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705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AB606386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FE7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0.026159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CF3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5506.6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2CB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3260.5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59B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652.1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133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3.39</w:t>
            </w:r>
          </w:p>
        </w:tc>
      </w:tr>
      <w:tr w:rsidR="00C44510" w:rsidRPr="00C44510" w14:paraId="72FBDF85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DB5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FJ880207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98A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0.026947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90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6593.5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223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2246.1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CA6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3586.6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FE1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3.34</w:t>
            </w:r>
          </w:p>
        </w:tc>
      </w:tr>
      <w:tr w:rsidR="00C44510" w:rsidRPr="00C44510" w14:paraId="3446D85F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D45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KE159600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1F7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0.029891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379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6086.3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D04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23693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1CE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33583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110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4.14</w:t>
            </w:r>
          </w:p>
        </w:tc>
      </w:tr>
      <w:tr w:rsidR="00C44510" w:rsidRPr="00C44510" w14:paraId="188848B4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8B4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EF404944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09A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0.030527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CE0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1521.6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7B0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5216.8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3E0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1630.3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1F2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3.27</w:t>
            </w:r>
          </w:p>
        </w:tc>
      </w:tr>
      <w:tr w:rsidR="00C44510" w:rsidRPr="00C44510" w14:paraId="19AB21C6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EEF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FJ881243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6D5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0.036105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872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37677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DA9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19491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0E4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15259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4BB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4.05</w:t>
            </w:r>
          </w:p>
        </w:tc>
      </w:tr>
      <w:tr w:rsidR="00C44510" w:rsidRPr="00C44510" w14:paraId="16EBD29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5E6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lastRenderedPageBreak/>
              <w:t>EF404684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6FF6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0.036563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0D9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16882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BF1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12390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4E9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4434.3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EFC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3.79</w:t>
            </w:r>
          </w:p>
        </w:tc>
      </w:tr>
      <w:tr w:rsidR="00C44510" w:rsidRPr="00C44510" w14:paraId="04CF3D08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16D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EF603669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DE5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0.036995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C47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25722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0C6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3550.3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8DB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27127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0F4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4.07</w:t>
            </w:r>
          </w:p>
        </w:tc>
      </w:tr>
      <w:tr w:rsidR="00C44510" w:rsidRPr="00C44510" w14:paraId="51A4485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1EA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HM124077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59E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0.037259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5C8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111070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01E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31881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EAF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50929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7BA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4.6</w:t>
            </w:r>
          </w:p>
        </w:tc>
      </w:tr>
      <w:tr w:rsidR="00C44510" w:rsidRPr="00C44510" w14:paraId="5B8D5C1F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7AC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PAC000688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FD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0.038012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F88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18114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8D4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5579.1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FF3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5151.6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993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3.81</w:t>
            </w:r>
          </w:p>
        </w:tc>
      </w:tr>
      <w:tr w:rsidR="00C44510" w:rsidRPr="00C44510" w14:paraId="5A3DFAA7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F13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EF096213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CB8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0.038172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415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79991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D3D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22461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910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42126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8C4A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4.46</w:t>
            </w:r>
          </w:p>
        </w:tc>
      </w:tr>
      <w:tr w:rsidR="00C44510" w:rsidRPr="00C44510" w14:paraId="0D38217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B79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EF603095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6E1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0.038227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CF8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10868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95E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144.91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8DE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18389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74F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3.96</w:t>
            </w:r>
          </w:p>
        </w:tc>
      </w:tr>
      <w:tr w:rsidR="00C44510" w:rsidRPr="00C44510" w14:paraId="15308EF3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DED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EF098277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C26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0.038711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FE7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1099900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8C9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522550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BFB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850600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A0E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5.46</w:t>
            </w:r>
          </w:p>
        </w:tc>
      </w:tr>
      <w:tr w:rsidR="00C44510" w:rsidRPr="00C44510" w14:paraId="5DA20016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B4A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DQ815942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433C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0.039573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2319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339310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5FC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343730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471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507860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19D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4.93</w:t>
            </w:r>
          </w:p>
        </w:tc>
      </w:tr>
      <w:tr w:rsidR="00C44510" w:rsidRPr="00C44510" w14:paraId="3C3EF88F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2CCD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FJ880976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8205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0.041816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F9F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652.1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83C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2898.2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E1A6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2608.4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896E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3.05</w:t>
            </w:r>
          </w:p>
        </w:tc>
      </w:tr>
      <w:tr w:rsidR="00C44510" w:rsidRPr="00C44510" w14:paraId="4604EE20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573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EF097039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F44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0.042751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892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37025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7CB4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16882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CF9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18455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E72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</w:t>
            </w:r>
          </w:p>
        </w:tc>
      </w:tr>
      <w:tr w:rsidR="00C44510" w:rsidRPr="00C44510" w14:paraId="4DEF1A1F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153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EU509745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E0A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0.046726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A363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8332.4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C1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13115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C838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5282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14F1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3.59</w:t>
            </w:r>
          </w:p>
        </w:tc>
      </w:tr>
      <w:tr w:rsidR="003D19EF" w:rsidRPr="00C44510" w14:paraId="18B40A38" w14:textId="77777777" w:rsidTr="00933514">
        <w:trPr>
          <w:trHeight w:val="330"/>
          <w:jc w:val="center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F66B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i/>
                <w:iCs/>
                <w:kern w:val="0"/>
                <w:szCs w:val="20"/>
              </w:rPr>
              <w:t>EF604622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5AF0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0.048876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6A87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60428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7F82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41590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F561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78057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D06F" w14:textId="77777777" w:rsidR="003D19EF" w:rsidRPr="00C44510" w:rsidRDefault="003D19EF" w:rsidP="0093351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C44510">
              <w:rPr>
                <w:rFonts w:ascii="Times New Roman" w:eastAsia="Malgun Gothic" w:hAnsi="Times New Roman" w:cs="Times New Roman"/>
                <w:kern w:val="0"/>
                <w:szCs w:val="20"/>
              </w:rPr>
              <w:t>4.26</w:t>
            </w:r>
          </w:p>
        </w:tc>
      </w:tr>
    </w:tbl>
    <w:p w14:paraId="4DF8BC4B" w14:textId="77777777" w:rsidR="003D19EF" w:rsidRPr="00C44510" w:rsidRDefault="003D19EF" w:rsidP="003D19EF">
      <w:pPr>
        <w:rPr>
          <w:rFonts w:ascii="Times New Roman" w:hAnsi="Times New Roman" w:cs="Times New Roman"/>
          <w:sz w:val="24"/>
          <w:szCs w:val="28"/>
        </w:rPr>
      </w:pPr>
    </w:p>
    <w:p w14:paraId="5A5C5AB1" w14:textId="77777777" w:rsidR="003D19EF" w:rsidRPr="00C44510" w:rsidRDefault="003D19EF" w:rsidP="003D19EF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8"/>
        </w:rPr>
      </w:pPr>
      <w:r w:rsidRPr="00C44510">
        <w:rPr>
          <w:rFonts w:ascii="Times New Roman" w:hAnsi="Times New Roman" w:cs="Times New Roman"/>
          <w:sz w:val="24"/>
          <w:szCs w:val="28"/>
        </w:rPr>
        <w:br w:type="page"/>
      </w:r>
    </w:p>
    <w:p w14:paraId="24102327" w14:textId="1C742755" w:rsidR="003D19EF" w:rsidRPr="00C44510" w:rsidRDefault="003D19EF" w:rsidP="003D19EF">
      <w:pPr>
        <w:tabs>
          <w:tab w:val="left" w:pos="0"/>
        </w:tabs>
        <w:adjustRightInd w:val="0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4451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</w:t>
      </w:r>
      <w:r w:rsidR="00933514" w:rsidRPr="00C44510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C4451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C44510">
        <w:rPr>
          <w:rFonts w:ascii="Times New Roman" w:hAnsi="Times New Roman" w:cs="Times New Roman"/>
          <w:sz w:val="24"/>
          <w:szCs w:val="24"/>
          <w:lang w:val="en-GB"/>
        </w:rPr>
        <w:t xml:space="preserve"> Short chain fatty acids assignment by NMR spectroscopy.</w:t>
      </w:r>
    </w:p>
    <w:tbl>
      <w:tblPr>
        <w:tblStyle w:val="TableGridLight"/>
        <w:tblW w:w="83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937"/>
        <w:gridCol w:w="2977"/>
      </w:tblGrid>
      <w:tr w:rsidR="00C44510" w:rsidRPr="00C44510" w14:paraId="38B48418" w14:textId="77777777" w:rsidTr="00933514">
        <w:trPr>
          <w:trHeight w:val="3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214365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Compound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234453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δ</w:t>
            </w:r>
            <w:r w:rsidRPr="00C44510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  <w:r w:rsidRPr="00C44510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00D455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Multiplicity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DE92DA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Confirmation</w:t>
            </w:r>
          </w:p>
        </w:tc>
      </w:tr>
      <w:tr w:rsidR="00C44510" w:rsidRPr="00C44510" w14:paraId="2E82BB3E" w14:textId="77777777" w:rsidTr="00933514">
        <w:trPr>
          <w:trHeight w:val="320"/>
        </w:trPr>
        <w:tc>
          <w:tcPr>
            <w:tcW w:w="1985" w:type="dxa"/>
            <w:tcBorders>
              <w:top w:val="single" w:sz="4" w:space="0" w:color="auto"/>
            </w:tcBorders>
            <w:noWrap/>
          </w:tcPr>
          <w:p w14:paraId="003C70D4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eastAsia="Malgun Gothic" w:hAnsi="Times New Roman" w:cs="Times New Roman"/>
                <w:lang w:eastAsia="ko-KR"/>
              </w:rPr>
              <w:t>Butyrate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14:paraId="29C11BE8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eastAsia="Malgun Gothic" w:hAnsi="Times New Roman" w:cs="Times New Roman"/>
                <w:lang w:eastAsia="ko-KR"/>
              </w:rPr>
              <w:t>0.88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noWrap/>
          </w:tcPr>
          <w:p w14:paraId="7058512C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eastAsia="Malgun Gothic" w:hAnsi="Times New Roman" w:cs="Times New Roman"/>
                <w:lang w:eastAsia="ko-KR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</w:tcPr>
          <w:p w14:paraId="072EEE90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1D, HMQC, TOCSY</w:t>
            </w:r>
          </w:p>
        </w:tc>
      </w:tr>
      <w:tr w:rsidR="00C44510" w:rsidRPr="00C44510" w14:paraId="1B7D1E32" w14:textId="77777777" w:rsidTr="00933514">
        <w:trPr>
          <w:trHeight w:val="320"/>
        </w:trPr>
        <w:tc>
          <w:tcPr>
            <w:tcW w:w="1985" w:type="dxa"/>
            <w:noWrap/>
          </w:tcPr>
          <w:p w14:paraId="68560473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Propionate</w:t>
            </w:r>
          </w:p>
        </w:tc>
        <w:tc>
          <w:tcPr>
            <w:tcW w:w="1417" w:type="dxa"/>
            <w:noWrap/>
          </w:tcPr>
          <w:p w14:paraId="46F5A231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937" w:type="dxa"/>
            <w:noWrap/>
          </w:tcPr>
          <w:p w14:paraId="585C19A6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eastAsia="Malgun Gothic" w:hAnsi="Times New Roman" w:cs="Times New Roman"/>
                <w:lang w:eastAsia="ko-KR"/>
              </w:rPr>
            </w:pPr>
            <w:r w:rsidRPr="00C44510">
              <w:rPr>
                <w:rFonts w:ascii="Times New Roman" w:hAnsi="Times New Roman" w:cs="Times New Roman"/>
              </w:rPr>
              <w:t xml:space="preserve">t, </w:t>
            </w:r>
            <w:r w:rsidRPr="00C44510">
              <w:rPr>
                <w:rFonts w:ascii="Times New Roman" w:eastAsia="Malgun Gothic" w:hAnsi="Times New Roman" w:cs="Times New Roman"/>
                <w:lang w:eastAsia="ko-KR"/>
              </w:rPr>
              <w:t>dd</w:t>
            </w:r>
          </w:p>
        </w:tc>
        <w:tc>
          <w:tcPr>
            <w:tcW w:w="2977" w:type="dxa"/>
            <w:noWrap/>
          </w:tcPr>
          <w:p w14:paraId="6050EC10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1D, HMQC, TOCSY</w:t>
            </w:r>
          </w:p>
        </w:tc>
      </w:tr>
      <w:tr w:rsidR="00C44510" w:rsidRPr="00C44510" w14:paraId="6B880E7A" w14:textId="77777777" w:rsidTr="00933514">
        <w:trPr>
          <w:trHeight w:val="409"/>
        </w:trPr>
        <w:tc>
          <w:tcPr>
            <w:tcW w:w="1985" w:type="dxa"/>
            <w:noWrap/>
          </w:tcPr>
          <w:p w14:paraId="29FC2BB9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C44510">
              <w:rPr>
                <w:rFonts w:ascii="Times New Roman" w:hAnsi="Times New Roman" w:cs="Times New Roman"/>
              </w:rPr>
              <w:t>Isobutyrate</w:t>
            </w:r>
            <w:proofErr w:type="spellEnd"/>
          </w:p>
        </w:tc>
        <w:tc>
          <w:tcPr>
            <w:tcW w:w="1417" w:type="dxa"/>
            <w:noWrap/>
          </w:tcPr>
          <w:p w14:paraId="4A261D97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937" w:type="dxa"/>
            <w:noWrap/>
          </w:tcPr>
          <w:p w14:paraId="334A0B57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77" w:type="dxa"/>
            <w:noWrap/>
          </w:tcPr>
          <w:p w14:paraId="3AA1C825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1D, HMQC, Spiking</w:t>
            </w:r>
          </w:p>
        </w:tc>
      </w:tr>
      <w:tr w:rsidR="00C44510" w:rsidRPr="00C44510" w14:paraId="2FFDEF92" w14:textId="77777777" w:rsidTr="00933514">
        <w:trPr>
          <w:trHeight w:val="280"/>
        </w:trPr>
        <w:tc>
          <w:tcPr>
            <w:tcW w:w="1985" w:type="dxa"/>
            <w:noWrap/>
            <w:hideMark/>
          </w:tcPr>
          <w:p w14:paraId="5DA052C2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Valerate</w:t>
            </w:r>
          </w:p>
        </w:tc>
        <w:tc>
          <w:tcPr>
            <w:tcW w:w="1417" w:type="dxa"/>
            <w:noWrap/>
            <w:hideMark/>
          </w:tcPr>
          <w:p w14:paraId="6A93C0CE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937" w:type="dxa"/>
            <w:noWrap/>
            <w:hideMark/>
          </w:tcPr>
          <w:p w14:paraId="415880FE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977" w:type="dxa"/>
            <w:noWrap/>
            <w:hideMark/>
          </w:tcPr>
          <w:p w14:paraId="7B596829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1D, HMQC, TOCSY</w:t>
            </w:r>
          </w:p>
        </w:tc>
      </w:tr>
      <w:tr w:rsidR="00C44510" w:rsidRPr="00C44510" w14:paraId="1ABB7110" w14:textId="77777777" w:rsidTr="00933514">
        <w:trPr>
          <w:trHeight w:val="280"/>
        </w:trPr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3BDC857D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Acetate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15F9D0E6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2BCFBBC8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</w:tcPr>
          <w:p w14:paraId="5B63B249" w14:textId="77777777" w:rsidR="003D19EF" w:rsidRPr="00C44510" w:rsidRDefault="003D19EF" w:rsidP="00933514">
            <w:pPr>
              <w:tabs>
                <w:tab w:val="left" w:pos="0"/>
              </w:tabs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C44510">
              <w:rPr>
                <w:rFonts w:ascii="Times New Roman" w:hAnsi="Times New Roman" w:cs="Times New Roman"/>
              </w:rPr>
              <w:t>1D, HMQC, Spiking</w:t>
            </w:r>
          </w:p>
        </w:tc>
      </w:tr>
    </w:tbl>
    <w:p w14:paraId="23ED44C9" w14:textId="65721926" w:rsidR="00D84010" w:rsidRPr="00C44510" w:rsidRDefault="003D19EF" w:rsidP="003D19EF">
      <w:pPr>
        <w:tabs>
          <w:tab w:val="left" w:pos="0"/>
        </w:tabs>
        <w:adjustRightInd w:val="0"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4451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C44510">
        <w:rPr>
          <w:rFonts w:ascii="Times New Roman" w:hAnsi="Times New Roman" w:cs="Times New Roman"/>
          <w:sz w:val="24"/>
          <w:szCs w:val="24"/>
          <w:lang w:val="en-GB"/>
        </w:rPr>
        <w:t xml:space="preserve">H chemical shift data for metabolites of </w:t>
      </w:r>
      <w:proofErr w:type="spellStart"/>
      <w:r w:rsidRPr="00C44510">
        <w:rPr>
          <w:rFonts w:ascii="Times New Roman" w:hAnsi="Times New Roman" w:cs="Times New Roman"/>
          <w:sz w:val="24"/>
          <w:szCs w:val="24"/>
          <w:lang w:val="en-GB"/>
        </w:rPr>
        <w:t>fecal</w:t>
      </w:r>
      <w:proofErr w:type="spellEnd"/>
      <w:r w:rsidRPr="00C44510">
        <w:rPr>
          <w:rFonts w:ascii="Times New Roman" w:hAnsi="Times New Roman" w:cs="Times New Roman"/>
          <w:sz w:val="24"/>
          <w:szCs w:val="24"/>
          <w:lang w:val="en-GB"/>
        </w:rPr>
        <w:t xml:space="preserve"> samples, showing compound name, chemical group, chemical shift in parts per million (ppm), multiplicity and types of spectra. Abbreviations: HMQC, </w:t>
      </w:r>
      <w:r w:rsidRPr="00C44510">
        <w:rPr>
          <w:rFonts w:ascii="Times New Roman" w:hAnsi="Times New Roman" w:cs="Times New Roman"/>
          <w:kern w:val="0"/>
          <w:sz w:val="24"/>
          <w:szCs w:val="24"/>
        </w:rPr>
        <w:t>heteronuclear multiple-quantum correlations</w:t>
      </w:r>
      <w:r w:rsidRPr="00C44510">
        <w:rPr>
          <w:rFonts w:ascii="Times New Roman" w:hAnsi="Times New Roman" w:cs="Times New Roman"/>
          <w:sz w:val="24"/>
          <w:szCs w:val="24"/>
        </w:rPr>
        <w:t xml:space="preserve">; </w:t>
      </w:r>
      <w:r w:rsidRPr="00C44510">
        <w:rPr>
          <w:rFonts w:ascii="Times New Roman" w:hAnsi="Times New Roman" w:cs="Times New Roman"/>
          <w:kern w:val="0"/>
          <w:sz w:val="24"/>
          <w:szCs w:val="24"/>
        </w:rPr>
        <w:t>TOCSY</w:t>
      </w:r>
      <w:r w:rsidRPr="00C44510">
        <w:rPr>
          <w:rFonts w:ascii="Times New Roman" w:hAnsi="Times New Roman" w:cs="Times New Roman"/>
          <w:sz w:val="24"/>
          <w:szCs w:val="24"/>
        </w:rPr>
        <w:t xml:space="preserve">, </w:t>
      </w:r>
      <w:r w:rsidRPr="00C44510">
        <w:rPr>
          <w:rFonts w:ascii="Times New Roman" w:hAnsi="Times New Roman" w:cs="Times New Roman"/>
          <w:kern w:val="0"/>
          <w:sz w:val="24"/>
          <w:szCs w:val="24"/>
        </w:rPr>
        <w:t>total correlation spectroscopy</w:t>
      </w:r>
      <w:r w:rsidRPr="00C44510">
        <w:rPr>
          <w:rFonts w:ascii="Times New Roman" w:hAnsi="Times New Roman" w:cs="Times New Roman"/>
          <w:sz w:val="24"/>
          <w:szCs w:val="24"/>
        </w:rPr>
        <w:t xml:space="preserve">; </w:t>
      </w:r>
      <w:r w:rsidRPr="00C44510">
        <w:rPr>
          <w:rFonts w:ascii="Times New Roman" w:hAnsi="Times New Roman" w:cs="Times New Roman"/>
          <w:kern w:val="0"/>
          <w:sz w:val="24"/>
          <w:szCs w:val="24"/>
        </w:rPr>
        <w:t>s, singlet; d, doub</w:t>
      </w:r>
      <w:r w:rsidRPr="00C44510">
        <w:rPr>
          <w:rFonts w:ascii="Times New Roman" w:hAnsi="Times New Roman" w:cs="Times New Roman"/>
          <w:sz w:val="24"/>
          <w:szCs w:val="24"/>
        </w:rPr>
        <w:t>let; dd</w:t>
      </w:r>
      <w:r w:rsidRPr="00C4451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C44510">
        <w:rPr>
          <w:rFonts w:ascii="Times New Roman" w:hAnsi="Times New Roman" w:cs="Times New Roman"/>
          <w:sz w:val="24"/>
          <w:szCs w:val="24"/>
        </w:rPr>
        <w:t xml:space="preserve">double of doublet; </w:t>
      </w:r>
      <w:r w:rsidRPr="00C44510">
        <w:rPr>
          <w:rFonts w:ascii="Times New Roman" w:hAnsi="Times New Roman" w:cs="Times New Roman"/>
          <w:kern w:val="0"/>
          <w:sz w:val="24"/>
          <w:szCs w:val="24"/>
        </w:rPr>
        <w:t xml:space="preserve">t, triplet; m, </w:t>
      </w:r>
      <w:proofErr w:type="spellStart"/>
      <w:r w:rsidRPr="00C44510">
        <w:rPr>
          <w:rFonts w:ascii="Times New Roman" w:hAnsi="Times New Roman" w:cs="Times New Roman"/>
          <w:kern w:val="0"/>
          <w:sz w:val="24"/>
          <w:szCs w:val="24"/>
        </w:rPr>
        <w:t>multiplet</w:t>
      </w:r>
      <w:proofErr w:type="spellEnd"/>
    </w:p>
    <w:p w14:paraId="653BA955" w14:textId="77777777" w:rsidR="00D84010" w:rsidRPr="00C44510" w:rsidRDefault="00D84010">
      <w:pPr>
        <w:widowControl/>
        <w:wordWrap/>
        <w:autoSpaceDE/>
        <w:autoSpaceDN/>
        <w:rPr>
          <w:rFonts w:ascii="Times New Roman" w:hAnsi="Times New Roman" w:cs="Times New Roman"/>
          <w:kern w:val="0"/>
          <w:sz w:val="24"/>
          <w:szCs w:val="24"/>
        </w:rPr>
      </w:pPr>
      <w:r w:rsidRPr="00C44510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074A1EB" w14:textId="7EE69704" w:rsidR="00881EF2" w:rsidRPr="00C44510" w:rsidRDefault="007675E1" w:rsidP="007675E1">
      <w:pPr>
        <w:pStyle w:val="ListParagraph"/>
        <w:numPr>
          <w:ilvl w:val="0"/>
          <w:numId w:val="3"/>
        </w:numPr>
        <w:ind w:leftChars="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C44510">
        <w:rPr>
          <w:rFonts w:ascii="Times New Roman" w:eastAsia="Arial Unicode MS" w:hAnsi="Times New Roman" w:cs="Times New Roman"/>
          <w:sz w:val="24"/>
          <w:szCs w:val="24"/>
        </w:rPr>
        <w:lastRenderedPageBreak/>
        <w:t>Tsugawa</w:t>
      </w:r>
      <w:proofErr w:type="spellEnd"/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H, </w:t>
      </w:r>
      <w:proofErr w:type="spellStart"/>
      <w:r w:rsidRPr="00C44510">
        <w:rPr>
          <w:rFonts w:ascii="Times New Roman" w:eastAsia="Arial Unicode MS" w:hAnsi="Times New Roman" w:cs="Times New Roman"/>
          <w:sz w:val="24"/>
          <w:szCs w:val="24"/>
        </w:rPr>
        <w:t>Cajka</w:t>
      </w:r>
      <w:proofErr w:type="spellEnd"/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T, Kind T, Ma Y, Higgins B, Ikeda K et al. MS-DIAL: data-independent MS/MS deconvolution for comprehensive metabolome analysis. </w:t>
      </w:r>
      <w:r w:rsidRPr="00C44510">
        <w:rPr>
          <w:rFonts w:ascii="Times New Roman" w:eastAsia="Arial Unicode MS" w:hAnsi="Times New Roman" w:cs="Times New Roman"/>
          <w:i/>
          <w:sz w:val="24"/>
          <w:szCs w:val="24"/>
        </w:rPr>
        <w:t>Nat Methods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44510">
        <w:rPr>
          <w:rFonts w:ascii="Times New Roman" w:eastAsia="Arial Unicode MS" w:hAnsi="Times New Roman" w:cs="Times New Roman"/>
          <w:b/>
          <w:sz w:val="24"/>
          <w:szCs w:val="24"/>
        </w:rPr>
        <w:t>2015</w:t>
      </w:r>
      <w:r w:rsidRPr="00C44510">
        <w:rPr>
          <w:rFonts w:ascii="Times New Roman" w:eastAsia="Arial Unicode MS" w:hAnsi="Times New Roman" w:cs="Times New Roman"/>
          <w:sz w:val="24"/>
          <w:szCs w:val="24"/>
        </w:rPr>
        <w:t>, 12(6), 523-526.</w:t>
      </w:r>
    </w:p>
    <w:sectPr w:rsidR="00881EF2" w:rsidRPr="00C445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AEA8" w14:textId="77777777" w:rsidR="000A3F39" w:rsidRDefault="000A3F39" w:rsidP="008B50D9">
      <w:pPr>
        <w:spacing w:after="0" w:line="240" w:lineRule="auto"/>
      </w:pPr>
      <w:r>
        <w:separator/>
      </w:r>
    </w:p>
  </w:endnote>
  <w:endnote w:type="continuationSeparator" w:id="0">
    <w:p w14:paraId="4FA1938C" w14:textId="77777777" w:rsidR="000A3F39" w:rsidRDefault="000A3F39" w:rsidP="008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DEF4" w14:textId="77777777" w:rsidR="000A3F39" w:rsidRDefault="000A3F39" w:rsidP="008B50D9">
      <w:pPr>
        <w:spacing w:after="0" w:line="240" w:lineRule="auto"/>
      </w:pPr>
      <w:r>
        <w:separator/>
      </w:r>
    </w:p>
  </w:footnote>
  <w:footnote w:type="continuationSeparator" w:id="0">
    <w:p w14:paraId="242652A1" w14:textId="77777777" w:rsidR="000A3F39" w:rsidRDefault="000A3F39" w:rsidP="008B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100"/>
    <w:multiLevelType w:val="hybridMultilevel"/>
    <w:tmpl w:val="EA381418"/>
    <w:lvl w:ilvl="0" w:tplc="27A0B234">
      <w:start w:val="1"/>
      <w:numFmt w:val="decimal"/>
      <w:lvlText w:val="%1."/>
      <w:lvlJc w:val="left"/>
      <w:pPr>
        <w:ind w:left="760" w:hanging="360"/>
      </w:pPr>
      <w:rPr>
        <w:rFonts w:eastAsia="Arial Unicode MS" w:hint="default"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DD37C2F"/>
    <w:multiLevelType w:val="hybridMultilevel"/>
    <w:tmpl w:val="881054E0"/>
    <w:lvl w:ilvl="0" w:tplc="4FB2D2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6F3B7C9E"/>
    <w:multiLevelType w:val="hybridMultilevel"/>
    <w:tmpl w:val="A1CA4B46"/>
    <w:lvl w:ilvl="0" w:tplc="72A4A1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EF"/>
    <w:rsid w:val="00012007"/>
    <w:rsid w:val="00015882"/>
    <w:rsid w:val="00030D67"/>
    <w:rsid w:val="00036123"/>
    <w:rsid w:val="000365B3"/>
    <w:rsid w:val="000479DD"/>
    <w:rsid w:val="000A3F39"/>
    <w:rsid w:val="000C4766"/>
    <w:rsid w:val="00120D58"/>
    <w:rsid w:val="00123263"/>
    <w:rsid w:val="00132750"/>
    <w:rsid w:val="00136D7B"/>
    <w:rsid w:val="00190035"/>
    <w:rsid w:val="001C56D4"/>
    <w:rsid w:val="001D09B4"/>
    <w:rsid w:val="00225A9A"/>
    <w:rsid w:val="002303B8"/>
    <w:rsid w:val="00315ECA"/>
    <w:rsid w:val="00317F44"/>
    <w:rsid w:val="003739EE"/>
    <w:rsid w:val="003D19EF"/>
    <w:rsid w:val="004071B7"/>
    <w:rsid w:val="00443210"/>
    <w:rsid w:val="00454996"/>
    <w:rsid w:val="004D416F"/>
    <w:rsid w:val="004F3B34"/>
    <w:rsid w:val="0056716A"/>
    <w:rsid w:val="005A624B"/>
    <w:rsid w:val="005F318D"/>
    <w:rsid w:val="00612E37"/>
    <w:rsid w:val="00617F69"/>
    <w:rsid w:val="00646013"/>
    <w:rsid w:val="00677BBF"/>
    <w:rsid w:val="006D36EF"/>
    <w:rsid w:val="0070576E"/>
    <w:rsid w:val="00743A4E"/>
    <w:rsid w:val="007675E1"/>
    <w:rsid w:val="007853A2"/>
    <w:rsid w:val="007F068E"/>
    <w:rsid w:val="00800743"/>
    <w:rsid w:val="00863301"/>
    <w:rsid w:val="00881EF2"/>
    <w:rsid w:val="00882BF0"/>
    <w:rsid w:val="00895C63"/>
    <w:rsid w:val="008B50D9"/>
    <w:rsid w:val="00910B63"/>
    <w:rsid w:val="00914ECF"/>
    <w:rsid w:val="00933514"/>
    <w:rsid w:val="00953B20"/>
    <w:rsid w:val="00997D43"/>
    <w:rsid w:val="009B200F"/>
    <w:rsid w:val="009C63C3"/>
    <w:rsid w:val="009D61D7"/>
    <w:rsid w:val="009D6245"/>
    <w:rsid w:val="009F4BC8"/>
    <w:rsid w:val="00A03717"/>
    <w:rsid w:val="00A53C3D"/>
    <w:rsid w:val="00A73FAF"/>
    <w:rsid w:val="00A8088A"/>
    <w:rsid w:val="00AC2888"/>
    <w:rsid w:val="00B00A30"/>
    <w:rsid w:val="00BB0E55"/>
    <w:rsid w:val="00C44510"/>
    <w:rsid w:val="00C77E94"/>
    <w:rsid w:val="00C92C4F"/>
    <w:rsid w:val="00CA1AF0"/>
    <w:rsid w:val="00D20CEB"/>
    <w:rsid w:val="00D5584F"/>
    <w:rsid w:val="00D718F0"/>
    <w:rsid w:val="00D84010"/>
    <w:rsid w:val="00D93C04"/>
    <w:rsid w:val="00DB2234"/>
    <w:rsid w:val="00E74BC8"/>
    <w:rsid w:val="00EB6A15"/>
    <w:rsid w:val="00F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6C366"/>
  <w15:chartTrackingRefBased/>
  <w15:docId w15:val="{588E210E-F9FB-4A8E-8B1F-9B465C3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E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D19EF"/>
    <w:pPr>
      <w:spacing w:after="0" w:line="240" w:lineRule="auto"/>
      <w:jc w:val="left"/>
    </w:pPr>
    <w:rPr>
      <w:rFonts w:eastAsia="Batang"/>
      <w:kern w:val="0"/>
      <w:sz w:val="24"/>
      <w:szCs w:val="24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B50D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B50D9"/>
  </w:style>
  <w:style w:type="paragraph" w:styleId="Footer">
    <w:name w:val="footer"/>
    <w:basedOn w:val="Normal"/>
    <w:link w:val="FooterChar"/>
    <w:uiPriority w:val="99"/>
    <w:unhideWhenUsed/>
    <w:rsid w:val="008B50D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B50D9"/>
  </w:style>
  <w:style w:type="character" w:styleId="CommentReference">
    <w:name w:val="annotation reference"/>
    <w:basedOn w:val="DefaultParagraphFont"/>
    <w:uiPriority w:val="99"/>
    <w:semiHidden/>
    <w:unhideWhenUsed/>
    <w:rsid w:val="004D41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16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1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6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010"/>
    <w:pPr>
      <w:ind w:leftChars="400" w:left="800"/>
    </w:pPr>
  </w:style>
  <w:style w:type="paragraph" w:customStyle="1" w:styleId="MDPI13authornames">
    <w:name w:val="MDPI_1.3_authornames"/>
    <w:next w:val="Normal"/>
    <w:qFormat/>
    <w:rsid w:val="00317F44"/>
    <w:pPr>
      <w:adjustRightInd w:val="0"/>
      <w:snapToGrid w:val="0"/>
      <w:spacing w:after="36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KIOM_User</dc:creator>
  <cp:keywords/>
  <dc:description/>
  <cp:lastModifiedBy>Florine Lièvre</cp:lastModifiedBy>
  <cp:revision>6</cp:revision>
  <dcterms:created xsi:type="dcterms:W3CDTF">2021-08-20T03:51:00Z</dcterms:created>
  <dcterms:modified xsi:type="dcterms:W3CDTF">2021-08-23T15:54:00Z</dcterms:modified>
</cp:coreProperties>
</file>