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5BB89" w14:textId="1D2B40CD" w:rsidR="0061132A" w:rsidRPr="004C4112" w:rsidRDefault="0061132A" w:rsidP="004C4112">
      <w:pPr>
        <w:spacing w:line="360" w:lineRule="auto"/>
        <w:jc w:val="center"/>
        <w:rPr>
          <w:rFonts w:ascii="Times New Roman" w:hAnsi="Times New Roman" w:cs="Times New Roman" w:hint="eastAsia"/>
          <w:b/>
          <w:sz w:val="28"/>
          <w:szCs w:val="28"/>
          <w:lang w:val="en-GB" w:eastAsia="en-GB"/>
        </w:rPr>
      </w:pPr>
      <w:r w:rsidRPr="005B6BAC">
        <w:rPr>
          <w:rFonts w:ascii="Times New Roman" w:hAnsi="Times New Roman" w:cs="Times New Roman"/>
          <w:b/>
          <w:sz w:val="28"/>
          <w:szCs w:val="28"/>
          <w:lang w:val="en-GB" w:eastAsia="en-GB"/>
        </w:rPr>
        <w:t>Altered gut microbiota as an auxiliary diagnostic indicator for patients with fracture-related infection</w:t>
      </w:r>
    </w:p>
    <w:p w14:paraId="11B86DC2" w14:textId="77777777" w:rsidR="0061132A" w:rsidRPr="005B6BAC" w:rsidRDefault="0061132A" w:rsidP="0061132A">
      <w:pPr>
        <w:pStyle w:val="Authornames"/>
        <w:spacing w:line="276" w:lineRule="auto"/>
        <w:jc w:val="center"/>
        <w:rPr>
          <w:sz w:val="24"/>
        </w:rPr>
      </w:pPr>
      <w:r w:rsidRPr="005B6BAC">
        <w:rPr>
          <w:sz w:val="24"/>
        </w:rPr>
        <w:t>Xingqi Zhao</w:t>
      </w:r>
      <w:r w:rsidRPr="005B6BAC">
        <w:rPr>
          <w:sz w:val="24"/>
          <w:vertAlign w:val="superscript"/>
        </w:rPr>
        <w:t>1, #</w:t>
      </w:r>
      <w:r w:rsidRPr="005B6BAC">
        <w:rPr>
          <w:sz w:val="24"/>
        </w:rPr>
        <w:t xml:space="preserve">, </w:t>
      </w:r>
      <w:r w:rsidRPr="005B6BAC">
        <w:rPr>
          <w:sz w:val="24"/>
          <w:lang w:eastAsia="zh-CN"/>
        </w:rPr>
        <w:t>Wenli Tang</w:t>
      </w:r>
      <w:r w:rsidRPr="005B6BAC">
        <w:rPr>
          <w:sz w:val="24"/>
          <w:vertAlign w:val="superscript"/>
        </w:rPr>
        <w:t>2, #</w:t>
      </w:r>
      <w:r w:rsidRPr="005B6BAC">
        <w:rPr>
          <w:sz w:val="24"/>
          <w:lang w:eastAsia="zh-CN"/>
        </w:rPr>
        <w:t xml:space="preserve">, </w:t>
      </w:r>
      <w:r w:rsidRPr="005B6BAC">
        <w:rPr>
          <w:sz w:val="24"/>
        </w:rPr>
        <w:t>Haoyang Wan</w:t>
      </w:r>
      <w:r w:rsidRPr="005B6BAC">
        <w:rPr>
          <w:sz w:val="24"/>
          <w:vertAlign w:val="superscript"/>
        </w:rPr>
        <w:t>1, #</w:t>
      </w:r>
      <w:r w:rsidRPr="005B6BAC">
        <w:rPr>
          <w:sz w:val="24"/>
        </w:rPr>
        <w:t>, Zixin Lan</w:t>
      </w:r>
      <w:r w:rsidRPr="005B6BAC">
        <w:rPr>
          <w:sz w:val="24"/>
          <w:vertAlign w:val="superscript"/>
        </w:rPr>
        <w:t>3</w:t>
      </w:r>
      <w:r w:rsidRPr="005B6BAC">
        <w:rPr>
          <w:sz w:val="24"/>
        </w:rPr>
        <w:t>, Hanjun Qin</w:t>
      </w:r>
      <w:r w:rsidRPr="005B6BAC">
        <w:rPr>
          <w:sz w:val="24"/>
          <w:vertAlign w:val="superscript"/>
        </w:rPr>
        <w:t>1</w:t>
      </w:r>
      <w:r w:rsidRPr="005B6BAC">
        <w:rPr>
          <w:sz w:val="24"/>
        </w:rPr>
        <w:t>, Qingrong Lin</w:t>
      </w:r>
      <w:r w:rsidRPr="005B6BAC">
        <w:rPr>
          <w:sz w:val="24"/>
          <w:vertAlign w:val="superscript"/>
        </w:rPr>
        <w:t>1</w:t>
      </w:r>
      <w:r w:rsidRPr="005B6BAC">
        <w:rPr>
          <w:sz w:val="24"/>
        </w:rPr>
        <w:t>, Yanjun Hu</w:t>
      </w:r>
      <w:r w:rsidRPr="005B6BAC">
        <w:rPr>
          <w:sz w:val="24"/>
          <w:vertAlign w:val="superscript"/>
        </w:rPr>
        <w:t>1</w:t>
      </w:r>
      <w:r w:rsidRPr="005B6BAC">
        <w:rPr>
          <w:sz w:val="24"/>
        </w:rPr>
        <w:t>, Guangchuang Yu</w:t>
      </w:r>
      <w:r w:rsidRPr="005B6BAC">
        <w:rPr>
          <w:sz w:val="24"/>
          <w:vertAlign w:val="superscript"/>
        </w:rPr>
        <w:t>2, *</w:t>
      </w:r>
      <w:r w:rsidRPr="005B6BAC">
        <w:rPr>
          <w:sz w:val="24"/>
        </w:rPr>
        <w:t>, Nan Jiang</w:t>
      </w:r>
      <w:r w:rsidRPr="005B6BAC">
        <w:rPr>
          <w:sz w:val="24"/>
          <w:vertAlign w:val="superscript"/>
        </w:rPr>
        <w:t>1, *</w:t>
      </w:r>
      <w:r w:rsidRPr="005B6BAC">
        <w:rPr>
          <w:sz w:val="24"/>
        </w:rPr>
        <w:t>, Bin Yu</w:t>
      </w:r>
      <w:r w:rsidRPr="005B6BAC">
        <w:rPr>
          <w:sz w:val="24"/>
          <w:vertAlign w:val="superscript"/>
        </w:rPr>
        <w:t>1, *</w:t>
      </w:r>
    </w:p>
    <w:p w14:paraId="6B577009" w14:textId="77777777" w:rsidR="0061132A" w:rsidRPr="005B6BAC" w:rsidRDefault="0061132A" w:rsidP="0061132A">
      <w:pPr>
        <w:pStyle w:val="Affiliation"/>
        <w:spacing w:line="240" w:lineRule="auto"/>
        <w:jc w:val="both"/>
      </w:pPr>
      <w:r w:rsidRPr="005B6BAC">
        <w:rPr>
          <w:vertAlign w:val="superscript"/>
        </w:rPr>
        <w:t>1</w:t>
      </w:r>
      <w:r w:rsidRPr="005B6BAC">
        <w:t xml:space="preserve"> Division of Orthopaedics and Traumatology, Department of Orthopaedics, Nanfang Hospital, Southern Medical University, Guangzhou, China</w:t>
      </w:r>
      <w:r w:rsidRPr="005B6BAC">
        <w:rPr>
          <w:lang w:eastAsia="zh-CN"/>
        </w:rPr>
        <w:t xml:space="preserve"> &amp; </w:t>
      </w:r>
      <w:r w:rsidRPr="005B6BAC">
        <w:t xml:space="preserve">Guangdong Provincial Key Laboratory of Bone and Cartilage Regenerative Medicine, Nanfang Hospital, Southern Medical University, Guangzhou, China. </w:t>
      </w:r>
    </w:p>
    <w:p w14:paraId="1471EAD4" w14:textId="77777777" w:rsidR="0061132A" w:rsidRPr="005B6BAC" w:rsidRDefault="0061132A" w:rsidP="0061132A">
      <w:pPr>
        <w:pStyle w:val="Affiliation"/>
        <w:spacing w:line="240" w:lineRule="auto"/>
        <w:jc w:val="both"/>
      </w:pPr>
      <w:r w:rsidRPr="005B6BAC">
        <w:rPr>
          <w:vertAlign w:val="superscript"/>
        </w:rPr>
        <w:t>2</w:t>
      </w:r>
      <w:r w:rsidRPr="005B6BAC">
        <w:t xml:space="preserve"> Department of Bioinformatics, School of Basic Medical Sciences, Southern Medical University, Guangzhou, China</w:t>
      </w:r>
    </w:p>
    <w:p w14:paraId="5429E456" w14:textId="3DAEAB1E" w:rsidR="0061132A" w:rsidRDefault="0061132A" w:rsidP="004C4112">
      <w:pPr>
        <w:pStyle w:val="Affiliation"/>
        <w:spacing w:line="240" w:lineRule="auto"/>
        <w:jc w:val="both"/>
      </w:pPr>
      <w:r w:rsidRPr="005B6BAC">
        <w:rPr>
          <w:vertAlign w:val="superscript"/>
        </w:rPr>
        <w:t>3</w:t>
      </w:r>
      <w:r w:rsidRPr="005B6BAC">
        <w:t xml:space="preserve"> The Second Clinical Medical College, Southern Medical University, Guangzhou, China.</w:t>
      </w:r>
    </w:p>
    <w:p w14:paraId="70E76F6B" w14:textId="77777777" w:rsidR="004C4112" w:rsidRPr="005B6BAC" w:rsidRDefault="004C4112" w:rsidP="004C4112">
      <w:pPr>
        <w:pStyle w:val="Affiliation"/>
        <w:spacing w:line="240" w:lineRule="auto"/>
        <w:jc w:val="both"/>
        <w:rPr>
          <w:rFonts w:hint="eastAsia"/>
        </w:rPr>
      </w:pPr>
    </w:p>
    <w:p w14:paraId="6629A3F6" w14:textId="77777777" w:rsidR="0061132A" w:rsidRPr="005B6BAC" w:rsidRDefault="0061132A" w:rsidP="0061132A">
      <w:pPr>
        <w:spacing w:line="360" w:lineRule="auto"/>
        <w:rPr>
          <w:rFonts w:ascii="Times New Roman" w:eastAsia="AdvOT3c2d9f11" w:hAnsi="Times New Roman" w:cs="Times New Roman"/>
          <w:sz w:val="24"/>
        </w:rPr>
      </w:pPr>
      <w:r w:rsidRPr="005B6BAC">
        <w:rPr>
          <w:rFonts w:ascii="Times New Roman" w:hAnsi="Times New Roman" w:cs="Times New Roman"/>
          <w:sz w:val="24"/>
          <w:vertAlign w:val="superscript"/>
        </w:rPr>
        <w:t xml:space="preserve"># </w:t>
      </w:r>
      <w:r w:rsidRPr="005B6BAC">
        <w:rPr>
          <w:rFonts w:ascii="Times New Roman" w:eastAsia="AdvOT3c2d9f11" w:hAnsi="Times New Roman" w:cs="Times New Roman"/>
          <w:sz w:val="24"/>
        </w:rPr>
        <w:t xml:space="preserve">These authors contributed equally to this work. </w:t>
      </w:r>
    </w:p>
    <w:p w14:paraId="68E0BA5C" w14:textId="1F61C3A1" w:rsidR="0061132A" w:rsidRPr="004C4112" w:rsidRDefault="0061132A" w:rsidP="004C4112">
      <w:pPr>
        <w:autoSpaceDE w:val="0"/>
        <w:autoSpaceDN w:val="0"/>
        <w:spacing w:line="276" w:lineRule="auto"/>
        <w:rPr>
          <w:rFonts w:ascii="Times New Roman" w:hAnsi="Times New Roman" w:cs="Times New Roman" w:hint="eastAsia"/>
          <w:sz w:val="24"/>
        </w:rPr>
      </w:pPr>
      <w:r w:rsidRPr="005B6BAC">
        <w:rPr>
          <w:rFonts w:ascii="Times New Roman" w:hAnsi="Times New Roman" w:cs="Times New Roman"/>
          <w:sz w:val="24"/>
          <w:vertAlign w:val="superscript"/>
        </w:rPr>
        <w:t xml:space="preserve">* </w:t>
      </w:r>
      <w:r w:rsidRPr="005B6BAC">
        <w:rPr>
          <w:rFonts w:ascii="Times New Roman" w:hAnsi="Times New Roman" w:cs="Times New Roman"/>
          <w:sz w:val="24"/>
        </w:rPr>
        <w:t>Co-corresponding author: Address correspondence to Guangchuang Yu, Nan Jiang and Bin Yu, Ph.D., Southern Medical University, No. 1838 North of Guangzhou Ave., Baiyun District, China. E-mail: Guangchuang Yu (gcyu1@smu.edu.cn), Nan Jiang (hnxyjn@smu.edu.cn) and Bin Yu (yubin@smu.edu.cn).</w:t>
      </w:r>
    </w:p>
    <w:p w14:paraId="15732F7C" w14:textId="77777777" w:rsidR="004C4112" w:rsidRDefault="004C4112" w:rsidP="0061132A">
      <w:pPr>
        <w:spacing w:line="480" w:lineRule="auto"/>
        <w:rPr>
          <w:rFonts w:ascii="Times New Roman" w:hAnsi="Times New Roman" w:cs="Times New Roman"/>
          <w:b/>
          <w:color w:val="000000"/>
          <w:kern w:val="0"/>
          <w:sz w:val="24"/>
        </w:rPr>
      </w:pPr>
    </w:p>
    <w:p w14:paraId="727883EB" w14:textId="79AA4DAF" w:rsidR="0061132A" w:rsidRPr="005B6BAC" w:rsidRDefault="0061132A" w:rsidP="0061132A">
      <w:pPr>
        <w:spacing w:line="480" w:lineRule="auto"/>
        <w:rPr>
          <w:rFonts w:ascii="Times New Roman" w:hAnsi="Times New Roman" w:cs="Times New Roman"/>
          <w:b/>
          <w:kern w:val="0"/>
          <w:sz w:val="24"/>
        </w:rPr>
      </w:pPr>
      <w:r w:rsidRPr="005B6BAC">
        <w:rPr>
          <w:rFonts w:ascii="Times New Roman" w:hAnsi="Times New Roman" w:cs="Times New Roman"/>
          <w:b/>
          <w:color w:val="000000"/>
          <w:kern w:val="0"/>
          <w:sz w:val="24"/>
        </w:rPr>
        <w:t xml:space="preserve">This file includes: </w:t>
      </w:r>
    </w:p>
    <w:p w14:paraId="6D1734D4" w14:textId="455ADB78" w:rsidR="0061132A" w:rsidRPr="005B6BAC" w:rsidRDefault="0061132A" w:rsidP="0061132A">
      <w:pPr>
        <w:autoSpaceDE w:val="0"/>
        <w:autoSpaceDN w:val="0"/>
        <w:spacing w:line="276" w:lineRule="auto"/>
        <w:rPr>
          <w:rFonts w:ascii="Times New Roman" w:hAnsi="Times New Roman" w:cs="Times New Roman"/>
          <w:b/>
          <w:color w:val="000000"/>
          <w:kern w:val="0"/>
          <w:sz w:val="24"/>
        </w:rPr>
      </w:pPr>
      <w:r w:rsidRPr="005B6BAC">
        <w:rPr>
          <w:rFonts w:ascii="Times New Roman" w:hAnsi="Times New Roman" w:cs="Times New Roman"/>
          <w:b/>
          <w:color w:val="000000"/>
          <w:kern w:val="0"/>
          <w:sz w:val="24"/>
        </w:rPr>
        <w:t>Supplementary Figures S1-9</w:t>
      </w:r>
    </w:p>
    <w:p w14:paraId="64102BE5" w14:textId="534FE810" w:rsidR="0061132A" w:rsidRPr="005B6BAC" w:rsidRDefault="0061132A" w:rsidP="0061132A">
      <w:pPr>
        <w:spacing w:line="276" w:lineRule="auto"/>
        <w:rPr>
          <w:rFonts w:ascii="Times New Roman" w:eastAsia="楷体" w:hAnsi="Times New Roman" w:cs="Times New Roman"/>
          <w:sz w:val="24"/>
        </w:rPr>
      </w:pPr>
      <w:r w:rsidRPr="005B6BAC">
        <w:rPr>
          <w:rFonts w:ascii="Times New Roman" w:eastAsia="楷体" w:hAnsi="Times New Roman" w:cs="Times New Roman"/>
          <w:b/>
          <w:bCs/>
          <w:sz w:val="24"/>
        </w:rPr>
        <w:t>Figure S1.</w:t>
      </w:r>
      <w:r w:rsidRPr="005B6BAC">
        <w:rPr>
          <w:rFonts w:ascii="Times New Roman" w:eastAsia="楷体" w:hAnsi="Times New Roman" w:cs="Times New Roman"/>
          <w:sz w:val="24"/>
        </w:rPr>
        <w:t xml:space="preserve"> Gut microbiota composition in FRI, FH, and HC groups. (a) Taxonomy composition at the phylum level. (b) Taxonomy composition at the genus level. (c) Firmicutes to Bacteroidetes ratio. </w:t>
      </w:r>
    </w:p>
    <w:p w14:paraId="3B8697B0" w14:textId="77777777" w:rsidR="0061132A" w:rsidRPr="005B6BAC" w:rsidRDefault="0061132A" w:rsidP="0061132A">
      <w:pPr>
        <w:spacing w:line="276" w:lineRule="auto"/>
        <w:rPr>
          <w:rFonts w:ascii="Times New Roman" w:eastAsia="楷体" w:hAnsi="Times New Roman" w:cs="Times New Roman"/>
          <w:sz w:val="24"/>
        </w:rPr>
      </w:pPr>
    </w:p>
    <w:p w14:paraId="5B70CFE0" w14:textId="357607AA" w:rsidR="0061132A" w:rsidRPr="005B6BAC" w:rsidRDefault="0061132A" w:rsidP="0061132A">
      <w:pPr>
        <w:spacing w:line="276" w:lineRule="auto"/>
        <w:rPr>
          <w:rFonts w:ascii="Times New Roman" w:eastAsia="楷体" w:hAnsi="Times New Roman" w:cs="Times New Roman"/>
          <w:sz w:val="24"/>
        </w:rPr>
      </w:pPr>
      <w:r w:rsidRPr="005B6BAC">
        <w:rPr>
          <w:rFonts w:ascii="Times New Roman" w:eastAsia="楷体" w:hAnsi="Times New Roman" w:cs="Times New Roman"/>
          <w:b/>
          <w:bCs/>
          <w:sz w:val="24"/>
        </w:rPr>
        <w:t>Figure S2.</w:t>
      </w:r>
      <w:r w:rsidRPr="005B6BAC">
        <w:rPr>
          <w:rFonts w:ascii="Times New Roman" w:eastAsia="楷体" w:hAnsi="Times New Roman" w:cs="Times New Roman"/>
          <w:sz w:val="24"/>
        </w:rPr>
        <w:t xml:space="preserve"> Comparison of bacterial differential abundance between FRI and FH groups. (a) α diversity indicated by Shannon’s diversity index. (b) α diversity indicated by PD whole tree index. (c)</w:t>
      </w:r>
      <w:r w:rsidRPr="005B6BAC">
        <w:rPr>
          <w:rFonts w:ascii="Times New Roman" w:eastAsia="楷体" w:hAnsi="Times New Roman" w:cs="Times New Roman"/>
          <w:b/>
          <w:bCs/>
          <w:sz w:val="24"/>
        </w:rPr>
        <w:t xml:space="preserve"> </w:t>
      </w:r>
      <w:r w:rsidRPr="005B6BAC">
        <w:rPr>
          <w:rFonts w:ascii="Times New Roman" w:eastAsia="楷体" w:hAnsi="Times New Roman" w:cs="Times New Roman"/>
          <w:sz w:val="24"/>
        </w:rPr>
        <w:t xml:space="preserve">PCoA based on Unweighted UniFrac distance. (d) PCoA based on weighted UniFrac distance. (e) LDA score of LEfSe (FRI vs. FH). </w:t>
      </w:r>
    </w:p>
    <w:p w14:paraId="0C10DE9A" w14:textId="77777777" w:rsidR="0061132A" w:rsidRPr="005B6BAC" w:rsidRDefault="0061132A" w:rsidP="0061132A">
      <w:pPr>
        <w:spacing w:line="276" w:lineRule="auto"/>
        <w:rPr>
          <w:rFonts w:ascii="Times New Roman" w:eastAsia="楷体" w:hAnsi="Times New Roman" w:cs="Times New Roman"/>
          <w:sz w:val="24"/>
        </w:rPr>
      </w:pPr>
    </w:p>
    <w:p w14:paraId="11E39C7E" w14:textId="77777777" w:rsidR="0061132A" w:rsidRPr="005B6BAC" w:rsidRDefault="0061132A" w:rsidP="0061132A">
      <w:pPr>
        <w:spacing w:line="276" w:lineRule="auto"/>
        <w:rPr>
          <w:rFonts w:ascii="Times New Roman" w:eastAsia="楷体" w:hAnsi="Times New Roman" w:cs="Times New Roman"/>
          <w:sz w:val="24"/>
        </w:rPr>
      </w:pPr>
      <w:r w:rsidRPr="005B6BAC">
        <w:rPr>
          <w:rFonts w:ascii="Times New Roman" w:eastAsia="楷体" w:hAnsi="Times New Roman" w:cs="Times New Roman"/>
          <w:b/>
          <w:bCs/>
          <w:sz w:val="24"/>
        </w:rPr>
        <w:t>Figure S3.</w:t>
      </w:r>
      <w:r w:rsidRPr="005B6BAC">
        <w:rPr>
          <w:rFonts w:ascii="Times New Roman" w:eastAsia="楷体" w:hAnsi="Times New Roman" w:cs="Times New Roman"/>
          <w:sz w:val="24"/>
        </w:rPr>
        <w:t xml:space="preserve"> Abundance of bacteria for Dysbiosis Index building. (a) Mean bacterial genera abundance for Dysbiosis Index construction in FRI, FH, and HC groups. (b-o) Bacterial differential genera abundance in FRI, FH, and HC groups. </w:t>
      </w:r>
    </w:p>
    <w:p w14:paraId="321FB5A8" w14:textId="21A9C894" w:rsidR="00563B19" w:rsidRPr="005B6BAC" w:rsidRDefault="0061132A" w:rsidP="0061132A">
      <w:pPr>
        <w:spacing w:line="276" w:lineRule="auto"/>
        <w:rPr>
          <w:rFonts w:ascii="Times New Roman" w:eastAsia="楷体" w:hAnsi="Times New Roman" w:cs="Times New Roman"/>
          <w:sz w:val="24"/>
        </w:rPr>
      </w:pPr>
      <w:r w:rsidRPr="005B6BAC">
        <w:rPr>
          <w:rFonts w:ascii="Times New Roman" w:eastAsia="楷体" w:hAnsi="Times New Roman" w:cs="Times New Roman"/>
          <w:b/>
          <w:bCs/>
          <w:sz w:val="24"/>
        </w:rPr>
        <w:lastRenderedPageBreak/>
        <w:t>Figure S4.</w:t>
      </w:r>
      <w:r w:rsidRPr="005B6BAC">
        <w:rPr>
          <w:rFonts w:ascii="Times New Roman" w:eastAsia="楷体" w:hAnsi="Times New Roman" w:cs="Times New Roman"/>
          <w:sz w:val="24"/>
        </w:rPr>
        <w:t xml:space="preserve"> Dysbiosis Index construction based on generalized linear model (GLM).</w:t>
      </w:r>
      <w:r w:rsidR="007F2AD4" w:rsidRPr="005B6BAC">
        <w:rPr>
          <w:rFonts w:ascii="Times New Roman" w:eastAsia="楷体" w:hAnsi="Times New Roman" w:cs="Times New Roman"/>
          <w:sz w:val="24"/>
        </w:rPr>
        <w:t xml:space="preserve"> (a) Bacteria genera for Dysbiosis Index building. (</w:t>
      </w:r>
      <w:r w:rsidR="00563B19" w:rsidRPr="005B6BAC">
        <w:rPr>
          <w:rFonts w:ascii="Times New Roman" w:eastAsia="楷体" w:hAnsi="Times New Roman" w:cs="Times New Roman"/>
          <w:sz w:val="24"/>
        </w:rPr>
        <w:t>b</w:t>
      </w:r>
      <w:r w:rsidR="007F2AD4" w:rsidRPr="005B6BAC">
        <w:rPr>
          <w:rFonts w:ascii="Times New Roman" w:eastAsia="楷体" w:hAnsi="Times New Roman" w:cs="Times New Roman"/>
          <w:sz w:val="24"/>
        </w:rPr>
        <w:t>) Dysbiosis Index (FRI vs. FH vs. HC). (</w:t>
      </w:r>
      <w:r w:rsidR="00563B19" w:rsidRPr="005B6BAC">
        <w:rPr>
          <w:rFonts w:ascii="Times New Roman" w:eastAsia="楷体" w:hAnsi="Times New Roman" w:cs="Times New Roman"/>
          <w:sz w:val="24"/>
        </w:rPr>
        <w:t>c</w:t>
      </w:r>
      <w:r w:rsidR="007F2AD4" w:rsidRPr="005B6BAC">
        <w:rPr>
          <w:rFonts w:ascii="Times New Roman" w:eastAsia="楷体" w:hAnsi="Times New Roman" w:cs="Times New Roman"/>
          <w:sz w:val="24"/>
        </w:rPr>
        <w:t>)</w:t>
      </w:r>
      <w:r w:rsidR="00563B19" w:rsidRPr="005B6BAC">
        <w:rPr>
          <w:rFonts w:ascii="Times New Roman" w:eastAsia="楷体" w:hAnsi="Times New Roman" w:cs="Times New Roman"/>
          <w:sz w:val="24"/>
        </w:rPr>
        <w:t xml:space="preserve"> The Dysbiosis Index (HC vs. FH vs. Yes vs. No). (d)-(k) AUC showing diagnostic accuracy of gut microbiota composition for FRI vs. HC, FRI vs. FH, FH vs. HC, Yes vs. N</w:t>
      </w:r>
      <w:r w:rsidR="005B6BAC" w:rsidRPr="005B6BAC">
        <w:rPr>
          <w:rFonts w:ascii="Times New Roman" w:eastAsia="楷体" w:hAnsi="Times New Roman" w:cs="Times New Roman"/>
          <w:sz w:val="24"/>
        </w:rPr>
        <w:t>o, Yes vs. HC, Yes vs. FH, No vs. HC, and No vs. FH.</w:t>
      </w:r>
      <w:r w:rsidR="001E6C17">
        <w:rPr>
          <w:rFonts w:ascii="Times New Roman" w:eastAsia="楷体" w:hAnsi="Times New Roman" w:cs="Times New Roman"/>
          <w:sz w:val="24"/>
        </w:rPr>
        <w:t xml:space="preserve"> </w:t>
      </w:r>
      <w:r w:rsidR="001E6C17" w:rsidRPr="001E6C17">
        <w:rPr>
          <w:rFonts w:ascii="Times New Roman" w:eastAsia="楷体" w:hAnsi="Times New Roman" w:cs="Times New Roman"/>
          <w:sz w:val="24"/>
        </w:rPr>
        <w:t xml:space="preserve">“Yes” for FRI subgroup with sinus tract or pus before operation and “No” for FRI subgroup without sinus tract or pus before operation. </w:t>
      </w:r>
    </w:p>
    <w:p w14:paraId="241652B9" w14:textId="77777777" w:rsidR="004C4112" w:rsidRDefault="004C4112" w:rsidP="004C4112">
      <w:pPr>
        <w:spacing w:line="276" w:lineRule="auto"/>
        <w:rPr>
          <w:rFonts w:ascii="Times New Roman" w:eastAsia="楷体" w:hAnsi="Times New Roman" w:cs="Times New Roman"/>
          <w:b/>
          <w:bCs/>
          <w:sz w:val="24"/>
        </w:rPr>
      </w:pPr>
    </w:p>
    <w:p w14:paraId="392537EA" w14:textId="72D3F739" w:rsidR="004C4112" w:rsidRPr="001E6C17" w:rsidRDefault="004C4112" w:rsidP="004C4112">
      <w:pPr>
        <w:spacing w:line="276" w:lineRule="auto"/>
        <w:rPr>
          <w:rFonts w:ascii="Times New Roman" w:eastAsia="楷体" w:hAnsi="Times New Roman" w:cs="Times New Roman"/>
          <w:sz w:val="24"/>
        </w:rPr>
      </w:pPr>
      <w:r w:rsidRPr="005B6BAC">
        <w:rPr>
          <w:rFonts w:ascii="Times New Roman" w:eastAsia="楷体" w:hAnsi="Times New Roman" w:cs="Times New Roman"/>
          <w:b/>
          <w:bCs/>
          <w:sz w:val="24"/>
        </w:rPr>
        <w:t>Figure S</w:t>
      </w:r>
      <w:r>
        <w:rPr>
          <w:rFonts w:ascii="Times New Roman" w:eastAsia="楷体" w:hAnsi="Times New Roman" w:cs="Times New Roman"/>
          <w:b/>
          <w:bCs/>
          <w:sz w:val="24"/>
        </w:rPr>
        <w:t>5</w:t>
      </w:r>
      <w:r w:rsidRPr="005B6BAC">
        <w:rPr>
          <w:rFonts w:ascii="Times New Roman" w:eastAsia="楷体" w:hAnsi="Times New Roman" w:cs="Times New Roman"/>
          <w:b/>
          <w:bCs/>
          <w:sz w:val="24"/>
        </w:rPr>
        <w:t xml:space="preserve">. </w:t>
      </w:r>
      <w:r w:rsidRPr="004C4112">
        <w:rPr>
          <w:rFonts w:ascii="Times New Roman" w:eastAsia="楷体" w:hAnsi="Times New Roman" w:cs="Times New Roman"/>
          <w:sz w:val="24"/>
        </w:rPr>
        <w:t>Dysbiosis Index construction based on differential genus identified by Linear discriminant analysis effect size (LEfSe) with filtered genus constructed by closed-reference OTU picking method and its ability of discriminate FRI from controls.</w:t>
      </w:r>
      <w:r w:rsidRPr="005B6BAC">
        <w:rPr>
          <w:rFonts w:ascii="Times New Roman" w:eastAsia="楷体" w:hAnsi="Times New Roman" w:cs="Times New Roman"/>
          <w:sz w:val="24"/>
        </w:rPr>
        <w:t xml:space="preserve"> (a) Bacteria genera for Dysbiosis Index building. (b) Dysbiosis Index (FRI vs. FH vs. HC). (c) The Dysbiosis Index (HC vs. FH vs. Yes vs. No). (d)-(k) AUC showing diagnostic accuracy of gut microbiota composition for FRI vs. HC, FRI vs. FH, FH vs. HC, Yes vs. No, Yes vs. HC, Yes vs. FH, No vs. HC, and No vs. FH.</w:t>
      </w:r>
      <w:r>
        <w:rPr>
          <w:rFonts w:ascii="Times New Roman" w:eastAsia="楷体" w:hAnsi="Times New Roman" w:cs="Times New Roman"/>
          <w:sz w:val="24"/>
        </w:rPr>
        <w:t xml:space="preserve"> </w:t>
      </w:r>
      <w:r w:rsidRPr="001E6C17">
        <w:rPr>
          <w:rFonts w:ascii="Times New Roman" w:eastAsia="楷体" w:hAnsi="Times New Roman" w:cs="Times New Roman"/>
          <w:sz w:val="24"/>
        </w:rPr>
        <w:t xml:space="preserve">“Yes” for FRI subgroup with sinus tract or pus before operation and “No” for FRI subgroup without sinus tract or pus before operation. </w:t>
      </w:r>
    </w:p>
    <w:p w14:paraId="63DEE09A" w14:textId="77777777" w:rsidR="004C4112" w:rsidRPr="005B6BAC" w:rsidRDefault="004C4112" w:rsidP="004C4112">
      <w:pPr>
        <w:autoSpaceDE w:val="0"/>
        <w:adjustRightInd w:val="0"/>
        <w:snapToGrid w:val="0"/>
        <w:spacing w:line="276" w:lineRule="auto"/>
        <w:rPr>
          <w:rFonts w:ascii="Times New Roman" w:eastAsia="楷体" w:hAnsi="Times New Roman" w:cs="Times New Roman"/>
          <w:b/>
          <w:bCs/>
          <w:sz w:val="24"/>
        </w:rPr>
      </w:pPr>
    </w:p>
    <w:p w14:paraId="2E5A1FFF" w14:textId="6FC61547" w:rsidR="0061132A" w:rsidRPr="005B6BAC" w:rsidRDefault="004C4112" w:rsidP="004C4112">
      <w:pPr>
        <w:spacing w:line="276" w:lineRule="auto"/>
        <w:rPr>
          <w:rFonts w:ascii="Times New Roman" w:eastAsia="楷体" w:hAnsi="Times New Roman" w:cs="Times New Roman"/>
          <w:sz w:val="24"/>
        </w:rPr>
      </w:pPr>
      <w:r w:rsidRPr="005B6BAC">
        <w:rPr>
          <w:rFonts w:ascii="Times New Roman" w:eastAsia="楷体" w:hAnsi="Times New Roman" w:cs="Times New Roman"/>
          <w:b/>
          <w:bCs/>
          <w:sz w:val="24"/>
        </w:rPr>
        <w:t>Figure S</w:t>
      </w:r>
      <w:r>
        <w:rPr>
          <w:rFonts w:ascii="Times New Roman" w:eastAsia="楷体" w:hAnsi="Times New Roman" w:cs="Times New Roman"/>
          <w:b/>
          <w:bCs/>
          <w:sz w:val="24"/>
        </w:rPr>
        <w:t>6</w:t>
      </w:r>
      <w:r w:rsidRPr="005B6BAC">
        <w:rPr>
          <w:rFonts w:ascii="Times New Roman" w:eastAsia="楷体" w:hAnsi="Times New Roman" w:cs="Times New Roman"/>
          <w:b/>
          <w:bCs/>
          <w:sz w:val="24"/>
        </w:rPr>
        <w:t xml:space="preserve">. </w:t>
      </w:r>
      <w:r w:rsidRPr="004C4112">
        <w:rPr>
          <w:rFonts w:ascii="Times New Roman" w:eastAsia="楷体" w:hAnsi="Times New Roman" w:cs="Times New Roman"/>
          <w:sz w:val="24"/>
        </w:rPr>
        <w:t>Dysbiosis Index construction based on differential genus identified by generalized linear model (GLM) with filtered genus constructed by closed-reference OTU picking method and its ability of discriminate FRI from controls.</w:t>
      </w:r>
      <w:r w:rsidRPr="005B6BAC">
        <w:rPr>
          <w:rFonts w:ascii="Times New Roman" w:eastAsia="楷体" w:hAnsi="Times New Roman" w:cs="Times New Roman"/>
          <w:sz w:val="24"/>
        </w:rPr>
        <w:t xml:space="preserve"> (a) Bacteria genera for Dysbiosis Index building. (b) Dysbiosis Index (FRI vs. FH vs. HC). (c) The Dysbiosis Index (HC vs. FH vs. Yes vs. No). (d)-(k) AUC showing diagnostic accuracy of gut microbiota composition for FRI vs. HC, FRI vs. FH, FH vs. HC, Yes vs. No, Yes vs. HC, Yes vs. FH, No vs. HC, and No vs. FH.</w:t>
      </w:r>
      <w:r>
        <w:rPr>
          <w:rFonts w:ascii="Times New Roman" w:eastAsia="楷体" w:hAnsi="Times New Roman" w:cs="Times New Roman"/>
          <w:sz w:val="24"/>
        </w:rPr>
        <w:t xml:space="preserve"> </w:t>
      </w:r>
      <w:r w:rsidRPr="001E6C17">
        <w:rPr>
          <w:rFonts w:ascii="Times New Roman" w:eastAsia="楷体" w:hAnsi="Times New Roman" w:cs="Times New Roman"/>
          <w:sz w:val="24"/>
        </w:rPr>
        <w:t>“Yes” for FRI subgroup with sinus tract or pus before operation and “No” for FRI subgroup without sinus tract or pus before operation.</w:t>
      </w:r>
    </w:p>
    <w:p w14:paraId="78503956" w14:textId="77777777" w:rsidR="004C4112" w:rsidRDefault="004C4112" w:rsidP="0061132A">
      <w:pPr>
        <w:spacing w:line="276" w:lineRule="auto"/>
        <w:rPr>
          <w:rFonts w:ascii="Times New Roman" w:eastAsia="楷体" w:hAnsi="Times New Roman" w:cs="Times New Roman"/>
          <w:b/>
          <w:bCs/>
          <w:sz w:val="24"/>
        </w:rPr>
      </w:pPr>
    </w:p>
    <w:p w14:paraId="63F758A0" w14:textId="01FE8DF6" w:rsidR="0061132A" w:rsidRPr="005B6BAC" w:rsidRDefault="0061132A" w:rsidP="0061132A">
      <w:pPr>
        <w:spacing w:line="276" w:lineRule="auto"/>
        <w:rPr>
          <w:rFonts w:ascii="Times New Roman" w:eastAsia="楷体" w:hAnsi="Times New Roman" w:cs="Times New Roman"/>
          <w:sz w:val="24"/>
        </w:rPr>
      </w:pPr>
      <w:r w:rsidRPr="005B6BAC">
        <w:rPr>
          <w:rFonts w:ascii="Times New Roman" w:eastAsia="楷体" w:hAnsi="Times New Roman" w:cs="Times New Roman"/>
          <w:b/>
          <w:bCs/>
          <w:sz w:val="24"/>
        </w:rPr>
        <w:t>Figure S</w:t>
      </w:r>
      <w:r w:rsidR="004C4112">
        <w:rPr>
          <w:rFonts w:ascii="Times New Roman" w:eastAsia="楷体" w:hAnsi="Times New Roman" w:cs="Times New Roman"/>
          <w:b/>
          <w:bCs/>
          <w:sz w:val="24"/>
        </w:rPr>
        <w:t>7</w:t>
      </w:r>
      <w:r w:rsidRPr="005B6BAC">
        <w:rPr>
          <w:rFonts w:ascii="Times New Roman" w:eastAsia="楷体" w:hAnsi="Times New Roman" w:cs="Times New Roman"/>
          <w:b/>
          <w:bCs/>
          <w:sz w:val="24"/>
        </w:rPr>
        <w:t xml:space="preserve">. </w:t>
      </w:r>
      <w:r w:rsidRPr="005B6BAC">
        <w:rPr>
          <w:rFonts w:ascii="Times New Roman" w:eastAsia="楷体" w:hAnsi="Times New Roman" w:cs="Times New Roman"/>
          <w:sz w:val="24"/>
        </w:rPr>
        <w:t>Faecal microbiota composition in relation to visible pus or sinus tract in FRI group. (a) Taxonomy composition at the phylum level. (b) Taxonomy composition at the genus level.</w:t>
      </w:r>
      <w:r w:rsidRPr="005B6BAC">
        <w:rPr>
          <w:rFonts w:ascii="Times New Roman" w:eastAsia="楷体" w:hAnsi="Times New Roman" w:cs="Times New Roman"/>
          <w:b/>
          <w:bCs/>
          <w:sz w:val="24"/>
        </w:rPr>
        <w:t xml:space="preserve"> </w:t>
      </w:r>
      <w:r w:rsidRPr="005B6BAC">
        <w:rPr>
          <w:rFonts w:ascii="Times New Roman" w:eastAsia="楷体" w:hAnsi="Times New Roman" w:cs="Times New Roman"/>
          <w:sz w:val="24"/>
        </w:rPr>
        <w:t>(c-f) AUC showing diagnostic accuracy of gut microbiota composition in judgement of sinus tract or pus before operation in FRI group (c: HC vs. No; d: HC vs. Yes; e: FH vs. No; f: FH vs. Yes). “Yes” for FRI subgroup with sinus tract or pus before operation and “No” for FRI subgroup without sinus tract or pus before operation.</w:t>
      </w:r>
    </w:p>
    <w:p w14:paraId="54914800" w14:textId="77777777" w:rsidR="0061132A" w:rsidRPr="005B6BAC" w:rsidRDefault="0061132A" w:rsidP="0061132A">
      <w:pPr>
        <w:spacing w:line="276" w:lineRule="auto"/>
        <w:rPr>
          <w:rFonts w:ascii="Times New Roman" w:eastAsia="楷体" w:hAnsi="Times New Roman" w:cs="Times New Roman"/>
          <w:sz w:val="24"/>
        </w:rPr>
      </w:pPr>
    </w:p>
    <w:p w14:paraId="230FDD93" w14:textId="0B7B3E84" w:rsidR="0061132A" w:rsidRPr="005B6BAC" w:rsidRDefault="0061132A" w:rsidP="0061132A">
      <w:pPr>
        <w:spacing w:line="276" w:lineRule="auto"/>
        <w:rPr>
          <w:rFonts w:ascii="Times New Roman" w:eastAsia="楷体" w:hAnsi="Times New Roman" w:cs="Times New Roman"/>
          <w:sz w:val="24"/>
        </w:rPr>
      </w:pPr>
      <w:r w:rsidRPr="005B6BAC">
        <w:rPr>
          <w:rFonts w:ascii="Times New Roman" w:eastAsia="楷体" w:hAnsi="Times New Roman" w:cs="Times New Roman"/>
          <w:b/>
          <w:bCs/>
          <w:sz w:val="24"/>
        </w:rPr>
        <w:t>Figure S</w:t>
      </w:r>
      <w:r w:rsidR="004C4112">
        <w:rPr>
          <w:rFonts w:ascii="Times New Roman" w:eastAsia="楷体" w:hAnsi="Times New Roman" w:cs="Times New Roman"/>
          <w:b/>
          <w:bCs/>
          <w:sz w:val="24"/>
        </w:rPr>
        <w:t>8</w:t>
      </w:r>
      <w:r w:rsidRPr="005B6BAC">
        <w:rPr>
          <w:rFonts w:ascii="Times New Roman" w:eastAsia="楷体" w:hAnsi="Times New Roman" w:cs="Times New Roman"/>
          <w:b/>
          <w:bCs/>
          <w:sz w:val="24"/>
        </w:rPr>
        <w:t xml:space="preserve">. </w:t>
      </w:r>
      <w:r w:rsidRPr="005B6BAC">
        <w:rPr>
          <w:rFonts w:ascii="Times New Roman" w:eastAsia="楷体" w:hAnsi="Times New Roman" w:cs="Times New Roman"/>
          <w:sz w:val="24"/>
        </w:rPr>
        <w:t>Levels of serum inflammatory markers in FRI and FH groups. WBC: white blood cell count; PCT: procalcitonin; IL-6: interleukin- 6; TNF-α: tumor necrosis factor-α; UA: uric acid; VD: vitamin D; Glu: glucose.</w:t>
      </w:r>
    </w:p>
    <w:p w14:paraId="3B4C787B" w14:textId="77777777" w:rsidR="0061132A" w:rsidRPr="005B6BAC" w:rsidRDefault="0061132A" w:rsidP="0061132A">
      <w:pPr>
        <w:spacing w:line="276" w:lineRule="auto"/>
        <w:rPr>
          <w:rFonts w:ascii="Times New Roman" w:eastAsia="楷体" w:hAnsi="Times New Roman" w:cs="Times New Roman"/>
          <w:sz w:val="24"/>
        </w:rPr>
      </w:pPr>
    </w:p>
    <w:p w14:paraId="32B41603" w14:textId="097F389B" w:rsidR="0061132A" w:rsidRPr="005B6BAC" w:rsidRDefault="0061132A" w:rsidP="0061132A">
      <w:pPr>
        <w:spacing w:line="276" w:lineRule="auto"/>
        <w:rPr>
          <w:rFonts w:ascii="Times New Roman" w:eastAsia="楷体" w:hAnsi="Times New Roman" w:cs="Times New Roman"/>
          <w:sz w:val="24"/>
        </w:rPr>
      </w:pPr>
      <w:r w:rsidRPr="005B6BAC">
        <w:rPr>
          <w:rFonts w:ascii="Times New Roman" w:eastAsia="楷体" w:hAnsi="Times New Roman" w:cs="Times New Roman"/>
          <w:b/>
          <w:bCs/>
          <w:sz w:val="24"/>
        </w:rPr>
        <w:lastRenderedPageBreak/>
        <w:t>Figure S</w:t>
      </w:r>
      <w:r w:rsidR="004C4112">
        <w:rPr>
          <w:rFonts w:ascii="Times New Roman" w:eastAsia="楷体" w:hAnsi="Times New Roman" w:cs="Times New Roman"/>
          <w:b/>
          <w:bCs/>
          <w:sz w:val="24"/>
        </w:rPr>
        <w:t>9</w:t>
      </w:r>
      <w:r w:rsidRPr="005B6BAC">
        <w:rPr>
          <w:rFonts w:ascii="Times New Roman" w:eastAsia="楷体" w:hAnsi="Times New Roman" w:cs="Times New Roman"/>
          <w:b/>
          <w:bCs/>
          <w:sz w:val="24"/>
        </w:rPr>
        <w:t>.</w:t>
      </w:r>
      <w:r w:rsidRPr="005B6BAC">
        <w:rPr>
          <w:rFonts w:ascii="Times New Roman" w:eastAsia="楷体" w:hAnsi="Times New Roman" w:cs="Times New Roman"/>
          <w:sz w:val="24"/>
        </w:rPr>
        <w:t xml:space="preserve"> AUC of serum inflammatory markers as differential diagnosis indicators. </w:t>
      </w:r>
    </w:p>
    <w:p w14:paraId="41BD411D" w14:textId="77777777" w:rsidR="0061132A" w:rsidRPr="005B6BAC" w:rsidRDefault="0061132A" w:rsidP="0061132A">
      <w:pPr>
        <w:spacing w:line="276" w:lineRule="auto"/>
        <w:rPr>
          <w:rFonts w:ascii="Times New Roman" w:eastAsia="楷体" w:hAnsi="Times New Roman" w:cs="Times New Roman"/>
          <w:sz w:val="24"/>
        </w:rPr>
      </w:pPr>
      <w:r w:rsidRPr="005B6BAC">
        <w:rPr>
          <w:rFonts w:ascii="Times New Roman" w:eastAsia="楷体" w:hAnsi="Times New Roman" w:cs="Times New Roman"/>
          <w:sz w:val="24"/>
        </w:rPr>
        <w:t>WBC: white blood cell count; NEU: percentage of neutrophils; ESR: erythrocyte sedimentation rate; CRP: C-reactive protein; PCT: procalcitonin; IL-6: interleukin- 6; TNF-α: tumor necrosis factor-α; SAA: serum amyloid A; VD: vitamin D; Glu: glucose.</w:t>
      </w:r>
    </w:p>
    <w:p w14:paraId="752CB39F" w14:textId="77777777" w:rsidR="004C4112" w:rsidRDefault="004C4112" w:rsidP="004C4112">
      <w:pPr>
        <w:spacing w:line="276" w:lineRule="auto"/>
        <w:rPr>
          <w:rFonts w:ascii="Times New Roman" w:hAnsi="Times New Roman" w:cs="Times New Roman"/>
          <w:sz w:val="24"/>
        </w:rPr>
      </w:pPr>
    </w:p>
    <w:p w14:paraId="4F9F7A24" w14:textId="7EF153BA" w:rsidR="0061132A" w:rsidRPr="004C4112" w:rsidRDefault="007F2AD4" w:rsidP="004C4112">
      <w:pPr>
        <w:spacing w:line="276" w:lineRule="auto"/>
        <w:rPr>
          <w:rFonts w:ascii="Times New Roman" w:eastAsia="楷体" w:hAnsi="Times New Roman" w:cs="Times New Roman" w:hint="eastAsia"/>
          <w:sz w:val="24"/>
        </w:rPr>
      </w:pPr>
      <w:r w:rsidRPr="005B6BAC">
        <w:rPr>
          <w:rFonts w:ascii="Times New Roman" w:hAnsi="Times New Roman" w:cs="Times New Roman" w:hint="eastAsia"/>
          <w:b/>
          <w:color w:val="000000"/>
          <w:kern w:val="0"/>
          <w:sz w:val="24"/>
        </w:rPr>
        <w:t>T</w:t>
      </w:r>
      <w:r w:rsidRPr="005B6BAC">
        <w:rPr>
          <w:rFonts w:ascii="Times New Roman" w:hAnsi="Times New Roman" w:cs="Times New Roman"/>
          <w:b/>
          <w:color w:val="000000"/>
          <w:kern w:val="0"/>
          <w:sz w:val="24"/>
        </w:rPr>
        <w:t>able S1</w:t>
      </w:r>
      <w:r w:rsidRPr="005B6BAC">
        <w:rPr>
          <w:rFonts w:ascii="Times New Roman" w:hAnsi="Times New Roman" w:cs="Times New Roman" w:hint="eastAsia"/>
          <w:b/>
          <w:color w:val="000000"/>
          <w:kern w:val="0"/>
          <w:sz w:val="24"/>
        </w:rPr>
        <w:t>.</w:t>
      </w:r>
      <w:r w:rsidRPr="005B6BAC">
        <w:rPr>
          <w:rFonts w:ascii="Times New Roman" w:hAnsi="Times New Roman" w:cs="Times New Roman"/>
          <w:b/>
          <w:color w:val="000000"/>
          <w:kern w:val="0"/>
          <w:sz w:val="24"/>
        </w:rPr>
        <w:t xml:space="preserve"> </w:t>
      </w:r>
      <w:r w:rsidRPr="005B6BAC">
        <w:rPr>
          <w:rFonts w:ascii="Times New Roman" w:eastAsia="楷体" w:hAnsi="Times New Roman" w:cs="Times New Roman"/>
          <w:sz w:val="24"/>
        </w:rPr>
        <w:t xml:space="preserve">Clinical information of included </w:t>
      </w:r>
      <w:r w:rsidR="007253B0" w:rsidRPr="007253B0">
        <w:rPr>
          <w:rFonts w:ascii="Times New Roman" w:eastAsia="楷体" w:hAnsi="Times New Roman" w:cs="Times New Roman"/>
          <w:sz w:val="24"/>
        </w:rPr>
        <w:t>participants</w:t>
      </w:r>
      <w:r w:rsidRPr="005B6BAC">
        <w:rPr>
          <w:rFonts w:ascii="Times New Roman" w:eastAsia="楷体" w:hAnsi="Times New Roman" w:cs="Times New Roman"/>
          <w:sz w:val="24"/>
        </w:rPr>
        <w:t>.</w:t>
      </w:r>
    </w:p>
    <w:sectPr w:rsidR="0061132A" w:rsidRPr="004C4112" w:rsidSect="00492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vOT3c2d9f11">
    <w:altName w:val="Times New Roman"/>
    <w:panose1 w:val="020B0604020202020204"/>
    <w:charset w:val="00"/>
    <w:family w:val="roman"/>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47"/>
    <w:rsid w:val="B37CBB7B"/>
    <w:rsid w:val="C7FFD437"/>
    <w:rsid w:val="F7BE979F"/>
    <w:rsid w:val="FFBD5449"/>
    <w:rsid w:val="000231AD"/>
    <w:rsid w:val="00023471"/>
    <w:rsid w:val="0009739D"/>
    <w:rsid w:val="000A354F"/>
    <w:rsid w:val="00123A4A"/>
    <w:rsid w:val="001440BC"/>
    <w:rsid w:val="00196702"/>
    <w:rsid w:val="001E6C17"/>
    <w:rsid w:val="00230756"/>
    <w:rsid w:val="003E1DB9"/>
    <w:rsid w:val="00417550"/>
    <w:rsid w:val="0046479A"/>
    <w:rsid w:val="004920BE"/>
    <w:rsid w:val="004C4112"/>
    <w:rsid w:val="0054113B"/>
    <w:rsid w:val="00563B19"/>
    <w:rsid w:val="005B6BAC"/>
    <w:rsid w:val="0061132A"/>
    <w:rsid w:val="00636C87"/>
    <w:rsid w:val="00641FBC"/>
    <w:rsid w:val="00650100"/>
    <w:rsid w:val="007253B0"/>
    <w:rsid w:val="00785774"/>
    <w:rsid w:val="007968C4"/>
    <w:rsid w:val="007F2AD4"/>
    <w:rsid w:val="007F75D4"/>
    <w:rsid w:val="00844982"/>
    <w:rsid w:val="00846941"/>
    <w:rsid w:val="00880AFD"/>
    <w:rsid w:val="00895DA4"/>
    <w:rsid w:val="00A1570D"/>
    <w:rsid w:val="00AE682E"/>
    <w:rsid w:val="00BB14FA"/>
    <w:rsid w:val="00C5566F"/>
    <w:rsid w:val="00C76758"/>
    <w:rsid w:val="00CA2234"/>
    <w:rsid w:val="00CC0A47"/>
    <w:rsid w:val="00D90842"/>
    <w:rsid w:val="00DE133D"/>
    <w:rsid w:val="00E34AA6"/>
    <w:rsid w:val="00E422DD"/>
    <w:rsid w:val="00E54990"/>
    <w:rsid w:val="00F7379F"/>
    <w:rsid w:val="00F9672D"/>
    <w:rsid w:val="00FD6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D295"/>
  <w15:docId w15:val="{97B43C9B-783D-47E0-BF13-0E794E5F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4">
    <w:name w:val="line number"/>
    <w:basedOn w:val="a0"/>
    <w:uiPriority w:val="99"/>
    <w:unhideWhenUsed/>
    <w:qFormat/>
  </w:style>
  <w:style w:type="paragraph" w:customStyle="1" w:styleId="Authornames">
    <w:name w:val="Author names"/>
    <w:basedOn w:val="a"/>
    <w:next w:val="a"/>
    <w:qFormat/>
    <w:rsid w:val="0061132A"/>
    <w:pPr>
      <w:widowControl/>
      <w:spacing w:before="240" w:line="360" w:lineRule="auto"/>
      <w:jc w:val="left"/>
    </w:pPr>
    <w:rPr>
      <w:rFonts w:ascii="Times New Roman" w:eastAsia="宋体" w:hAnsi="Times New Roman" w:cs="Times New Roman"/>
      <w:kern w:val="0"/>
      <w:sz w:val="28"/>
      <w:lang w:val="en-GB" w:eastAsia="en-GB"/>
    </w:rPr>
  </w:style>
  <w:style w:type="paragraph" w:customStyle="1" w:styleId="Affiliation">
    <w:name w:val="Affiliation"/>
    <w:basedOn w:val="a"/>
    <w:qFormat/>
    <w:rsid w:val="0061132A"/>
    <w:pPr>
      <w:widowControl/>
      <w:spacing w:before="240" w:line="360" w:lineRule="auto"/>
      <w:jc w:val="left"/>
    </w:pPr>
    <w:rPr>
      <w:rFonts w:ascii="Times New Roman" w:eastAsia="宋体" w:hAnsi="Times New Roman" w:cs="Times New Roman"/>
      <w:i/>
      <w:kern w:val="0"/>
      <w:sz w:val="24"/>
      <w:lang w:val="en-GB" w:eastAsia="en-GB"/>
    </w:rPr>
  </w:style>
  <w:style w:type="character" w:styleId="a5">
    <w:name w:val="Hyperlink"/>
    <w:basedOn w:val="a0"/>
    <w:uiPriority w:val="99"/>
    <w:unhideWhenUsed/>
    <w:rsid w:val="0061132A"/>
    <w:rPr>
      <w:color w:val="0563C1" w:themeColor="hyperlink"/>
      <w:u w:val="single"/>
    </w:rPr>
  </w:style>
  <w:style w:type="character" w:styleId="a6">
    <w:name w:val="Unresolved Mention"/>
    <w:basedOn w:val="a0"/>
    <w:uiPriority w:val="99"/>
    <w:semiHidden/>
    <w:unhideWhenUsed/>
    <w:rsid w:val="00611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145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735</Words>
  <Characters>4190</Characters>
  <Application>Microsoft Office Word</Application>
  <DocSecurity>0</DocSecurity>
  <Lines>34</Lines>
  <Paragraphs>9</Paragraphs>
  <ScaleCrop>false</ScaleCrop>
  <Company>DoubleOX</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XingQi Zhao</dc:creator>
  <cp:lastModifiedBy>zhao0723@smu.edu.cn</cp:lastModifiedBy>
  <cp:revision>27</cp:revision>
  <dcterms:created xsi:type="dcterms:W3CDTF">2020-10-09T16:55:00Z</dcterms:created>
  <dcterms:modified xsi:type="dcterms:W3CDTF">2022-01-24T03:54:00Z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2052-1.2.1.1575</vt:lpwstr>
  </property>
</Properties>
</file>