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24B71E" w14:textId="77777777" w:rsidR="00102A86" w:rsidRDefault="00102A86" w:rsidP="00102A86"/>
    <w:p w14:paraId="5A91C49A" w14:textId="77777777" w:rsidR="00102A86" w:rsidRDefault="00102A86" w:rsidP="00102A86"/>
    <w:p w14:paraId="25302575" w14:textId="77777777" w:rsidR="00102A86" w:rsidRDefault="00102A86" w:rsidP="00102A86">
      <w:pPr>
        <w:jc w:val="both"/>
        <w:rPr>
          <w:rFonts w:ascii="Times New Roman" w:eastAsiaTheme="minorEastAsia" w:hAnsi="Times New Roman" w:cs="Times New Roman"/>
          <w:lang w:val="en-GB"/>
        </w:rPr>
      </w:pPr>
      <w:r>
        <w:rPr>
          <w:rFonts w:ascii="Times New Roman" w:hAnsi="Times New Roman" w:cs="Times New Roman"/>
          <w:noProof/>
        </w:rPr>
        <w:drawing>
          <wp:inline distT="0" distB="0" distL="0" distR="0" wp14:anchorId="764F3137" wp14:editId="572010E0">
            <wp:extent cx="2752253" cy="2752253"/>
            <wp:effectExtent l="0" t="0" r="3810" b="381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69869" cy="2769869"/>
                    </a:xfrm>
                    <a:prstGeom prst="rect">
                      <a:avLst/>
                    </a:prstGeom>
                  </pic:spPr>
                </pic:pic>
              </a:graphicData>
            </a:graphic>
          </wp:inline>
        </w:drawing>
      </w:r>
      <w:r>
        <w:rPr>
          <w:rFonts w:ascii="Times New Roman" w:eastAsiaTheme="minorEastAsia" w:hAnsi="Times New Roman" w:cs="Times New Roman"/>
          <w:noProof/>
          <w:lang w:val="en-GB"/>
        </w:rPr>
        <w:drawing>
          <wp:inline distT="0" distB="0" distL="0" distR="0" wp14:anchorId="043451FF" wp14:editId="663A5756">
            <wp:extent cx="2761307" cy="2761307"/>
            <wp:effectExtent l="0" t="0" r="0" b="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77009" cy="2777009"/>
                    </a:xfrm>
                    <a:prstGeom prst="rect">
                      <a:avLst/>
                    </a:prstGeom>
                  </pic:spPr>
                </pic:pic>
              </a:graphicData>
            </a:graphic>
          </wp:inline>
        </w:drawing>
      </w:r>
    </w:p>
    <w:p w14:paraId="4319C75B" w14:textId="53372A7E" w:rsidR="00102A86" w:rsidRDefault="00552699" w:rsidP="00102A86">
      <w:pPr>
        <w:jc w:val="both"/>
        <w:rPr>
          <w:rFonts w:ascii="Times New Roman" w:hAnsi="Times New Roman" w:cs="Times New Roman"/>
        </w:rPr>
      </w:pPr>
      <w:r>
        <w:rPr>
          <w:rFonts w:ascii="Times New Roman" w:eastAsiaTheme="minorEastAsia" w:hAnsi="Times New Roman" w:cs="Times New Roman"/>
          <w:b/>
          <w:bCs/>
          <w:lang w:val="en-GB"/>
        </w:rPr>
        <w:t>Supplementary Figure 1</w:t>
      </w:r>
      <w:r w:rsidR="00102A86">
        <w:rPr>
          <w:rFonts w:ascii="Times New Roman" w:eastAsiaTheme="minorEastAsia" w:hAnsi="Times New Roman" w:cs="Times New Roman"/>
          <w:b/>
          <w:bCs/>
          <w:lang w:val="en-GB"/>
        </w:rPr>
        <w:t xml:space="preserve">. Correlation between localisation density and PC1 of un-normalised NNFT. </w:t>
      </w:r>
      <w:r w:rsidR="00102A86" w:rsidRPr="008A2A8C">
        <w:rPr>
          <w:rFonts w:ascii="Times New Roman" w:eastAsiaTheme="minorEastAsia" w:hAnsi="Times New Roman" w:cs="Times New Roman"/>
          <w:b/>
          <w:bCs/>
          <w:lang w:val="en-GB"/>
        </w:rPr>
        <w:t xml:space="preserve"> </w:t>
      </w:r>
      <w:r w:rsidR="00102A86">
        <w:rPr>
          <w:rFonts w:ascii="Times New Roman" w:hAnsi="Times New Roman" w:cs="Times New Roman"/>
          <w:b/>
          <w:bCs/>
        </w:rPr>
        <w:t>a</w:t>
      </w:r>
      <w:r w:rsidR="00102A86">
        <w:rPr>
          <w:rFonts w:ascii="Times New Roman" w:hAnsi="Times New Roman" w:cs="Times New Roman"/>
        </w:rPr>
        <w:t xml:space="preserve"> Principal component 1</w:t>
      </w:r>
      <w:r w:rsidR="00102A86" w:rsidRPr="007A1FC0">
        <w:rPr>
          <w:rFonts w:ascii="Times New Roman" w:hAnsi="Times New Roman" w:cs="Times New Roman"/>
        </w:rPr>
        <w:t xml:space="preserve"> </w:t>
      </w:r>
      <w:r w:rsidR="00102A86">
        <w:rPr>
          <w:rFonts w:ascii="Times New Roman" w:hAnsi="Times New Roman" w:cs="Times New Roman"/>
        </w:rPr>
        <w:t xml:space="preserve">(PC1) </w:t>
      </w:r>
      <w:r w:rsidR="00102A86" w:rsidRPr="007A1FC0">
        <w:rPr>
          <w:rFonts w:ascii="Times New Roman" w:hAnsi="Times New Roman" w:cs="Times New Roman"/>
        </w:rPr>
        <w:t xml:space="preserve">of the </w:t>
      </w:r>
      <w:proofErr w:type="spellStart"/>
      <w:r w:rsidR="00102A86">
        <w:rPr>
          <w:rFonts w:ascii="Times New Roman" w:hAnsi="Times New Roman" w:cs="Times New Roman"/>
        </w:rPr>
        <w:t>unnormalised</w:t>
      </w:r>
      <w:proofErr w:type="spellEnd"/>
      <w:r w:rsidR="00102A86" w:rsidRPr="007A1FC0">
        <w:rPr>
          <w:rFonts w:ascii="Times New Roman" w:hAnsi="Times New Roman" w:cs="Times New Roman"/>
        </w:rPr>
        <w:t xml:space="preserve"> NNFT of simulated CSR points </w:t>
      </w:r>
      <w:r w:rsidR="00102A86">
        <w:rPr>
          <w:rFonts w:ascii="Times New Roman" w:hAnsi="Times New Roman" w:cs="Times New Roman"/>
        </w:rPr>
        <w:t>is plotted against th</w:t>
      </w:r>
      <w:r w:rsidR="00102A86" w:rsidRPr="007A1FC0">
        <w:rPr>
          <w:rFonts w:ascii="Times New Roman" w:hAnsi="Times New Roman" w:cs="Times New Roman"/>
        </w:rPr>
        <w:t>e sum of NNDs for each point</w:t>
      </w:r>
      <w:r w:rsidR="00102A86">
        <w:rPr>
          <w:rFonts w:ascii="Times New Roman" w:hAnsi="Times New Roman" w:cs="Times New Roman"/>
        </w:rPr>
        <w:t xml:space="preserve"> (inversely proportional to density)</w:t>
      </w:r>
      <w:r w:rsidR="00102A86" w:rsidRPr="007A1FC0">
        <w:rPr>
          <w:rFonts w:ascii="Times New Roman" w:hAnsi="Times New Roman" w:cs="Times New Roman"/>
        </w:rPr>
        <w:t xml:space="preserve">. The </w:t>
      </w:r>
      <w:r w:rsidR="00102A86">
        <w:rPr>
          <w:rFonts w:ascii="Times New Roman" w:hAnsi="Times New Roman" w:cs="Times New Roman"/>
        </w:rPr>
        <w:t>P</w:t>
      </w:r>
      <w:r w:rsidR="00102A86" w:rsidRPr="007A1FC0">
        <w:rPr>
          <w:rFonts w:ascii="Times New Roman" w:hAnsi="Times New Roman" w:cs="Times New Roman"/>
        </w:rPr>
        <w:t xml:space="preserve">earson correlation coefficient is 0.997. </w:t>
      </w:r>
      <w:r w:rsidR="00102A86">
        <w:rPr>
          <w:rFonts w:ascii="Times New Roman" w:hAnsi="Times New Roman" w:cs="Times New Roman"/>
          <w:b/>
          <w:bCs/>
        </w:rPr>
        <w:t>b</w:t>
      </w:r>
      <w:r w:rsidR="00102A86">
        <w:rPr>
          <w:rFonts w:ascii="Times New Roman" w:hAnsi="Times New Roman" w:cs="Times New Roman"/>
        </w:rPr>
        <w:t xml:space="preserve"> </w:t>
      </w:r>
      <w:proofErr w:type="gramStart"/>
      <w:r w:rsidR="00102A86">
        <w:rPr>
          <w:rFonts w:ascii="Times New Roman" w:hAnsi="Times New Roman" w:cs="Times New Roman"/>
        </w:rPr>
        <w:t>For</w:t>
      </w:r>
      <w:proofErr w:type="gramEnd"/>
      <w:r w:rsidR="00102A86">
        <w:rPr>
          <w:rFonts w:ascii="Times New Roman" w:hAnsi="Times New Roman" w:cs="Times New Roman"/>
        </w:rPr>
        <w:t xml:space="preserve"> each T cell image, the PCA of the unscaled NNFT is calculated individually, and the PC1 is compared to the sum of the NNDs. The correlation coefficient is always greater than 0.99. This justifies the partitioning of density from the shape of the NND curves.</w:t>
      </w:r>
    </w:p>
    <w:p w14:paraId="4F01BD55" w14:textId="77777777" w:rsidR="00102A86" w:rsidRDefault="00102A86" w:rsidP="00102A86">
      <w:pPr>
        <w:jc w:val="both"/>
        <w:rPr>
          <w:rFonts w:ascii="Times New Roman" w:hAnsi="Times New Roman" w:cs="Times New Roman"/>
        </w:rPr>
      </w:pPr>
    </w:p>
    <w:p w14:paraId="10C94677" w14:textId="77777777" w:rsidR="00102A86" w:rsidRDefault="00102A86" w:rsidP="00102A86">
      <w:pPr>
        <w:jc w:val="both"/>
        <w:rPr>
          <w:rFonts w:ascii="Times New Roman" w:hAnsi="Times New Roman" w:cs="Times New Roman"/>
        </w:rPr>
      </w:pPr>
    </w:p>
    <w:p w14:paraId="14A0FBE1" w14:textId="77777777" w:rsidR="00102A86" w:rsidRDefault="00102A86" w:rsidP="00102A86">
      <w:pPr>
        <w:jc w:val="both"/>
        <w:rPr>
          <w:rFonts w:ascii="Times New Roman" w:hAnsi="Times New Roman" w:cs="Times New Roman"/>
        </w:rPr>
      </w:pPr>
    </w:p>
    <w:p w14:paraId="7EEBA680" w14:textId="77777777" w:rsidR="00102A86" w:rsidRDefault="00102A86" w:rsidP="00102A86">
      <w:pPr>
        <w:jc w:val="both"/>
        <w:rPr>
          <w:rFonts w:ascii="Times New Roman" w:hAnsi="Times New Roman" w:cs="Times New Roman"/>
        </w:rPr>
      </w:pPr>
    </w:p>
    <w:p w14:paraId="315F6C72" w14:textId="77777777" w:rsidR="00102A86" w:rsidRDefault="00102A86" w:rsidP="00102A86">
      <w:pPr>
        <w:jc w:val="both"/>
        <w:rPr>
          <w:rFonts w:ascii="Times New Roman" w:hAnsi="Times New Roman" w:cs="Times New Roman"/>
        </w:rPr>
      </w:pPr>
    </w:p>
    <w:p w14:paraId="34D01347" w14:textId="77777777" w:rsidR="00102A86" w:rsidRDefault="00102A86" w:rsidP="00102A86">
      <w:pPr>
        <w:jc w:val="both"/>
        <w:rPr>
          <w:rFonts w:ascii="Times New Roman" w:hAnsi="Times New Roman" w:cs="Times New Roman"/>
        </w:rPr>
      </w:pPr>
    </w:p>
    <w:p w14:paraId="2D8057AC" w14:textId="77777777" w:rsidR="00102A86" w:rsidRDefault="00102A86" w:rsidP="00102A86">
      <w:pPr>
        <w:jc w:val="both"/>
        <w:rPr>
          <w:rFonts w:ascii="Times New Roman" w:hAnsi="Times New Roman" w:cs="Times New Roman"/>
        </w:rPr>
      </w:pPr>
    </w:p>
    <w:p w14:paraId="2FB022E6" w14:textId="77777777" w:rsidR="00102A86" w:rsidRDefault="00102A86" w:rsidP="00102A86">
      <w:pPr>
        <w:jc w:val="both"/>
        <w:rPr>
          <w:rFonts w:ascii="Times New Roman" w:hAnsi="Times New Roman" w:cs="Times New Roman"/>
        </w:rPr>
      </w:pPr>
    </w:p>
    <w:p w14:paraId="13379AFD" w14:textId="77777777" w:rsidR="00102A86" w:rsidRDefault="00102A86" w:rsidP="00102A86">
      <w:pPr>
        <w:jc w:val="both"/>
        <w:rPr>
          <w:rFonts w:ascii="Times New Roman" w:hAnsi="Times New Roman" w:cs="Times New Roman"/>
        </w:rPr>
      </w:pPr>
    </w:p>
    <w:p w14:paraId="57418FAF" w14:textId="77777777" w:rsidR="00102A86" w:rsidRDefault="00102A86" w:rsidP="00102A86">
      <w:pPr>
        <w:jc w:val="both"/>
        <w:rPr>
          <w:rFonts w:ascii="Times New Roman" w:hAnsi="Times New Roman" w:cs="Times New Roman"/>
        </w:rPr>
      </w:pPr>
    </w:p>
    <w:p w14:paraId="09321A20" w14:textId="77777777" w:rsidR="00102A86" w:rsidRDefault="00102A86" w:rsidP="00102A86">
      <w:pPr>
        <w:jc w:val="both"/>
        <w:rPr>
          <w:rFonts w:ascii="Times New Roman" w:hAnsi="Times New Roman" w:cs="Times New Roman"/>
        </w:rPr>
      </w:pPr>
    </w:p>
    <w:p w14:paraId="6220E02A" w14:textId="77777777" w:rsidR="00102A86" w:rsidRDefault="00102A86" w:rsidP="00102A86">
      <w:pPr>
        <w:jc w:val="both"/>
        <w:rPr>
          <w:rFonts w:ascii="Times New Roman" w:hAnsi="Times New Roman" w:cs="Times New Roman"/>
        </w:rPr>
      </w:pPr>
    </w:p>
    <w:p w14:paraId="2244A159" w14:textId="77777777" w:rsidR="00102A86" w:rsidRDefault="00102A86" w:rsidP="00102A86">
      <w:pPr>
        <w:jc w:val="both"/>
        <w:rPr>
          <w:rFonts w:ascii="Times New Roman" w:hAnsi="Times New Roman" w:cs="Times New Roman"/>
        </w:rPr>
      </w:pPr>
    </w:p>
    <w:p w14:paraId="3DEE9100" w14:textId="77777777" w:rsidR="00102A86" w:rsidRDefault="00102A86" w:rsidP="00102A86">
      <w:pPr>
        <w:jc w:val="both"/>
        <w:rPr>
          <w:rFonts w:ascii="Times New Roman" w:hAnsi="Times New Roman" w:cs="Times New Roman"/>
        </w:rPr>
      </w:pPr>
    </w:p>
    <w:p w14:paraId="043D7349" w14:textId="77777777" w:rsidR="00102A86" w:rsidRDefault="00102A86" w:rsidP="00102A86">
      <w:pPr>
        <w:jc w:val="both"/>
        <w:rPr>
          <w:rFonts w:ascii="Times New Roman" w:hAnsi="Times New Roman" w:cs="Times New Roman"/>
        </w:rPr>
      </w:pPr>
    </w:p>
    <w:p w14:paraId="447C7988" w14:textId="77777777" w:rsidR="00102A86" w:rsidRDefault="00102A86" w:rsidP="00102A86">
      <w:pPr>
        <w:jc w:val="both"/>
        <w:rPr>
          <w:rFonts w:ascii="Times New Roman" w:hAnsi="Times New Roman" w:cs="Times New Roman"/>
        </w:rPr>
      </w:pPr>
    </w:p>
    <w:p w14:paraId="3EA9E606" w14:textId="77777777" w:rsidR="00102A86" w:rsidRDefault="00102A86" w:rsidP="00102A86"/>
    <w:p w14:paraId="16EA3B24" w14:textId="77777777" w:rsidR="00102A86" w:rsidRDefault="00102A86" w:rsidP="00102A86"/>
    <w:p w14:paraId="32EB8814" w14:textId="77777777" w:rsidR="00102A86" w:rsidRDefault="00102A86" w:rsidP="00102A86"/>
    <w:p w14:paraId="10D0435B" w14:textId="77777777" w:rsidR="00102A86" w:rsidRDefault="00102A86" w:rsidP="00102A86"/>
    <w:p w14:paraId="20B4B69A" w14:textId="77777777" w:rsidR="00102A86" w:rsidRDefault="00102A86" w:rsidP="00102A86"/>
    <w:p w14:paraId="4FCE02CB" w14:textId="77777777" w:rsidR="00102A86" w:rsidRDefault="00102A86" w:rsidP="00102A86">
      <w:pPr>
        <w:jc w:val="both"/>
        <w:rPr>
          <w:rFonts w:ascii="Times New Roman" w:hAnsi="Times New Roman" w:cs="Times New Roman"/>
        </w:rPr>
      </w:pPr>
      <w:r>
        <w:rPr>
          <w:rFonts w:ascii="Times New Roman" w:hAnsi="Times New Roman" w:cs="Times New Roman"/>
          <w:noProof/>
        </w:rPr>
        <w:lastRenderedPageBreak/>
        <w:drawing>
          <wp:inline distT="0" distB="0" distL="0" distR="0" wp14:anchorId="00335E60" wp14:editId="4DB84C03">
            <wp:extent cx="4300396" cy="2389056"/>
            <wp:effectExtent l="0" t="0" r="5080" b="0"/>
            <wp:docPr id="7" name="Picture 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17897" cy="2398779"/>
                    </a:xfrm>
                    <a:prstGeom prst="rect">
                      <a:avLst/>
                    </a:prstGeom>
                  </pic:spPr>
                </pic:pic>
              </a:graphicData>
            </a:graphic>
          </wp:inline>
        </w:drawing>
      </w:r>
    </w:p>
    <w:p w14:paraId="2D4DFF36" w14:textId="77777777" w:rsidR="00102A86" w:rsidRDefault="00102A86" w:rsidP="00102A86">
      <w:pPr>
        <w:jc w:val="both"/>
        <w:rPr>
          <w:rFonts w:ascii="Times New Roman" w:hAnsi="Times New Roman" w:cs="Times New Roman"/>
        </w:rPr>
      </w:pPr>
      <w:r>
        <w:rPr>
          <w:rFonts w:ascii="Times New Roman" w:hAnsi="Times New Roman" w:cs="Times New Roman"/>
          <w:noProof/>
        </w:rPr>
        <w:drawing>
          <wp:inline distT="0" distB="0" distL="0" distR="0" wp14:anchorId="3248DF57" wp14:editId="30ACE313">
            <wp:extent cx="4300220" cy="2388958"/>
            <wp:effectExtent l="0" t="0" r="508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4754" cy="2397032"/>
                    </a:xfrm>
                    <a:prstGeom prst="rect">
                      <a:avLst/>
                    </a:prstGeom>
                  </pic:spPr>
                </pic:pic>
              </a:graphicData>
            </a:graphic>
          </wp:inline>
        </w:drawing>
      </w:r>
    </w:p>
    <w:p w14:paraId="24448FD0" w14:textId="77777777" w:rsidR="00102A86" w:rsidRDefault="00102A86" w:rsidP="00102A86">
      <w:pPr>
        <w:jc w:val="both"/>
        <w:rPr>
          <w:rFonts w:ascii="Times New Roman" w:eastAsiaTheme="minorEastAsia" w:hAnsi="Times New Roman" w:cs="Times New Roman"/>
          <w:b/>
          <w:bCs/>
          <w:lang w:val="en-GB"/>
        </w:rPr>
      </w:pPr>
    </w:p>
    <w:p w14:paraId="754DE631" w14:textId="4BF36218" w:rsidR="00102A86" w:rsidRDefault="00552699" w:rsidP="00102A86">
      <w:pPr>
        <w:rPr>
          <w:rFonts w:ascii="Times New Roman" w:hAnsi="Times New Roman" w:cs="Times New Roman"/>
        </w:rPr>
      </w:pPr>
      <w:r>
        <w:rPr>
          <w:rFonts w:ascii="Times New Roman" w:eastAsiaTheme="minorEastAsia" w:hAnsi="Times New Roman" w:cs="Times New Roman"/>
          <w:b/>
          <w:bCs/>
          <w:lang w:val="en-GB"/>
        </w:rPr>
        <w:t>Supplementary Figure 2</w:t>
      </w:r>
      <w:r w:rsidR="00102A86">
        <w:rPr>
          <w:rFonts w:ascii="Times New Roman" w:eastAsiaTheme="minorEastAsia" w:hAnsi="Times New Roman" w:cs="Times New Roman"/>
          <w:b/>
          <w:bCs/>
          <w:lang w:val="en-GB"/>
        </w:rPr>
        <w:t xml:space="preserve">.  Variance explained in the pre-defined PCA. </w:t>
      </w:r>
      <w:proofErr w:type="spellStart"/>
      <w:r w:rsidR="00102A86">
        <w:rPr>
          <w:rFonts w:ascii="Times New Roman" w:hAnsi="Times New Roman" w:cs="Times New Roman"/>
          <w:b/>
          <w:bCs/>
        </w:rPr>
        <w:t>a</w:t>
      </w:r>
      <w:proofErr w:type="spellEnd"/>
      <w:r w:rsidR="00102A86">
        <w:rPr>
          <w:rFonts w:ascii="Times New Roman" w:hAnsi="Times New Roman" w:cs="Times New Roman"/>
        </w:rPr>
        <w:t xml:space="preserve"> </w:t>
      </w:r>
      <w:proofErr w:type="gramStart"/>
      <w:r w:rsidR="00102A86">
        <w:rPr>
          <w:rFonts w:ascii="Times New Roman" w:hAnsi="Times New Roman" w:cs="Times New Roman"/>
        </w:rPr>
        <w:t>The</w:t>
      </w:r>
      <w:proofErr w:type="gramEnd"/>
      <w:r w:rsidR="00102A86">
        <w:rPr>
          <w:rFonts w:ascii="Times New Roman" w:hAnsi="Times New Roman" w:cs="Times New Roman"/>
        </w:rPr>
        <w:t xml:space="preserve"> percentage of variance explained in each principal component arising from the PCA of the row-normalised-NNFT of the simulated CSR points (displayed as a scree plot (left) and cumulative percentage (right)). The first two components explain over 70% of the variance.  </w:t>
      </w:r>
      <w:r w:rsidR="00102A86">
        <w:rPr>
          <w:rFonts w:ascii="Times New Roman" w:hAnsi="Times New Roman" w:cs="Times New Roman"/>
          <w:b/>
          <w:bCs/>
        </w:rPr>
        <w:t>b</w:t>
      </w:r>
      <w:r w:rsidR="00102A86">
        <w:rPr>
          <w:rFonts w:ascii="Times New Roman" w:hAnsi="Times New Roman" w:cs="Times New Roman"/>
        </w:rPr>
        <w:t xml:space="preserve"> When the generalised PCA is applied to the RN-NNFTs of the T cell images, the first two components explain over 80% of the variance (displayed as a scree plot (left) and cumulative percentage (right)). Only the first five components are displayed for visual clarity. These plots justify using the first two principal components in the image transformation.</w:t>
      </w:r>
    </w:p>
    <w:p w14:paraId="6BE1A93A" w14:textId="074F4D44" w:rsidR="001324AC" w:rsidRDefault="001324AC" w:rsidP="00102A86">
      <w:pPr>
        <w:rPr>
          <w:rFonts w:ascii="Times New Roman" w:hAnsi="Times New Roman" w:cs="Times New Roman"/>
        </w:rPr>
      </w:pPr>
    </w:p>
    <w:p w14:paraId="0853EBB8" w14:textId="1686A64C" w:rsidR="001324AC" w:rsidRDefault="001324AC" w:rsidP="00102A86">
      <w:pPr>
        <w:rPr>
          <w:rFonts w:ascii="Times New Roman" w:hAnsi="Times New Roman" w:cs="Times New Roman"/>
        </w:rPr>
      </w:pPr>
    </w:p>
    <w:p w14:paraId="795B44D5" w14:textId="77777777" w:rsidR="001324AC" w:rsidRDefault="001324AC" w:rsidP="001324AC">
      <w:pPr>
        <w:rPr>
          <w:rFonts w:ascii="Times New Roman" w:hAnsi="Times New Roman" w:cs="Times New Roman"/>
        </w:rPr>
      </w:pPr>
      <w:r>
        <w:rPr>
          <w:rFonts w:ascii="Times New Roman" w:hAnsi="Times New Roman" w:cs="Times New Roman"/>
          <w:noProof/>
        </w:rPr>
        <w:lastRenderedPageBreak/>
        <w:drawing>
          <wp:inline distT="0" distB="0" distL="0" distR="0" wp14:anchorId="0A303485" wp14:editId="765B7F92">
            <wp:extent cx="4055952" cy="40559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2474" cy="4062474"/>
                    </a:xfrm>
                    <a:prstGeom prst="rect">
                      <a:avLst/>
                    </a:prstGeom>
                  </pic:spPr>
                </pic:pic>
              </a:graphicData>
            </a:graphic>
          </wp:inline>
        </w:drawing>
      </w:r>
    </w:p>
    <w:p w14:paraId="3D6C98D7" w14:textId="51C70C9E" w:rsidR="001324AC" w:rsidRDefault="001324AC" w:rsidP="001324AC">
      <w:pPr>
        <w:rPr>
          <w:rFonts w:ascii="Times New Roman" w:hAnsi="Times New Roman" w:cs="Times New Roman"/>
        </w:rPr>
      </w:pPr>
      <w:r w:rsidRPr="000B3F06">
        <w:rPr>
          <w:rFonts w:ascii="Times New Roman" w:hAnsi="Times New Roman" w:cs="Times New Roman"/>
          <w:b/>
          <w:bCs/>
        </w:rPr>
        <w:t xml:space="preserve">Supplementary Figure </w:t>
      </w:r>
      <w:r w:rsidR="00552699">
        <w:rPr>
          <w:rFonts w:ascii="Times New Roman" w:hAnsi="Times New Roman" w:cs="Times New Roman"/>
          <w:b/>
          <w:bCs/>
        </w:rPr>
        <w:t>3</w:t>
      </w:r>
      <w:r>
        <w:rPr>
          <w:rFonts w:ascii="Times New Roman" w:hAnsi="Times New Roman" w:cs="Times New Roman"/>
          <w:b/>
          <w:bCs/>
        </w:rPr>
        <w:t xml:space="preserve">.  </w:t>
      </w:r>
      <w:r w:rsidRPr="00F026A7">
        <w:rPr>
          <w:rFonts w:ascii="Times New Roman" w:hAnsi="Times New Roman" w:cs="Times New Roman"/>
          <w:b/>
          <w:bCs/>
        </w:rPr>
        <w:t xml:space="preserve">Component loadings arising from PCA of </w:t>
      </w:r>
      <w:r>
        <w:rPr>
          <w:rFonts w:ascii="Times New Roman" w:hAnsi="Times New Roman" w:cs="Times New Roman"/>
          <w:b/>
          <w:bCs/>
        </w:rPr>
        <w:t>the row-normalised</w:t>
      </w:r>
      <w:r w:rsidRPr="00F026A7">
        <w:rPr>
          <w:rFonts w:ascii="Times New Roman" w:hAnsi="Times New Roman" w:cs="Times New Roman"/>
          <w:b/>
          <w:bCs/>
        </w:rPr>
        <w:t>-NNFT of simulated CSR points.</w:t>
      </w:r>
      <w:r>
        <w:rPr>
          <w:rFonts w:ascii="Times New Roman" w:hAnsi="Times New Roman" w:cs="Times New Roman"/>
        </w:rPr>
        <w:t xml:space="preserve"> Feature index (x-axis) corresponds to columns of the row-normalised-NNFT. Each plot corresponds to one of the first nine components. In all plots, the PCA loading (y-axis) corresponds to the weight a feature is given in a component. Given that each principal component is a linear combination of the original variables, the loadings correspond to the weight given to each variable in that component. The loadings for the first component are all positive, peaking at </w:t>
      </w:r>
      <w:r w:rsidRPr="00305EBC">
        <w:rPr>
          <w:rFonts w:ascii="Times New Roman" w:hAnsi="Times New Roman" w:cs="Times New Roman"/>
          <w:i/>
          <w:iCs/>
        </w:rPr>
        <w:t>j</w:t>
      </w:r>
      <w:r>
        <w:rPr>
          <w:rFonts w:ascii="Times New Roman" w:hAnsi="Times New Roman" w:cs="Times New Roman"/>
        </w:rPr>
        <w:t xml:space="preserve"> = 24. They are close to zero near </w:t>
      </w:r>
      <w:r w:rsidRPr="00305EBC">
        <w:rPr>
          <w:rFonts w:ascii="Times New Roman" w:hAnsi="Times New Roman" w:cs="Times New Roman"/>
          <w:i/>
          <w:iCs/>
        </w:rPr>
        <w:t>j</w:t>
      </w:r>
      <w:r>
        <w:rPr>
          <w:rFonts w:ascii="Times New Roman" w:hAnsi="Times New Roman" w:cs="Times New Roman"/>
        </w:rPr>
        <w:t xml:space="preserve"> = 1 and </w:t>
      </w:r>
      <w:r w:rsidRPr="00305EBC">
        <w:rPr>
          <w:rFonts w:ascii="Times New Roman" w:hAnsi="Times New Roman" w:cs="Times New Roman"/>
          <w:i/>
          <w:iCs/>
        </w:rPr>
        <w:t>j</w:t>
      </w:r>
      <w:r>
        <w:rPr>
          <w:rFonts w:ascii="Times New Roman" w:hAnsi="Times New Roman" w:cs="Times New Roman"/>
        </w:rPr>
        <w:t xml:space="preserve"> = 100. This is because the NND at </w:t>
      </w:r>
      <w:r w:rsidRPr="00305EBC">
        <w:rPr>
          <w:rFonts w:ascii="Times New Roman" w:hAnsi="Times New Roman" w:cs="Times New Roman"/>
          <w:i/>
          <w:iCs/>
        </w:rPr>
        <w:t>j</w:t>
      </w:r>
      <w:r>
        <w:rPr>
          <w:rFonts w:ascii="Times New Roman" w:hAnsi="Times New Roman" w:cs="Times New Roman"/>
        </w:rPr>
        <w:t xml:space="preserve"> = 1 is constrained to be near zero, and the NND at </w:t>
      </w:r>
      <w:r w:rsidRPr="00305EBC">
        <w:rPr>
          <w:rFonts w:ascii="Times New Roman" w:hAnsi="Times New Roman" w:cs="Times New Roman"/>
          <w:i/>
          <w:iCs/>
        </w:rPr>
        <w:t>j</w:t>
      </w:r>
      <w:r>
        <w:rPr>
          <w:rFonts w:ascii="Times New Roman" w:hAnsi="Times New Roman" w:cs="Times New Roman"/>
        </w:rPr>
        <w:t xml:space="preserve"> = 100 is constrained to be exactly one. The NND around </w:t>
      </w:r>
      <w:r w:rsidRPr="00305EBC">
        <w:rPr>
          <w:rFonts w:ascii="Times New Roman" w:hAnsi="Times New Roman" w:cs="Times New Roman"/>
          <w:i/>
          <w:iCs/>
        </w:rPr>
        <w:t>j</w:t>
      </w:r>
      <w:r>
        <w:rPr>
          <w:rFonts w:ascii="Times New Roman" w:hAnsi="Times New Roman" w:cs="Times New Roman"/>
        </w:rPr>
        <w:t xml:space="preserve"> = 24 has the most freedom to vary. The second component changes sign between </w:t>
      </w:r>
      <w:r w:rsidRPr="00305EBC">
        <w:rPr>
          <w:rFonts w:ascii="Times New Roman" w:hAnsi="Times New Roman" w:cs="Times New Roman"/>
          <w:i/>
          <w:iCs/>
        </w:rPr>
        <w:t>j</w:t>
      </w:r>
      <w:r>
        <w:rPr>
          <w:rFonts w:ascii="Times New Roman" w:hAnsi="Times New Roman" w:cs="Times New Roman"/>
        </w:rPr>
        <w:t xml:space="preserve"> = 30 and 31. This reflects the cases when the NND is below average for </w:t>
      </w:r>
      <w:r w:rsidRPr="000924FE">
        <w:rPr>
          <w:rFonts w:ascii="Times New Roman" w:hAnsi="Times New Roman" w:cs="Times New Roman"/>
          <w:i/>
          <w:iCs/>
        </w:rPr>
        <w:t>j</w:t>
      </w:r>
      <w:r>
        <w:rPr>
          <w:rFonts w:ascii="Times New Roman" w:hAnsi="Times New Roman" w:cs="Times New Roman"/>
        </w:rPr>
        <w:t xml:space="preserve"> &lt; 31 and above average for </w:t>
      </w:r>
      <w:r w:rsidRPr="000924FE">
        <w:rPr>
          <w:rFonts w:ascii="Times New Roman" w:hAnsi="Times New Roman" w:cs="Times New Roman"/>
          <w:i/>
          <w:iCs/>
        </w:rPr>
        <w:t>j</w:t>
      </w:r>
      <w:r>
        <w:rPr>
          <w:rFonts w:ascii="Times New Roman" w:hAnsi="Times New Roman" w:cs="Times New Roman"/>
        </w:rPr>
        <w:t xml:space="preserve"> &gt; 30 (and vice versa). In the CSR data, this does not constitute a real pattern, but in the </w:t>
      </w:r>
      <w:proofErr w:type="gramStart"/>
      <w:r>
        <w:rPr>
          <w:rFonts w:ascii="Times New Roman" w:hAnsi="Times New Roman" w:cs="Times New Roman"/>
        </w:rPr>
        <w:t>T</w:t>
      </w:r>
      <w:proofErr w:type="gramEnd"/>
      <w:r>
        <w:rPr>
          <w:rFonts w:ascii="Times New Roman" w:hAnsi="Times New Roman" w:cs="Times New Roman"/>
        </w:rPr>
        <w:t xml:space="preserve"> cell images, corresponds to the clustered vs. segregated localisations. For principal components 3 and higher, the loadings display a ‘periodicity’ of increasing ‘frequency’. (</w:t>
      </w:r>
      <w:r w:rsidRPr="000B3F06">
        <w:rPr>
          <w:rFonts w:ascii="Times New Roman" w:hAnsi="Times New Roman" w:cs="Times New Roman"/>
          <w:b/>
          <w:bCs/>
        </w:rPr>
        <w:t xml:space="preserve">Supplementary Fig. </w:t>
      </w:r>
      <w:r>
        <w:rPr>
          <w:rFonts w:ascii="Times New Roman" w:hAnsi="Times New Roman" w:cs="Times New Roman"/>
          <w:b/>
          <w:bCs/>
        </w:rPr>
        <w:t>4</w:t>
      </w:r>
      <w:r>
        <w:rPr>
          <w:rFonts w:ascii="Times New Roman" w:hAnsi="Times New Roman" w:cs="Times New Roman"/>
        </w:rPr>
        <w:t xml:space="preserve">). </w:t>
      </w:r>
    </w:p>
    <w:p w14:paraId="46A66AC8" w14:textId="77777777" w:rsidR="001324AC" w:rsidRDefault="001324AC" w:rsidP="00102A86">
      <w:pPr>
        <w:rPr>
          <w:rFonts w:ascii="Times New Roman" w:hAnsi="Times New Roman" w:cs="Times New Roman"/>
        </w:rPr>
      </w:pPr>
    </w:p>
    <w:p w14:paraId="4884D884" w14:textId="77777777" w:rsidR="00102A86" w:rsidRDefault="00102A86" w:rsidP="00102A86">
      <w:pPr>
        <w:rPr>
          <w:rFonts w:ascii="Times New Roman" w:hAnsi="Times New Roman" w:cs="Times New Roman"/>
        </w:rPr>
      </w:pPr>
    </w:p>
    <w:p w14:paraId="2B731D64" w14:textId="77777777" w:rsidR="00102A86" w:rsidRDefault="00102A86" w:rsidP="00102A86">
      <w:pPr>
        <w:rPr>
          <w:rFonts w:ascii="Times New Roman" w:hAnsi="Times New Roman" w:cs="Times New Roman"/>
        </w:rPr>
      </w:pPr>
    </w:p>
    <w:p w14:paraId="7A3B4C35" w14:textId="77777777" w:rsidR="00102A86" w:rsidRDefault="00102A86" w:rsidP="00102A86">
      <w:pPr>
        <w:rPr>
          <w:rFonts w:ascii="Times New Roman" w:hAnsi="Times New Roman" w:cs="Times New Roman"/>
        </w:rPr>
      </w:pPr>
    </w:p>
    <w:p w14:paraId="4FE78703" w14:textId="77777777" w:rsidR="00102A86" w:rsidRDefault="00102A86" w:rsidP="00102A86">
      <w:pPr>
        <w:rPr>
          <w:rFonts w:ascii="Times New Roman" w:hAnsi="Times New Roman" w:cs="Times New Roman"/>
        </w:rPr>
      </w:pPr>
    </w:p>
    <w:p w14:paraId="246EF98E" w14:textId="77777777" w:rsidR="00102A86" w:rsidRDefault="00102A86" w:rsidP="00102A86">
      <w:r>
        <w:rPr>
          <w:noProof/>
        </w:rPr>
        <w:lastRenderedPageBreak/>
        <w:drawing>
          <wp:inline distT="0" distB="0" distL="0" distR="0" wp14:anchorId="0BEDCAAA" wp14:editId="3C8492D5">
            <wp:extent cx="5727700" cy="2358390"/>
            <wp:effectExtent l="0" t="0" r="0" b="3810"/>
            <wp:docPr id="17" name="Picture 1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727700" cy="2358390"/>
                    </a:xfrm>
                    <a:prstGeom prst="rect">
                      <a:avLst/>
                    </a:prstGeom>
                  </pic:spPr>
                </pic:pic>
              </a:graphicData>
            </a:graphic>
          </wp:inline>
        </w:drawing>
      </w:r>
    </w:p>
    <w:p w14:paraId="50687C33" w14:textId="77777777" w:rsidR="00102A86" w:rsidRDefault="00102A86" w:rsidP="00102A86">
      <w:r>
        <w:rPr>
          <w:noProof/>
        </w:rPr>
        <w:drawing>
          <wp:inline distT="0" distB="0" distL="0" distR="0" wp14:anchorId="4501BC43" wp14:editId="6EA029BC">
            <wp:extent cx="5727700" cy="2358390"/>
            <wp:effectExtent l="0" t="0" r="0" b="3810"/>
            <wp:docPr id="21" name="Picture 21"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catte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27700" cy="2358390"/>
                    </a:xfrm>
                    <a:prstGeom prst="rect">
                      <a:avLst/>
                    </a:prstGeom>
                  </pic:spPr>
                </pic:pic>
              </a:graphicData>
            </a:graphic>
          </wp:inline>
        </w:drawing>
      </w:r>
    </w:p>
    <w:p w14:paraId="53719288" w14:textId="395560F3" w:rsidR="00102A86" w:rsidRPr="00266BDC" w:rsidRDefault="00552699" w:rsidP="00102A86">
      <w:pPr>
        <w:rPr>
          <w:b/>
          <w:bCs/>
        </w:rPr>
      </w:pPr>
      <w:r>
        <w:rPr>
          <w:b/>
          <w:bCs/>
        </w:rPr>
        <w:t xml:space="preserve">Supplementary </w:t>
      </w:r>
      <w:r w:rsidR="00102A86">
        <w:rPr>
          <w:b/>
          <w:bCs/>
        </w:rPr>
        <w:t xml:space="preserve">Figure </w:t>
      </w:r>
      <w:r>
        <w:rPr>
          <w:b/>
          <w:bCs/>
        </w:rPr>
        <w:t>4</w:t>
      </w:r>
      <w:r w:rsidR="00102A86">
        <w:rPr>
          <w:b/>
          <w:bCs/>
        </w:rPr>
        <w:t xml:space="preserve">. </w:t>
      </w:r>
      <w:r w:rsidR="00102A86" w:rsidRPr="005D7184">
        <w:rPr>
          <w:b/>
          <w:bCs/>
          <w:i/>
          <w:iCs/>
        </w:rPr>
        <w:t>D</w:t>
      </w:r>
      <w:r w:rsidR="00102A86" w:rsidRPr="005D7184">
        <w:rPr>
          <w:b/>
          <w:bCs/>
          <w:i/>
          <w:iCs/>
          <w:vertAlign w:val="subscript"/>
        </w:rPr>
        <w:t>B</w:t>
      </w:r>
      <w:r w:rsidR="00102A86" w:rsidRPr="005D7184">
        <w:rPr>
          <w:b/>
          <w:bCs/>
          <w:i/>
          <w:iCs/>
        </w:rPr>
        <w:t>, D</w:t>
      </w:r>
      <w:r w:rsidR="00102A86" w:rsidRPr="005D7184">
        <w:rPr>
          <w:b/>
          <w:bCs/>
          <w:i/>
          <w:iCs/>
          <w:vertAlign w:val="subscript"/>
        </w:rPr>
        <w:t>BNN</w:t>
      </w:r>
      <w:r w:rsidR="00102A86" w:rsidRPr="005D7184">
        <w:rPr>
          <w:b/>
          <w:bCs/>
          <w:i/>
          <w:iCs/>
        </w:rPr>
        <w:t xml:space="preserve">, </w:t>
      </w:r>
      <w:proofErr w:type="spellStart"/>
      <w:r w:rsidR="00102A86" w:rsidRPr="005D7184">
        <w:rPr>
          <w:b/>
          <w:bCs/>
          <w:i/>
          <w:iCs/>
        </w:rPr>
        <w:t>N</w:t>
      </w:r>
      <w:r w:rsidR="00102A86" w:rsidRPr="005D7184">
        <w:rPr>
          <w:b/>
          <w:bCs/>
          <w:i/>
          <w:iCs/>
          <w:vertAlign w:val="subscript"/>
        </w:rPr>
        <w:t>clus</w:t>
      </w:r>
      <w:proofErr w:type="spellEnd"/>
      <w:r w:rsidR="00102A86">
        <w:rPr>
          <w:b/>
          <w:bCs/>
        </w:rPr>
        <w:t xml:space="preserve"> plotted vs. individual nearest neighbour distances. </w:t>
      </w:r>
      <w:r w:rsidR="00102A86">
        <w:t xml:space="preserve">At low values of </w:t>
      </w:r>
      <w:r w:rsidR="00102A86" w:rsidRPr="00266BDC">
        <w:rPr>
          <w:i/>
          <w:iCs/>
        </w:rPr>
        <w:t>K</w:t>
      </w:r>
      <w:r w:rsidR="00102A86">
        <w:t xml:space="preserve"> (</w:t>
      </w:r>
      <w:proofErr w:type="gramStart"/>
      <w:r w:rsidR="00102A86">
        <w:t>e.g.</w:t>
      </w:r>
      <w:proofErr w:type="gramEnd"/>
      <w:r w:rsidR="00102A86">
        <w:t xml:space="preserve"> </w:t>
      </w:r>
      <w:r w:rsidR="00102A86" w:rsidRPr="00266BDC">
        <w:rPr>
          <w:i/>
          <w:iCs/>
        </w:rPr>
        <w:t>K</w:t>
      </w:r>
      <w:r w:rsidR="00102A86">
        <w:t xml:space="preserve"> = 10), it is possible to differentiate between signal and noise localisations but there is no trend with </w:t>
      </w:r>
      <w:r w:rsidR="00102A86" w:rsidRPr="00BD4DBB">
        <w:rPr>
          <w:i/>
          <w:iCs/>
        </w:rPr>
        <w:t>D</w:t>
      </w:r>
      <w:r w:rsidR="00102A86" w:rsidRPr="00BD4DBB">
        <w:rPr>
          <w:i/>
          <w:iCs/>
          <w:vertAlign w:val="subscript"/>
        </w:rPr>
        <w:t>BNN</w:t>
      </w:r>
      <w:r w:rsidR="00102A86">
        <w:t xml:space="preserve">. At high values of </w:t>
      </w:r>
      <w:r w:rsidR="00102A86" w:rsidRPr="00266BDC">
        <w:rPr>
          <w:i/>
          <w:iCs/>
        </w:rPr>
        <w:t>K</w:t>
      </w:r>
      <w:r w:rsidR="00102A86">
        <w:t xml:space="preserve">, </w:t>
      </w:r>
      <w:proofErr w:type="gramStart"/>
      <w:r w:rsidR="00102A86">
        <w:t>e.g.</w:t>
      </w:r>
      <w:proofErr w:type="gramEnd"/>
      <w:r w:rsidR="00102A86">
        <w:t xml:space="preserve"> </w:t>
      </w:r>
      <w:r w:rsidR="00102A86" w:rsidRPr="00266BDC">
        <w:rPr>
          <w:i/>
          <w:iCs/>
        </w:rPr>
        <w:t>K</w:t>
      </w:r>
      <w:r w:rsidR="00102A86">
        <w:t xml:space="preserve"> = 100, there is a trend with </w:t>
      </w:r>
      <w:r w:rsidR="00102A86" w:rsidRPr="00BD4DBB">
        <w:rPr>
          <w:i/>
          <w:iCs/>
        </w:rPr>
        <w:t>D</w:t>
      </w:r>
      <w:r w:rsidR="00102A86" w:rsidRPr="00BD4DBB">
        <w:rPr>
          <w:i/>
          <w:iCs/>
          <w:vertAlign w:val="subscript"/>
        </w:rPr>
        <w:t>BNN</w:t>
      </w:r>
      <w:r w:rsidR="00102A86">
        <w:t xml:space="preserve">, but not possible to differentiate between signal and noise localisations. There is no value of </w:t>
      </w:r>
      <w:r w:rsidR="00102A86" w:rsidRPr="00266BDC">
        <w:rPr>
          <w:i/>
          <w:iCs/>
        </w:rPr>
        <w:t>K</w:t>
      </w:r>
      <w:r w:rsidR="00102A86">
        <w:t xml:space="preserve"> which is globally informative of </w:t>
      </w:r>
      <w:proofErr w:type="spellStart"/>
      <w:r w:rsidR="00102A86" w:rsidRPr="00266BDC">
        <w:rPr>
          <w:i/>
          <w:iCs/>
        </w:rPr>
        <w:t>N</w:t>
      </w:r>
      <w:r w:rsidR="00102A86" w:rsidRPr="00266BDC">
        <w:rPr>
          <w:i/>
          <w:iCs/>
          <w:vertAlign w:val="subscript"/>
        </w:rPr>
        <w:t>clus</w:t>
      </w:r>
      <w:proofErr w:type="spellEnd"/>
      <w:r w:rsidR="00102A86">
        <w:t xml:space="preserve">. This highlights the need to jointly consider multiple values of </w:t>
      </w:r>
      <w:r w:rsidR="00102A86" w:rsidRPr="00266BDC">
        <w:rPr>
          <w:i/>
          <w:iCs/>
        </w:rPr>
        <w:t>K</w:t>
      </w:r>
      <w:r w:rsidR="00102A86">
        <w:rPr>
          <w:i/>
          <w:iCs/>
        </w:rPr>
        <w:t xml:space="preserve">. </w:t>
      </w:r>
      <w:r w:rsidR="00102A86">
        <w:t>Trend lines are fitted with robust linear models and are supplied for visualisation purposes.</w:t>
      </w:r>
    </w:p>
    <w:p w14:paraId="470F5BB9" w14:textId="77777777" w:rsidR="00102A86" w:rsidRDefault="00102A86" w:rsidP="00102A86"/>
    <w:p w14:paraId="333EACC3" w14:textId="77777777" w:rsidR="00102A86" w:rsidRDefault="00102A86" w:rsidP="00102A86"/>
    <w:p w14:paraId="0676858B" w14:textId="77777777" w:rsidR="00102A86" w:rsidRDefault="00102A86" w:rsidP="00102A86"/>
    <w:p w14:paraId="359A39FE" w14:textId="77777777" w:rsidR="00102A86" w:rsidRDefault="00102A86" w:rsidP="00102A86"/>
    <w:p w14:paraId="78AFA4F4" w14:textId="77777777" w:rsidR="00102A86" w:rsidRDefault="00102A86" w:rsidP="00102A86">
      <w:r>
        <w:rPr>
          <w:noProof/>
        </w:rPr>
        <w:lastRenderedPageBreak/>
        <w:drawing>
          <wp:inline distT="0" distB="0" distL="0" distR="0" wp14:anchorId="7FDB7F27" wp14:editId="22A9F18F">
            <wp:extent cx="5727700" cy="38182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05582320" w14:textId="59F8C71C" w:rsidR="00102A86" w:rsidRDefault="00552699" w:rsidP="00102A86">
      <w:pPr>
        <w:rPr>
          <w:b/>
          <w:bCs/>
        </w:rPr>
      </w:pPr>
      <w:r>
        <w:rPr>
          <w:b/>
          <w:bCs/>
        </w:rPr>
        <w:t xml:space="preserve">Supplementary </w:t>
      </w:r>
      <w:r w:rsidR="00102A86" w:rsidRPr="004D09AE">
        <w:rPr>
          <w:b/>
          <w:bCs/>
        </w:rPr>
        <w:t xml:space="preserve">Figure </w:t>
      </w:r>
      <w:r>
        <w:rPr>
          <w:b/>
          <w:bCs/>
        </w:rPr>
        <w:t>5</w:t>
      </w:r>
      <w:r w:rsidR="00102A86" w:rsidRPr="004D09AE">
        <w:rPr>
          <w:b/>
          <w:bCs/>
        </w:rPr>
        <w:t>. Angular position of signal localisations and noise localisations.</w:t>
      </w:r>
      <w:r w:rsidR="00102A86">
        <w:rPr>
          <w:b/>
          <w:bCs/>
        </w:rPr>
        <w:t xml:space="preserve"> </w:t>
      </w:r>
      <w:r w:rsidR="00102A86">
        <w:t xml:space="preserve">Signal and noise localisations occupy distinct areas of the SNPCA. </w:t>
      </w:r>
      <w:r w:rsidR="00102A86" w:rsidRPr="004D09AE">
        <w:rPr>
          <w:b/>
          <w:bCs/>
        </w:rPr>
        <w:t xml:space="preserve"> </w:t>
      </w:r>
    </w:p>
    <w:p w14:paraId="57971AC6" w14:textId="5AEAFFA3" w:rsidR="00102A86" w:rsidRDefault="00102A86" w:rsidP="00102A86">
      <w:pPr>
        <w:rPr>
          <w:b/>
          <w:bCs/>
        </w:rPr>
      </w:pPr>
    </w:p>
    <w:p w14:paraId="045DE4AA" w14:textId="2119F612" w:rsidR="00102A86" w:rsidRDefault="00102A86" w:rsidP="00102A86">
      <w:pPr>
        <w:rPr>
          <w:b/>
          <w:bCs/>
        </w:rPr>
      </w:pPr>
    </w:p>
    <w:p w14:paraId="7C01DFBC" w14:textId="6EF12F46" w:rsidR="00102A86" w:rsidRDefault="00102A86" w:rsidP="00102A86">
      <w:pPr>
        <w:rPr>
          <w:b/>
          <w:bCs/>
        </w:rPr>
      </w:pPr>
    </w:p>
    <w:p w14:paraId="35AF7390" w14:textId="26F11AC7" w:rsidR="00102A86" w:rsidRDefault="00102A86" w:rsidP="00102A86">
      <w:pPr>
        <w:rPr>
          <w:b/>
          <w:bCs/>
        </w:rPr>
      </w:pPr>
    </w:p>
    <w:p w14:paraId="0A9D185E" w14:textId="47BC79FB" w:rsidR="00102A86" w:rsidRDefault="00102A86" w:rsidP="00102A86">
      <w:pPr>
        <w:rPr>
          <w:b/>
          <w:bCs/>
        </w:rPr>
      </w:pPr>
    </w:p>
    <w:p w14:paraId="24A075FD" w14:textId="3ADB42A7" w:rsidR="00102A86" w:rsidRDefault="00102A86" w:rsidP="00102A86">
      <w:pPr>
        <w:rPr>
          <w:b/>
          <w:bCs/>
        </w:rPr>
      </w:pPr>
    </w:p>
    <w:p w14:paraId="0898CF0C" w14:textId="694BB2AF" w:rsidR="00102A86" w:rsidRDefault="00102A86" w:rsidP="00102A86">
      <w:pPr>
        <w:rPr>
          <w:b/>
          <w:bCs/>
        </w:rPr>
      </w:pPr>
    </w:p>
    <w:p w14:paraId="1812CDAD" w14:textId="2469211E" w:rsidR="00102A86" w:rsidRDefault="00102A86" w:rsidP="00102A86">
      <w:pPr>
        <w:rPr>
          <w:b/>
          <w:bCs/>
        </w:rPr>
      </w:pPr>
    </w:p>
    <w:p w14:paraId="7028495F" w14:textId="77777777" w:rsidR="00102A86" w:rsidRDefault="00102A86" w:rsidP="00102A86">
      <w:pPr>
        <w:rPr>
          <w:b/>
          <w:bCs/>
        </w:rPr>
      </w:pPr>
    </w:p>
    <w:p w14:paraId="2148271E" w14:textId="77777777" w:rsidR="00102A86" w:rsidRPr="004D09AE" w:rsidRDefault="00102A86" w:rsidP="00102A86">
      <w:pPr>
        <w:rPr>
          <w:b/>
          <w:bCs/>
        </w:rPr>
      </w:pPr>
    </w:p>
    <w:p w14:paraId="68116EFB" w14:textId="77777777" w:rsidR="00102A86" w:rsidRDefault="00102A86" w:rsidP="00102A86"/>
    <w:p w14:paraId="7ED3A7ED" w14:textId="77777777" w:rsidR="00102A86" w:rsidRDefault="00102A86" w:rsidP="00102A86">
      <w:r>
        <w:rPr>
          <w:noProof/>
        </w:rPr>
        <w:lastRenderedPageBreak/>
        <w:drawing>
          <wp:inline distT="0" distB="0" distL="0" distR="0" wp14:anchorId="5EDDFCFE" wp14:editId="053F8028">
            <wp:extent cx="2670772" cy="2670772"/>
            <wp:effectExtent l="0" t="0" r="0" b="0"/>
            <wp:docPr id="27" name="Picture 2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scatte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690579" cy="2690579"/>
                    </a:xfrm>
                    <a:prstGeom prst="rect">
                      <a:avLst/>
                    </a:prstGeom>
                  </pic:spPr>
                </pic:pic>
              </a:graphicData>
            </a:graphic>
          </wp:inline>
        </w:drawing>
      </w:r>
      <w:r>
        <w:rPr>
          <w:noProof/>
        </w:rPr>
        <w:drawing>
          <wp:inline distT="0" distB="0" distL="0" distR="0" wp14:anchorId="702436E0" wp14:editId="385A1FFE">
            <wp:extent cx="2661719" cy="2661719"/>
            <wp:effectExtent l="0" t="0" r="5715" b="5715"/>
            <wp:docPr id="29" name="Picture 29" descr="Chart, scatter chart,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scatter chart, qr cod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688816" cy="2688816"/>
                    </a:xfrm>
                    <a:prstGeom prst="rect">
                      <a:avLst/>
                    </a:prstGeom>
                  </pic:spPr>
                </pic:pic>
              </a:graphicData>
            </a:graphic>
          </wp:inline>
        </w:drawing>
      </w:r>
    </w:p>
    <w:p w14:paraId="18DE38E5" w14:textId="08762E8E" w:rsidR="00102A86" w:rsidRDefault="00552699" w:rsidP="00102A86">
      <w:r>
        <w:rPr>
          <w:b/>
          <w:bCs/>
        </w:rPr>
        <w:t xml:space="preserve">Supplementary </w:t>
      </w:r>
      <w:r w:rsidR="00102A86" w:rsidRPr="004B2AFD">
        <w:rPr>
          <w:b/>
          <w:bCs/>
        </w:rPr>
        <w:t xml:space="preserve">Figure </w:t>
      </w:r>
      <w:r>
        <w:rPr>
          <w:b/>
          <w:bCs/>
        </w:rPr>
        <w:t>6</w:t>
      </w:r>
      <w:r w:rsidR="00102A86" w:rsidRPr="004B2AFD">
        <w:rPr>
          <w:b/>
          <w:bCs/>
        </w:rPr>
        <w:t>. Comparing different noise densities.</w:t>
      </w:r>
      <w:r w:rsidR="00102A86">
        <w:t xml:space="preserve"> Left: Scenario C has low noise density. Binding sites have a Poisson intensity of 5, localisation clusters have a variance of 1.5625e-4 and covariance of 6, number of localisations an integer randomly chosen on the interval [10, 90]. Noise localisations have a Poisson intensity of 50.  Right: Scenario D has a high noise density. Simulations details are the same as C except noise localisations have a Poisson intensity of 500.</w:t>
      </w:r>
    </w:p>
    <w:p w14:paraId="20395E2B" w14:textId="77777777" w:rsidR="00102A86" w:rsidRDefault="00102A86" w:rsidP="00102A86"/>
    <w:p w14:paraId="53DE5B35" w14:textId="77777777" w:rsidR="00102A86" w:rsidRDefault="00102A86" w:rsidP="00102A86"/>
    <w:p w14:paraId="145DD3F4" w14:textId="77777777" w:rsidR="00102A86" w:rsidRDefault="00102A86" w:rsidP="00102A86"/>
    <w:p w14:paraId="6E98E6FE" w14:textId="77777777" w:rsidR="00102A86" w:rsidRDefault="00102A86" w:rsidP="00102A86"/>
    <w:p w14:paraId="7AE296AE" w14:textId="77777777" w:rsidR="00102A86" w:rsidRDefault="00102A86" w:rsidP="00102A86">
      <w:r>
        <w:rPr>
          <w:noProof/>
        </w:rPr>
        <w:drawing>
          <wp:inline distT="0" distB="0" distL="0" distR="0" wp14:anchorId="748A2D69" wp14:editId="73FD02B0">
            <wp:extent cx="2652665" cy="2652665"/>
            <wp:effectExtent l="0" t="0" r="1905" b="1905"/>
            <wp:docPr id="31" name="Picture 3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scatte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675271" cy="2675271"/>
                    </a:xfrm>
                    <a:prstGeom prst="rect">
                      <a:avLst/>
                    </a:prstGeom>
                  </pic:spPr>
                </pic:pic>
              </a:graphicData>
            </a:graphic>
          </wp:inline>
        </w:drawing>
      </w:r>
      <w:r>
        <w:rPr>
          <w:noProof/>
        </w:rPr>
        <w:drawing>
          <wp:inline distT="0" distB="0" distL="0" distR="0" wp14:anchorId="4C5D095B" wp14:editId="283CC5CC">
            <wp:extent cx="2634559" cy="2634559"/>
            <wp:effectExtent l="0" t="0" r="0"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659035" cy="2659035"/>
                    </a:xfrm>
                    <a:prstGeom prst="rect">
                      <a:avLst/>
                    </a:prstGeom>
                  </pic:spPr>
                </pic:pic>
              </a:graphicData>
            </a:graphic>
          </wp:inline>
        </w:drawing>
      </w:r>
    </w:p>
    <w:p w14:paraId="61BB8D84" w14:textId="77777777" w:rsidR="00102A86" w:rsidRDefault="00102A86" w:rsidP="00102A86">
      <w:r>
        <w:t xml:space="preserve"> </w:t>
      </w:r>
    </w:p>
    <w:p w14:paraId="7330E7FA" w14:textId="77777777" w:rsidR="00102A86" w:rsidRDefault="00102A86" w:rsidP="00102A86"/>
    <w:p w14:paraId="364058A8" w14:textId="77777777" w:rsidR="00102A86" w:rsidRDefault="00102A86" w:rsidP="00102A86"/>
    <w:p w14:paraId="5D96022A" w14:textId="6D85E48D" w:rsidR="00102A86" w:rsidRDefault="00552699" w:rsidP="00102A86">
      <w:r>
        <w:rPr>
          <w:b/>
          <w:bCs/>
        </w:rPr>
        <w:t>Supplementary Figure 7</w:t>
      </w:r>
      <w:r w:rsidR="00102A86">
        <w:t xml:space="preserve">. </w:t>
      </w:r>
      <w:r w:rsidR="00102A86" w:rsidRPr="004B2AFD">
        <w:rPr>
          <w:b/>
          <w:bCs/>
        </w:rPr>
        <w:t>Comparing different noise densities</w:t>
      </w:r>
      <w:r w:rsidR="00102A86">
        <w:rPr>
          <w:b/>
          <w:bCs/>
        </w:rPr>
        <w:t xml:space="preserve">. </w:t>
      </w:r>
      <w:r w:rsidR="00102A86">
        <w:t xml:space="preserve">Top: low density. Noise localisations mostly appear segregated from signal localisations, due to their low density. Bottom: high density. Noise localisations have lower SNPC1 and SNPC2, and often appear to be spatially random due to their high density. </w:t>
      </w:r>
    </w:p>
    <w:p w14:paraId="1F5016D6" w14:textId="5E88E53C" w:rsidR="00EB1947" w:rsidRDefault="00EB1947" w:rsidP="00102A86"/>
    <w:p w14:paraId="44CF124D" w14:textId="56FDF634" w:rsidR="00EB1947" w:rsidRDefault="00EB1947" w:rsidP="00102A86"/>
    <w:p w14:paraId="67DB07BF" w14:textId="06E112E2" w:rsidR="00EB1947" w:rsidRDefault="00D73E82" w:rsidP="00102A86">
      <w:r>
        <w:rPr>
          <w:noProof/>
        </w:rPr>
        <w:lastRenderedPageBreak/>
        <w:drawing>
          <wp:inline distT="0" distB="0" distL="0" distR="0" wp14:anchorId="1A34731E" wp14:editId="42C306A6">
            <wp:extent cx="2405103" cy="2405103"/>
            <wp:effectExtent l="0" t="0" r="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1540" cy="2411540"/>
                    </a:xfrm>
                    <a:prstGeom prst="rect">
                      <a:avLst/>
                    </a:prstGeom>
                  </pic:spPr>
                </pic:pic>
              </a:graphicData>
            </a:graphic>
          </wp:inline>
        </w:drawing>
      </w:r>
      <w:r>
        <w:rPr>
          <w:noProof/>
        </w:rPr>
        <w:drawing>
          <wp:inline distT="0" distB="0" distL="0" distR="0" wp14:anchorId="645D7D1E" wp14:editId="6FB827F0">
            <wp:extent cx="2374366" cy="2374366"/>
            <wp:effectExtent l="0" t="0" r="635" b="63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5448" cy="2385448"/>
                    </a:xfrm>
                    <a:prstGeom prst="rect">
                      <a:avLst/>
                    </a:prstGeom>
                  </pic:spPr>
                </pic:pic>
              </a:graphicData>
            </a:graphic>
          </wp:inline>
        </w:drawing>
      </w:r>
    </w:p>
    <w:p w14:paraId="039E22C6" w14:textId="77777777" w:rsidR="00D73E82" w:rsidRDefault="00D73E82" w:rsidP="00102A86"/>
    <w:p w14:paraId="30CB11DD" w14:textId="68580886" w:rsidR="00EB1947" w:rsidRDefault="00D73E82" w:rsidP="00102A86">
      <w:r>
        <w:rPr>
          <w:noProof/>
        </w:rPr>
        <w:drawing>
          <wp:inline distT="0" distB="0" distL="0" distR="0" wp14:anchorId="144BF52B" wp14:editId="3FD240ED">
            <wp:extent cx="4779368" cy="2389684"/>
            <wp:effectExtent l="0" t="0" r="0" b="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8436" cy="2404218"/>
                    </a:xfrm>
                    <a:prstGeom prst="rect">
                      <a:avLst/>
                    </a:prstGeom>
                  </pic:spPr>
                </pic:pic>
              </a:graphicData>
            </a:graphic>
          </wp:inline>
        </w:drawing>
      </w:r>
    </w:p>
    <w:p w14:paraId="542CECE0" w14:textId="20DCE4BE" w:rsidR="00EB1947" w:rsidRDefault="00EB1947" w:rsidP="00102A86"/>
    <w:p w14:paraId="3CB723FD" w14:textId="77777777" w:rsidR="00EB1947" w:rsidRDefault="00EB1947" w:rsidP="00102A86"/>
    <w:p w14:paraId="65C5C624" w14:textId="6E7CDEF3" w:rsidR="001324AC" w:rsidRDefault="00552699" w:rsidP="00EB1947">
      <w:pPr>
        <w:rPr>
          <w:rFonts w:ascii="Times New Roman" w:hAnsi="Times New Roman" w:cs="Times New Roman"/>
          <w:lang w:val="en-US"/>
        </w:rPr>
      </w:pPr>
      <w:r>
        <w:rPr>
          <w:rFonts w:ascii="Times New Roman" w:hAnsi="Times New Roman" w:cs="Times New Roman"/>
          <w:b/>
          <w:bCs/>
          <w:lang w:val="en-US"/>
        </w:rPr>
        <w:t xml:space="preserve">Supplementary </w:t>
      </w:r>
      <w:r w:rsidR="00EB1947" w:rsidRPr="004F67E5">
        <w:rPr>
          <w:rFonts w:ascii="Times New Roman" w:hAnsi="Times New Roman" w:cs="Times New Roman"/>
          <w:b/>
          <w:bCs/>
          <w:lang w:val="en-US"/>
        </w:rPr>
        <w:t xml:space="preserve">Figure </w:t>
      </w:r>
      <w:r>
        <w:rPr>
          <w:rFonts w:ascii="Times New Roman" w:hAnsi="Times New Roman" w:cs="Times New Roman"/>
          <w:b/>
          <w:bCs/>
          <w:lang w:val="en-US"/>
        </w:rPr>
        <w:t>8</w:t>
      </w:r>
      <w:r w:rsidR="00EB1947" w:rsidRPr="004F67E5">
        <w:rPr>
          <w:rFonts w:ascii="Times New Roman" w:hAnsi="Times New Roman" w:cs="Times New Roman"/>
          <w:b/>
          <w:bCs/>
          <w:lang w:val="en-US"/>
        </w:rPr>
        <w:t xml:space="preserve"> </w:t>
      </w:r>
      <w:r w:rsidR="00EB1947" w:rsidRPr="004F67E5">
        <w:rPr>
          <w:rFonts w:ascii="Times New Roman" w:hAnsi="Times New Roman" w:cs="Times New Roman"/>
          <w:b/>
          <w:bCs/>
          <w:i/>
          <w:iCs/>
          <w:lang w:val="en-US"/>
        </w:rPr>
        <w:t>K</w:t>
      </w:r>
      <w:r w:rsidR="00EB1947" w:rsidRPr="004F67E5">
        <w:rPr>
          <w:rFonts w:ascii="Times New Roman" w:hAnsi="Times New Roman" w:cs="Times New Roman"/>
          <w:b/>
          <w:bCs/>
          <w:lang w:val="en-US"/>
        </w:rPr>
        <w:t>-</w:t>
      </w:r>
      <w:proofErr w:type="spellStart"/>
      <w:r w:rsidR="00EB1947" w:rsidRPr="004F67E5">
        <w:rPr>
          <w:rFonts w:ascii="Times New Roman" w:hAnsi="Times New Roman" w:cs="Times New Roman"/>
          <w:b/>
          <w:bCs/>
          <w:lang w:val="en-US"/>
        </w:rPr>
        <w:t>neighbourhood</w:t>
      </w:r>
      <w:proofErr w:type="spellEnd"/>
      <w:r w:rsidR="00EB1947" w:rsidRPr="004F67E5">
        <w:rPr>
          <w:rFonts w:ascii="Times New Roman" w:hAnsi="Times New Roman" w:cs="Times New Roman"/>
          <w:b/>
          <w:bCs/>
          <w:lang w:val="en-US"/>
        </w:rPr>
        <w:t xml:space="preserve"> analysis of an SMLM image. a. </w:t>
      </w:r>
      <w:r w:rsidR="00EB1947" w:rsidRPr="004F67E5">
        <w:rPr>
          <w:rFonts w:ascii="Times New Roman" w:hAnsi="Times New Roman" w:cs="Times New Roman"/>
          <w:lang w:val="en-US"/>
        </w:rPr>
        <w:t xml:space="preserve">Selected ROI of a DNA PAINT image (total ROI of 40 by 40 </w:t>
      </w:r>
      <w:proofErr w:type="spellStart"/>
      <w:r w:rsidR="00EB1947" w:rsidRPr="004F67E5">
        <w:rPr>
          <w:rFonts w:ascii="Times New Roman" w:hAnsi="Times New Roman" w:cs="Times New Roman"/>
          <w:lang w:val="en-US"/>
        </w:rPr>
        <w:t>micrometre</w:t>
      </w:r>
      <w:proofErr w:type="spellEnd"/>
      <w:r w:rsidR="00EB1947" w:rsidRPr="004F67E5">
        <w:rPr>
          <w:rFonts w:ascii="Times New Roman" w:hAnsi="Times New Roman" w:cs="Times New Roman"/>
          <w:lang w:val="en-US"/>
        </w:rPr>
        <w:t>, 8000 frames</w:t>
      </w:r>
      <w:r w:rsidR="00D73E82">
        <w:rPr>
          <w:rFonts w:ascii="Times New Roman" w:hAnsi="Times New Roman" w:cs="Times New Roman"/>
          <w:lang w:val="en-US"/>
        </w:rPr>
        <w:t>) of</w:t>
      </w:r>
      <w:r w:rsidR="00EB1947" w:rsidRPr="004F67E5">
        <w:rPr>
          <w:rFonts w:ascii="Times New Roman" w:hAnsi="Times New Roman" w:cs="Times New Roman"/>
          <w:lang w:val="en-US"/>
        </w:rPr>
        <w:t xml:space="preserve"> an 80 nm DNA ruler (blue box) with gold nanorod fiducials. </w:t>
      </w:r>
      <w:r w:rsidR="00EB1947" w:rsidRPr="004F67E5">
        <w:rPr>
          <w:rFonts w:ascii="Times New Roman" w:hAnsi="Times New Roman" w:cs="Times New Roman"/>
          <w:b/>
          <w:bCs/>
          <w:lang w:val="en-US"/>
        </w:rPr>
        <w:t>b.</w:t>
      </w:r>
      <w:r w:rsidR="00EB1947" w:rsidRPr="004F67E5">
        <w:rPr>
          <w:rFonts w:ascii="Times New Roman" w:hAnsi="Times New Roman" w:cs="Times New Roman"/>
          <w:lang w:val="en-US"/>
        </w:rPr>
        <w:t xml:space="preserve"> </w:t>
      </w:r>
      <w:r w:rsidR="00D73E82">
        <w:rPr>
          <w:rFonts w:ascii="Times New Roman" w:hAnsi="Times New Roman" w:cs="Times New Roman"/>
          <w:lang w:val="en-US"/>
        </w:rPr>
        <w:t>After performing KNA, t</w:t>
      </w:r>
      <w:r w:rsidR="00EB1947" w:rsidRPr="004F67E5">
        <w:rPr>
          <w:rFonts w:ascii="Times New Roman" w:hAnsi="Times New Roman" w:cs="Times New Roman"/>
          <w:lang w:val="en-US"/>
        </w:rPr>
        <w:t xml:space="preserve">he density and </w:t>
      </w:r>
      <w:r w:rsidR="00D73E82">
        <w:rPr>
          <w:rFonts w:ascii="Times New Roman" w:hAnsi="Times New Roman" w:cs="Times New Roman"/>
          <w:lang w:val="en-US"/>
        </w:rPr>
        <w:t>SNPC1</w:t>
      </w:r>
      <w:r w:rsidR="00EB1947" w:rsidRPr="004F67E5">
        <w:rPr>
          <w:rFonts w:ascii="Times New Roman" w:hAnsi="Times New Roman" w:cs="Times New Roman"/>
          <w:lang w:val="en-US"/>
        </w:rPr>
        <w:t xml:space="preserve"> can be plotted, which is defined as topological space. There is a distinct population structure which is manually gated and </w:t>
      </w:r>
      <w:proofErr w:type="spellStart"/>
      <w:r w:rsidR="00EB1947" w:rsidRPr="004F67E5">
        <w:rPr>
          <w:rFonts w:ascii="Times New Roman" w:hAnsi="Times New Roman" w:cs="Times New Roman"/>
          <w:lang w:val="en-US"/>
        </w:rPr>
        <w:t>localisations</w:t>
      </w:r>
      <w:proofErr w:type="spellEnd"/>
      <w:r w:rsidR="00EB1947" w:rsidRPr="004F67E5">
        <w:rPr>
          <w:rFonts w:ascii="Times New Roman" w:hAnsi="Times New Roman" w:cs="Times New Roman"/>
          <w:lang w:val="en-US"/>
        </w:rPr>
        <w:t xml:space="preserve"> in each of the five gates are assigned to a </w:t>
      </w:r>
      <w:proofErr w:type="spellStart"/>
      <w:r w:rsidR="00EB1947" w:rsidRPr="004F67E5">
        <w:rPr>
          <w:rFonts w:ascii="Times New Roman" w:hAnsi="Times New Roman" w:cs="Times New Roman"/>
          <w:lang w:val="en-US"/>
        </w:rPr>
        <w:t>colour</w:t>
      </w:r>
      <w:proofErr w:type="spellEnd"/>
      <w:r w:rsidR="00EB1947" w:rsidRPr="004F67E5">
        <w:rPr>
          <w:rFonts w:ascii="Times New Roman" w:hAnsi="Times New Roman" w:cs="Times New Roman"/>
          <w:lang w:val="en-US"/>
        </w:rPr>
        <w:t xml:space="preserve"> key. </w:t>
      </w:r>
      <w:r w:rsidR="00D73E82">
        <w:rPr>
          <w:rFonts w:ascii="Times New Roman" w:hAnsi="Times New Roman" w:cs="Times New Roman"/>
          <w:b/>
          <w:bCs/>
          <w:lang w:val="en-US"/>
        </w:rPr>
        <w:t>c</w:t>
      </w:r>
      <w:r w:rsidR="00EB1947" w:rsidRPr="004F67E5">
        <w:rPr>
          <w:rFonts w:ascii="Times New Roman" w:hAnsi="Times New Roman" w:cs="Times New Roman"/>
          <w:b/>
          <w:bCs/>
          <w:lang w:val="en-US"/>
        </w:rPr>
        <w:t>.</w:t>
      </w:r>
      <w:r w:rsidR="00EB1947" w:rsidRPr="004F67E5">
        <w:rPr>
          <w:rFonts w:ascii="Times New Roman" w:hAnsi="Times New Roman" w:cs="Times New Roman"/>
          <w:lang w:val="en-US"/>
        </w:rPr>
        <w:t xml:space="preserve"> A selected ROI is plotted using the </w:t>
      </w:r>
      <w:proofErr w:type="spellStart"/>
      <w:r w:rsidR="00EB1947" w:rsidRPr="004F67E5">
        <w:rPr>
          <w:rFonts w:ascii="Times New Roman" w:hAnsi="Times New Roman" w:cs="Times New Roman"/>
          <w:lang w:val="en-US"/>
        </w:rPr>
        <w:t>colour</w:t>
      </w:r>
      <w:proofErr w:type="spellEnd"/>
      <w:r w:rsidR="00EB1947" w:rsidRPr="004F67E5">
        <w:rPr>
          <w:rFonts w:ascii="Times New Roman" w:hAnsi="Times New Roman" w:cs="Times New Roman"/>
          <w:lang w:val="en-US"/>
        </w:rPr>
        <w:t xml:space="preserve"> key defined in (</w:t>
      </w:r>
      <w:r w:rsidR="00D73E82">
        <w:rPr>
          <w:rFonts w:ascii="Times New Roman" w:hAnsi="Times New Roman" w:cs="Times New Roman"/>
          <w:lang w:val="en-US"/>
        </w:rPr>
        <w:t>b</w:t>
      </w:r>
      <w:r w:rsidR="00EB1947" w:rsidRPr="004F67E5">
        <w:rPr>
          <w:rFonts w:ascii="Times New Roman" w:hAnsi="Times New Roman" w:cs="Times New Roman"/>
          <w:lang w:val="en-US"/>
        </w:rPr>
        <w:t xml:space="preserve">). Blue, green and red correspond to the rulers. Purple correspond to spurious noise </w:t>
      </w:r>
      <w:proofErr w:type="spellStart"/>
      <w:r w:rsidR="00EB1947" w:rsidRPr="004F67E5">
        <w:rPr>
          <w:rFonts w:ascii="Times New Roman" w:hAnsi="Times New Roman" w:cs="Times New Roman"/>
          <w:lang w:val="en-US"/>
        </w:rPr>
        <w:t>localisations</w:t>
      </w:r>
      <w:proofErr w:type="spellEnd"/>
      <w:r w:rsidR="00EB1947" w:rsidRPr="004F67E5">
        <w:rPr>
          <w:rFonts w:ascii="Times New Roman" w:hAnsi="Times New Roman" w:cs="Times New Roman"/>
          <w:lang w:val="en-US"/>
        </w:rPr>
        <w:t xml:space="preserve">. Cyan corresponds to a </w:t>
      </w:r>
      <w:proofErr w:type="gramStart"/>
      <w:r w:rsidR="00EB1947" w:rsidRPr="004F67E5">
        <w:rPr>
          <w:rFonts w:ascii="Times New Roman" w:hAnsi="Times New Roman" w:cs="Times New Roman"/>
          <w:lang w:val="en-US"/>
        </w:rPr>
        <w:t>fiducials</w:t>
      </w:r>
      <w:proofErr w:type="gramEnd"/>
      <w:r w:rsidR="00EB1947" w:rsidRPr="004F67E5">
        <w:rPr>
          <w:rFonts w:ascii="Times New Roman" w:hAnsi="Times New Roman" w:cs="Times New Roman"/>
          <w:lang w:val="en-US"/>
        </w:rPr>
        <w:t xml:space="preserve"> that are present in most frames forming tight, dense localization clusters. </w:t>
      </w:r>
      <w:r w:rsidR="00D73E82">
        <w:rPr>
          <w:rFonts w:ascii="Times New Roman" w:hAnsi="Times New Roman" w:cs="Times New Roman"/>
          <w:b/>
          <w:bCs/>
          <w:lang w:val="en-US"/>
        </w:rPr>
        <w:t>d</w:t>
      </w:r>
      <w:r w:rsidR="00EB1947" w:rsidRPr="004F67E5">
        <w:rPr>
          <w:rFonts w:ascii="Times New Roman" w:hAnsi="Times New Roman" w:cs="Times New Roman"/>
          <w:b/>
          <w:bCs/>
          <w:lang w:val="en-US"/>
        </w:rPr>
        <w:t>.</w:t>
      </w:r>
      <w:r w:rsidR="00EB1947" w:rsidRPr="004F67E5">
        <w:rPr>
          <w:rFonts w:ascii="Times New Roman" w:hAnsi="Times New Roman" w:cs="Times New Roman"/>
          <w:lang w:val="en-US"/>
        </w:rPr>
        <w:t xml:space="preserve"> The image is clustered using DBSCAN (eps = 12nm and </w:t>
      </w:r>
      <w:proofErr w:type="spellStart"/>
      <w:r w:rsidR="00EB1947" w:rsidRPr="004F67E5">
        <w:rPr>
          <w:rFonts w:ascii="Times New Roman" w:hAnsi="Times New Roman" w:cs="Times New Roman"/>
          <w:lang w:val="en-US"/>
        </w:rPr>
        <w:t>minPts</w:t>
      </w:r>
      <w:proofErr w:type="spellEnd"/>
      <w:r w:rsidR="00EB1947" w:rsidRPr="004F67E5">
        <w:rPr>
          <w:rFonts w:ascii="Times New Roman" w:hAnsi="Times New Roman" w:cs="Times New Roman"/>
          <w:lang w:val="en-US"/>
        </w:rPr>
        <w:t xml:space="preserve"> = 5) to retrieve the individual molecules of the rulers. The number of </w:t>
      </w:r>
      <w:proofErr w:type="spellStart"/>
      <w:r w:rsidR="00EB1947" w:rsidRPr="004F67E5">
        <w:rPr>
          <w:rFonts w:ascii="Times New Roman" w:hAnsi="Times New Roman" w:cs="Times New Roman"/>
          <w:lang w:val="en-US"/>
        </w:rPr>
        <w:t>localisations</w:t>
      </w:r>
      <w:proofErr w:type="spellEnd"/>
      <w:r w:rsidR="00EB1947" w:rsidRPr="004F67E5">
        <w:rPr>
          <w:rFonts w:ascii="Times New Roman" w:hAnsi="Times New Roman" w:cs="Times New Roman"/>
          <w:lang w:val="en-US"/>
        </w:rPr>
        <w:t xml:space="preserve"> in each cluster is displayed on the plot. </w:t>
      </w:r>
    </w:p>
    <w:p w14:paraId="50F2E60F" w14:textId="1170C137" w:rsidR="001324AC" w:rsidRDefault="001324AC" w:rsidP="00EB1947">
      <w:pPr>
        <w:rPr>
          <w:rFonts w:ascii="Times New Roman" w:hAnsi="Times New Roman" w:cs="Times New Roman"/>
          <w:lang w:val="en-US"/>
        </w:rPr>
      </w:pPr>
    </w:p>
    <w:p w14:paraId="2DB126CF" w14:textId="002AA626" w:rsidR="001324AC" w:rsidRDefault="001324AC" w:rsidP="00EB1947">
      <w:pPr>
        <w:rPr>
          <w:rFonts w:ascii="Times New Roman" w:hAnsi="Times New Roman" w:cs="Times New Roman"/>
          <w:lang w:val="en-US"/>
        </w:rPr>
      </w:pPr>
    </w:p>
    <w:p w14:paraId="7F34B633" w14:textId="243EBDCA" w:rsidR="001324AC" w:rsidRDefault="001324AC" w:rsidP="00EB1947">
      <w:pPr>
        <w:rPr>
          <w:rFonts w:ascii="Times New Roman" w:hAnsi="Times New Roman" w:cs="Times New Roman"/>
          <w:lang w:val="en-US"/>
        </w:rPr>
      </w:pPr>
    </w:p>
    <w:p w14:paraId="1603A89B" w14:textId="2567FAF5" w:rsidR="001324AC" w:rsidRDefault="001324AC" w:rsidP="00EB1947">
      <w:pPr>
        <w:rPr>
          <w:rFonts w:ascii="Times New Roman" w:hAnsi="Times New Roman" w:cs="Times New Roman"/>
          <w:lang w:val="en-US"/>
        </w:rPr>
      </w:pPr>
    </w:p>
    <w:p w14:paraId="211348C5" w14:textId="7BDB7725" w:rsidR="001324AC" w:rsidRDefault="001324AC" w:rsidP="00EB1947">
      <w:pPr>
        <w:rPr>
          <w:rFonts w:ascii="Times New Roman" w:hAnsi="Times New Roman" w:cs="Times New Roman"/>
          <w:lang w:val="en-US"/>
        </w:rPr>
      </w:pPr>
    </w:p>
    <w:p w14:paraId="2D76AE85" w14:textId="3D11E355" w:rsidR="001324AC" w:rsidRDefault="001324AC" w:rsidP="00EB1947">
      <w:pPr>
        <w:rPr>
          <w:rFonts w:ascii="Times New Roman" w:hAnsi="Times New Roman" w:cs="Times New Roman"/>
          <w:lang w:val="en-US"/>
        </w:rPr>
      </w:pPr>
    </w:p>
    <w:p w14:paraId="724B0480" w14:textId="42F88D6C" w:rsidR="001324AC" w:rsidRDefault="001324AC" w:rsidP="00EB1947">
      <w:pPr>
        <w:rPr>
          <w:rFonts w:ascii="Times New Roman" w:hAnsi="Times New Roman" w:cs="Times New Roman"/>
          <w:lang w:val="en-US"/>
        </w:rPr>
      </w:pPr>
    </w:p>
    <w:p w14:paraId="545649DD" w14:textId="0D5C9721" w:rsidR="001324AC" w:rsidRDefault="001324AC" w:rsidP="00EB1947">
      <w:pPr>
        <w:rPr>
          <w:rFonts w:ascii="Times New Roman" w:hAnsi="Times New Roman" w:cs="Times New Roman"/>
          <w:lang w:val="en-US"/>
        </w:rPr>
      </w:pPr>
    </w:p>
    <w:p w14:paraId="341E796C" w14:textId="1024F310" w:rsidR="001324AC" w:rsidRDefault="001324AC" w:rsidP="00EB1947">
      <w:pPr>
        <w:rPr>
          <w:rFonts w:ascii="Times New Roman" w:hAnsi="Times New Roman" w:cs="Times New Roman"/>
          <w:lang w:val="en-US"/>
        </w:rPr>
      </w:pPr>
    </w:p>
    <w:p w14:paraId="748D6395" w14:textId="6F3242DD" w:rsidR="001324AC" w:rsidRDefault="001324AC" w:rsidP="00EB1947">
      <w:pPr>
        <w:rPr>
          <w:rFonts w:ascii="Times New Roman" w:hAnsi="Times New Roman" w:cs="Times New Roman"/>
          <w:lang w:val="en-US"/>
        </w:rPr>
      </w:pPr>
    </w:p>
    <w:p w14:paraId="763BFC50" w14:textId="53B00BED" w:rsidR="001324AC" w:rsidRDefault="00EF44DA" w:rsidP="00EB1947">
      <w:pPr>
        <w:rPr>
          <w:rFonts w:ascii="Times New Roman" w:hAnsi="Times New Roman" w:cs="Times New Roman"/>
          <w:lang w:val="en-US"/>
        </w:rPr>
      </w:pPr>
      <w:r>
        <w:rPr>
          <w:rFonts w:ascii="Times New Roman" w:hAnsi="Times New Roman" w:cs="Times New Roman"/>
          <w:noProof/>
          <w:lang w:val="en-US"/>
        </w:rPr>
        <w:drawing>
          <wp:inline distT="0" distB="0" distL="0" distR="0" wp14:anchorId="23C65898" wp14:editId="1C2E6088">
            <wp:extent cx="5727700" cy="572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47F26913" w14:textId="39B5DBA3" w:rsidR="001324AC" w:rsidRDefault="001324AC" w:rsidP="00EB1947">
      <w:pPr>
        <w:rPr>
          <w:rFonts w:ascii="Times New Roman" w:hAnsi="Times New Roman" w:cs="Times New Roman"/>
          <w:lang w:val="en-US"/>
        </w:rPr>
      </w:pPr>
    </w:p>
    <w:p w14:paraId="10B7DEF9" w14:textId="78F1B95D" w:rsidR="001324AC" w:rsidRDefault="001324AC" w:rsidP="00EB1947">
      <w:pPr>
        <w:rPr>
          <w:rFonts w:ascii="Times New Roman" w:hAnsi="Times New Roman" w:cs="Times New Roman"/>
          <w:lang w:val="en-US"/>
        </w:rPr>
      </w:pPr>
    </w:p>
    <w:p w14:paraId="6C612CDA" w14:textId="77777777" w:rsidR="001324AC" w:rsidRPr="004F67E5" w:rsidRDefault="001324AC" w:rsidP="00EB1947">
      <w:pPr>
        <w:rPr>
          <w:rFonts w:ascii="Times New Roman" w:hAnsi="Times New Roman" w:cs="Times New Roman"/>
          <w:lang w:val="en-US"/>
        </w:rPr>
      </w:pPr>
    </w:p>
    <w:p w14:paraId="21FC52DC" w14:textId="77777777" w:rsidR="00EB1947" w:rsidRPr="004F67E5" w:rsidRDefault="00EB1947" w:rsidP="00EB1947">
      <w:pPr>
        <w:rPr>
          <w:rFonts w:ascii="Times New Roman" w:hAnsi="Times New Roman" w:cs="Times New Roman"/>
          <w:lang w:val="en-US"/>
        </w:rPr>
      </w:pPr>
    </w:p>
    <w:p w14:paraId="1EC07760" w14:textId="05416FD8" w:rsidR="00EB1947" w:rsidRPr="001C1CBB" w:rsidRDefault="00552699" w:rsidP="00102A86">
      <w:pPr>
        <w:rPr>
          <w:rFonts w:ascii="Times New Roman" w:hAnsi="Times New Roman" w:cs="Times New Roman"/>
        </w:rPr>
      </w:pPr>
      <w:r w:rsidRPr="001C1CBB">
        <w:rPr>
          <w:rFonts w:ascii="Times New Roman" w:hAnsi="Times New Roman" w:cs="Times New Roman"/>
          <w:b/>
          <w:bCs/>
        </w:rPr>
        <w:t>Supplementary Figure 9</w:t>
      </w:r>
      <w:r w:rsidR="001C1CBB">
        <w:rPr>
          <w:rFonts w:ascii="Times New Roman" w:hAnsi="Times New Roman" w:cs="Times New Roman"/>
          <w:b/>
          <w:bCs/>
        </w:rPr>
        <w:t xml:space="preserve">. Using KNA as a diagnostic for clustering output. </w:t>
      </w:r>
      <w:r w:rsidR="001C1CBB">
        <w:rPr>
          <w:rFonts w:ascii="Times New Roman" w:hAnsi="Times New Roman" w:cs="Times New Roman"/>
        </w:rPr>
        <w:t xml:space="preserve">Continuing Figure 8, density is plotted vs. SNPC1 and localisations are coloured according to whether they have been assigned to a cluster with DBSCAN run at different parameter settings. No single parameter setting can capture all the localisations belonging to the DNA origamis without also picking up spurious clusters in the noise localisations. </w:t>
      </w:r>
    </w:p>
    <w:p w14:paraId="1B367E87" w14:textId="77777777" w:rsidR="001324AC" w:rsidRPr="00206AA5" w:rsidRDefault="001324AC" w:rsidP="001324AC">
      <w:pPr>
        <w:rPr>
          <w:rFonts w:ascii="Times New Roman" w:eastAsiaTheme="minorEastAsia" w:hAnsi="Times New Roman" w:cs="Times New Roman"/>
          <w:lang w:val="en-GB"/>
        </w:rPr>
      </w:pPr>
      <w:r>
        <w:rPr>
          <w:rFonts w:ascii="Times New Roman" w:eastAsiaTheme="minorEastAsia" w:hAnsi="Times New Roman" w:cs="Times New Roman"/>
          <w:noProof/>
          <w:lang w:val="en-GB"/>
        </w:rPr>
        <w:lastRenderedPageBreak/>
        <w:drawing>
          <wp:inline distT="0" distB="0" distL="0" distR="0" wp14:anchorId="0661502E" wp14:editId="5E4DB66C">
            <wp:extent cx="4608195" cy="307196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0">
                      <a:extLst>
                        <a:ext uri="{28A0092B-C50C-407E-A947-70E740481C1C}">
                          <a14:useLocalDpi xmlns:a14="http://schemas.microsoft.com/office/drawing/2010/main" val="0"/>
                        </a:ext>
                      </a:extLst>
                    </a:blip>
                    <a:stretch>
                      <a:fillRect/>
                    </a:stretch>
                  </pic:blipFill>
                  <pic:spPr>
                    <a:xfrm>
                      <a:off x="0" y="0"/>
                      <a:ext cx="4613868" cy="3075742"/>
                    </a:xfrm>
                    <a:prstGeom prst="rect">
                      <a:avLst/>
                    </a:prstGeom>
                  </pic:spPr>
                </pic:pic>
              </a:graphicData>
            </a:graphic>
          </wp:inline>
        </w:drawing>
      </w:r>
    </w:p>
    <w:p w14:paraId="14A0D052" w14:textId="77777777" w:rsidR="001324AC" w:rsidRDefault="001324AC" w:rsidP="001324AC">
      <w:pPr>
        <w:jc w:val="both"/>
        <w:rPr>
          <w:rFonts w:ascii="Times New Roman" w:eastAsiaTheme="minorEastAsia" w:hAnsi="Times New Roman" w:cs="Times New Roman"/>
          <w:b/>
          <w:bCs/>
          <w:lang w:val="en-GB"/>
        </w:rPr>
      </w:pPr>
      <w:r>
        <w:rPr>
          <w:rFonts w:ascii="Times New Roman" w:eastAsiaTheme="minorEastAsia" w:hAnsi="Times New Roman" w:cs="Times New Roman"/>
          <w:b/>
          <w:bCs/>
          <w:noProof/>
          <w:lang w:val="en-GB"/>
        </w:rPr>
        <w:drawing>
          <wp:inline distT="0" distB="0" distL="0" distR="0" wp14:anchorId="665C3289" wp14:editId="7A0BA1C9">
            <wp:extent cx="4608214" cy="3071972"/>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1">
                      <a:extLst>
                        <a:ext uri="{28A0092B-C50C-407E-A947-70E740481C1C}">
                          <a14:useLocalDpi xmlns:a14="http://schemas.microsoft.com/office/drawing/2010/main" val="0"/>
                        </a:ext>
                      </a:extLst>
                    </a:blip>
                    <a:stretch>
                      <a:fillRect/>
                    </a:stretch>
                  </pic:blipFill>
                  <pic:spPr>
                    <a:xfrm>
                      <a:off x="0" y="0"/>
                      <a:ext cx="4612850" cy="3075062"/>
                    </a:xfrm>
                    <a:prstGeom prst="rect">
                      <a:avLst/>
                    </a:prstGeom>
                  </pic:spPr>
                </pic:pic>
              </a:graphicData>
            </a:graphic>
          </wp:inline>
        </w:drawing>
      </w:r>
    </w:p>
    <w:p w14:paraId="78649401" w14:textId="77777777" w:rsidR="001324AC" w:rsidRDefault="001324AC" w:rsidP="001324AC">
      <w:pPr>
        <w:jc w:val="both"/>
        <w:rPr>
          <w:rFonts w:ascii="Times New Roman" w:eastAsiaTheme="minorEastAsia" w:hAnsi="Times New Roman" w:cs="Times New Roman"/>
          <w:b/>
          <w:bCs/>
          <w:lang w:val="en-GB"/>
        </w:rPr>
      </w:pPr>
    </w:p>
    <w:p w14:paraId="458EEFBC" w14:textId="00942A51" w:rsidR="001324AC" w:rsidRDefault="001324AC" w:rsidP="001324AC">
      <w:pPr>
        <w:jc w:val="both"/>
        <w:rPr>
          <w:rFonts w:ascii="Times New Roman" w:eastAsia="Times New Roman" w:hAnsi="Times New Roman" w:cs="Times New Roman"/>
          <w:lang w:val="en-GB" w:eastAsia="en-AU"/>
        </w:rPr>
      </w:pPr>
      <w:r w:rsidRPr="0035311C">
        <w:rPr>
          <w:rFonts w:ascii="Times New Roman" w:eastAsiaTheme="minorEastAsia" w:hAnsi="Times New Roman" w:cs="Times New Roman"/>
          <w:b/>
          <w:bCs/>
          <w:lang w:val="en-GB"/>
        </w:rPr>
        <w:t xml:space="preserve">Supplementary Figure </w:t>
      </w:r>
      <w:r w:rsidR="00552699">
        <w:rPr>
          <w:rFonts w:ascii="Times New Roman" w:eastAsiaTheme="minorEastAsia" w:hAnsi="Times New Roman" w:cs="Times New Roman"/>
          <w:b/>
          <w:bCs/>
          <w:lang w:val="en-GB"/>
        </w:rPr>
        <w:t>10</w:t>
      </w:r>
      <w:r>
        <w:rPr>
          <w:rFonts w:ascii="Times New Roman" w:eastAsiaTheme="minorEastAsia" w:hAnsi="Times New Roman" w:cs="Times New Roman"/>
          <w:b/>
          <w:bCs/>
          <w:lang w:val="en-GB"/>
        </w:rPr>
        <w:t xml:space="preserve">. </w:t>
      </w:r>
      <w:r w:rsidRPr="008F0E32">
        <w:rPr>
          <w:rFonts w:ascii="Times New Roman" w:eastAsia="Times New Roman" w:hAnsi="Times New Roman" w:cs="Times New Roman"/>
          <w:b/>
          <w:bCs/>
          <w:lang w:val="en-GB" w:eastAsia="en-AU"/>
        </w:rPr>
        <w:t xml:space="preserve">The K-neighbourhoods identified with </w:t>
      </w:r>
      <w:r w:rsidRPr="008F0E32">
        <w:rPr>
          <w:rFonts w:ascii="Times New Roman" w:eastAsia="Times New Roman" w:hAnsi="Times New Roman" w:cs="Times New Roman"/>
          <w:b/>
          <w:bCs/>
          <w:i/>
          <w:iCs/>
          <w:lang w:val="en-GB" w:eastAsia="en-AU"/>
        </w:rPr>
        <w:t>K</w:t>
      </w:r>
      <w:r w:rsidRPr="008F0E32">
        <w:rPr>
          <w:rFonts w:ascii="Times New Roman" w:eastAsia="Times New Roman" w:hAnsi="Times New Roman" w:cs="Times New Roman"/>
          <w:b/>
          <w:bCs/>
          <w:lang w:val="en-GB" w:eastAsia="en-AU"/>
        </w:rPr>
        <w:t xml:space="preserve"> = 100 correspond to specific long-range structure.</w:t>
      </w:r>
      <w:r>
        <w:rPr>
          <w:rFonts w:ascii="Times New Roman" w:eastAsia="Times New Roman" w:hAnsi="Times New Roman" w:cs="Times New Roman"/>
          <w:lang w:val="en-GB" w:eastAsia="en-AU"/>
        </w:rPr>
        <w:t xml:space="preserve"> </w:t>
      </w:r>
      <w:r w:rsidRPr="00EC3C76">
        <w:rPr>
          <w:rFonts w:ascii="Times New Roman" w:eastAsia="Times New Roman" w:hAnsi="Times New Roman" w:cs="Times New Roman"/>
          <w:b/>
          <w:bCs/>
          <w:lang w:val="en-GB" w:eastAsia="en-AU"/>
        </w:rPr>
        <w:t>a-b</w:t>
      </w:r>
      <w:r>
        <w:rPr>
          <w:rFonts w:ascii="Times New Roman" w:eastAsia="Times New Roman" w:hAnsi="Times New Roman" w:cs="Times New Roman"/>
          <w:lang w:val="en-GB" w:eastAsia="en-AU"/>
        </w:rPr>
        <w:t xml:space="preserve"> Long-range</w:t>
      </w:r>
      <w:r w:rsidRPr="0035311C">
        <w:rPr>
          <w:rFonts w:ascii="Times New Roman" w:eastAsia="Times New Roman" w:hAnsi="Times New Roman" w:cs="Times New Roman"/>
          <w:lang w:val="en-GB" w:eastAsia="en-AU"/>
        </w:rPr>
        <w:t xml:space="preserve"> structure</w:t>
      </w:r>
      <w:r>
        <w:rPr>
          <w:rFonts w:ascii="Times New Roman" w:eastAsia="Times New Roman" w:hAnsi="Times New Roman" w:cs="Times New Roman"/>
          <w:lang w:val="en-GB" w:eastAsia="en-AU"/>
        </w:rPr>
        <w:t xml:space="preserve"> can be</w:t>
      </w:r>
      <w:r w:rsidRPr="0035311C">
        <w:rPr>
          <w:rFonts w:ascii="Times New Roman" w:eastAsia="Times New Roman" w:hAnsi="Times New Roman" w:cs="Times New Roman"/>
          <w:lang w:val="en-GB" w:eastAsia="en-AU"/>
        </w:rPr>
        <w:t xml:space="preserve"> probed by calculating NND for </w:t>
      </w:r>
      <w:r w:rsidRPr="00E1612A">
        <w:rPr>
          <w:rFonts w:ascii="Times New Roman" w:eastAsia="Times New Roman" w:hAnsi="Times New Roman" w:cs="Times New Roman"/>
          <w:i/>
          <w:iCs/>
          <w:lang w:val="en-GB" w:eastAsia="en-AU"/>
        </w:rPr>
        <w:t>K</w:t>
      </w:r>
      <w:r>
        <w:rPr>
          <w:rFonts w:ascii="Times New Roman" w:eastAsia="Times New Roman" w:hAnsi="Times New Roman" w:cs="Times New Roman"/>
          <w:lang w:val="en-GB" w:eastAsia="en-AU"/>
        </w:rPr>
        <w:t xml:space="preserve"> = 200 (</w:t>
      </w:r>
      <w:r w:rsidRPr="00AC2E40">
        <w:rPr>
          <w:rFonts w:ascii="Times New Roman" w:eastAsia="Times New Roman" w:hAnsi="Times New Roman" w:cs="Times New Roman"/>
          <w:b/>
          <w:bCs/>
          <w:lang w:val="en-GB" w:eastAsia="en-AU"/>
        </w:rPr>
        <w:t>a</w:t>
      </w:r>
      <w:r>
        <w:rPr>
          <w:rFonts w:ascii="Times New Roman" w:eastAsia="Times New Roman" w:hAnsi="Times New Roman" w:cs="Times New Roman"/>
          <w:lang w:val="en-GB" w:eastAsia="en-AU"/>
        </w:rPr>
        <w:t xml:space="preserve">) or </w:t>
      </w:r>
      <w:r w:rsidRPr="00E1612A">
        <w:rPr>
          <w:rFonts w:ascii="Times New Roman" w:eastAsia="Times New Roman" w:hAnsi="Times New Roman" w:cs="Times New Roman"/>
          <w:i/>
          <w:iCs/>
          <w:lang w:val="en-GB" w:eastAsia="en-AU"/>
        </w:rPr>
        <w:t>K</w:t>
      </w:r>
      <w:r>
        <w:rPr>
          <w:rFonts w:ascii="Times New Roman" w:eastAsia="Times New Roman" w:hAnsi="Times New Roman" w:cs="Times New Roman"/>
          <w:lang w:val="en-GB" w:eastAsia="en-AU"/>
        </w:rPr>
        <w:t xml:space="preserve"> = 500 (</w:t>
      </w:r>
      <w:r w:rsidRPr="00AC2E40">
        <w:rPr>
          <w:rFonts w:ascii="Times New Roman" w:eastAsia="Times New Roman" w:hAnsi="Times New Roman" w:cs="Times New Roman"/>
          <w:b/>
          <w:bCs/>
          <w:lang w:val="en-GB" w:eastAsia="en-AU"/>
        </w:rPr>
        <w:t>b</w:t>
      </w:r>
      <w:r>
        <w:rPr>
          <w:rFonts w:ascii="Times New Roman" w:eastAsia="Times New Roman" w:hAnsi="Times New Roman" w:cs="Times New Roman"/>
          <w:lang w:val="en-GB" w:eastAsia="en-AU"/>
        </w:rPr>
        <w:t>)</w:t>
      </w:r>
      <w:r w:rsidRPr="0035311C">
        <w:rPr>
          <w:rFonts w:ascii="Times New Roman" w:eastAsia="Times New Roman" w:hAnsi="Times New Roman" w:cs="Times New Roman"/>
          <w:lang w:val="en-GB" w:eastAsia="en-AU"/>
        </w:rPr>
        <w:t xml:space="preserve"> and partitioning the </w:t>
      </w:r>
      <w:r>
        <w:rPr>
          <w:rFonts w:ascii="Times New Roman" w:eastAsia="Times New Roman" w:hAnsi="Times New Roman" w:cs="Times New Roman"/>
          <w:lang w:val="en-GB" w:eastAsia="en-AU"/>
        </w:rPr>
        <w:t>univariate densities</w:t>
      </w:r>
      <w:r w:rsidRPr="0035311C">
        <w:rPr>
          <w:rFonts w:ascii="Times New Roman" w:eastAsia="Times New Roman" w:hAnsi="Times New Roman" w:cs="Times New Roman"/>
          <w:lang w:val="en-GB" w:eastAsia="en-AU"/>
        </w:rPr>
        <w:t xml:space="preserve"> by colour</w:t>
      </w:r>
      <w:r>
        <w:rPr>
          <w:rFonts w:ascii="Times New Roman" w:eastAsia="Times New Roman" w:hAnsi="Times New Roman" w:cs="Times New Roman"/>
          <w:lang w:val="en-GB" w:eastAsia="en-AU"/>
        </w:rPr>
        <w:t xml:space="preserve"> (normalised to have a maximum height of one)</w:t>
      </w:r>
      <w:r w:rsidRPr="0035311C">
        <w:rPr>
          <w:rFonts w:ascii="Times New Roman" w:eastAsia="Times New Roman" w:hAnsi="Times New Roman" w:cs="Times New Roman"/>
          <w:lang w:val="en-GB" w:eastAsia="en-AU"/>
        </w:rPr>
        <w:t xml:space="preserve">. </w:t>
      </w:r>
      <w:r>
        <w:rPr>
          <w:rFonts w:ascii="Times New Roman" w:eastAsia="Times New Roman" w:hAnsi="Times New Roman" w:cs="Times New Roman"/>
          <w:lang w:val="en-GB" w:eastAsia="en-AU"/>
        </w:rPr>
        <w:t xml:space="preserve">The NND distributions indicate how the K-neighbourhoods aggregate (or not) to form multiscale structures. Black and magenta both have a strong peak at a longer distance that other colours, indicating their strong segregation from other structures. Blue and red have strong peaks at shorter distances, indicating their strong participation in </w:t>
      </w:r>
      <w:proofErr w:type="spellStart"/>
      <w:r>
        <w:rPr>
          <w:rFonts w:ascii="Times New Roman" w:eastAsia="Times New Roman" w:hAnsi="Times New Roman" w:cs="Times New Roman"/>
          <w:lang w:val="en-GB" w:eastAsia="en-AU"/>
        </w:rPr>
        <w:t>microclusters</w:t>
      </w:r>
      <w:proofErr w:type="spellEnd"/>
      <w:r>
        <w:rPr>
          <w:rFonts w:ascii="Times New Roman" w:eastAsia="Times New Roman" w:hAnsi="Times New Roman" w:cs="Times New Roman"/>
          <w:lang w:val="en-GB" w:eastAsia="en-AU"/>
        </w:rPr>
        <w:t xml:space="preserve">. Green and orange are strongly bimodal, indicating they aggregate with other structures at multiple scales. </w:t>
      </w:r>
      <w:r w:rsidRPr="003A6701">
        <w:rPr>
          <w:rFonts w:ascii="Times New Roman" w:eastAsia="Times New Roman" w:hAnsi="Times New Roman" w:cs="Times New Roman"/>
          <w:lang w:val="en-GB" w:eastAsia="en-AU"/>
        </w:rPr>
        <w:t>Biologically speaking, this means that protein clusters are not just defined by area and count of a cluster (</w:t>
      </w:r>
      <w:proofErr w:type="gramStart"/>
      <w:r w:rsidRPr="003A6701">
        <w:rPr>
          <w:rFonts w:ascii="Times New Roman" w:eastAsia="Times New Roman" w:hAnsi="Times New Roman" w:cs="Times New Roman"/>
          <w:lang w:val="en-GB" w:eastAsia="en-AU"/>
        </w:rPr>
        <w:t>e.g.</w:t>
      </w:r>
      <w:proofErr w:type="gramEnd"/>
      <w:r w:rsidRPr="003A6701">
        <w:rPr>
          <w:rFonts w:ascii="Times New Roman" w:eastAsia="Times New Roman" w:hAnsi="Times New Roman" w:cs="Times New Roman"/>
          <w:lang w:val="en-GB" w:eastAsia="en-AU"/>
        </w:rPr>
        <w:t xml:space="preserve"> DBSCAN output) but also the structure within and between cluster</w:t>
      </w:r>
      <w:r>
        <w:rPr>
          <w:rFonts w:ascii="Times New Roman" w:eastAsia="Times New Roman" w:hAnsi="Times New Roman" w:cs="Times New Roman"/>
          <w:lang w:val="en-GB" w:eastAsia="en-AU"/>
        </w:rPr>
        <w:t>s.</w:t>
      </w:r>
    </w:p>
    <w:p w14:paraId="178FE56D" w14:textId="185ED3C7" w:rsidR="001324AC" w:rsidRDefault="001324AC" w:rsidP="001324AC">
      <w:pPr>
        <w:jc w:val="both"/>
        <w:rPr>
          <w:rFonts w:ascii="Times New Roman" w:eastAsia="Times New Roman" w:hAnsi="Times New Roman" w:cs="Times New Roman"/>
          <w:lang w:val="en-GB" w:eastAsia="en-AU"/>
        </w:rPr>
      </w:pPr>
    </w:p>
    <w:p w14:paraId="08EF3637" w14:textId="5BFF82F1" w:rsidR="001324AC" w:rsidRDefault="001324AC" w:rsidP="001324AC">
      <w:pPr>
        <w:jc w:val="both"/>
        <w:rPr>
          <w:rFonts w:ascii="Times New Roman" w:eastAsia="Times New Roman" w:hAnsi="Times New Roman" w:cs="Times New Roman"/>
          <w:lang w:val="en-GB" w:eastAsia="en-AU"/>
        </w:rPr>
      </w:pPr>
    </w:p>
    <w:p w14:paraId="1FC17D00" w14:textId="77777777" w:rsidR="001324AC" w:rsidRDefault="001324AC" w:rsidP="001324AC">
      <w:pPr>
        <w:jc w:val="both"/>
        <w:rPr>
          <w:rFonts w:ascii="Times New Roman" w:eastAsia="Times New Roman" w:hAnsi="Times New Roman" w:cs="Times New Roman"/>
          <w:lang w:val="en-GB" w:eastAsia="en-AU"/>
        </w:rPr>
      </w:pPr>
      <w:r>
        <w:rPr>
          <w:rFonts w:ascii="Times New Roman" w:eastAsia="Times New Roman" w:hAnsi="Times New Roman" w:cs="Times New Roman"/>
          <w:noProof/>
          <w:lang w:val="en-US"/>
        </w:rPr>
        <w:lastRenderedPageBreak/>
        <w:drawing>
          <wp:inline distT="0" distB="0" distL="0" distR="0" wp14:anchorId="541448EC" wp14:editId="293E79BA">
            <wp:extent cx="5727700" cy="32219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hosphorylation_diagram.pdf"/>
                    <pic:cNvPicPr/>
                  </pic:nvPicPr>
                  <pic:blipFill>
                    <a:blip r:embed="rId2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CE51F2C" w14:textId="77777777" w:rsidR="001324AC" w:rsidRPr="0035311C" w:rsidRDefault="001324AC" w:rsidP="001324AC">
      <w:pPr>
        <w:jc w:val="both"/>
        <w:rPr>
          <w:rFonts w:ascii="Times New Roman" w:eastAsiaTheme="minorEastAsia" w:hAnsi="Times New Roman" w:cs="Times New Roman"/>
          <w:lang w:val="en-GB"/>
        </w:rPr>
      </w:pPr>
    </w:p>
    <w:p w14:paraId="5CE9C156" w14:textId="77777777" w:rsidR="001324AC" w:rsidRDefault="001324AC" w:rsidP="001324AC">
      <w:pPr>
        <w:jc w:val="both"/>
        <w:rPr>
          <w:rFonts w:ascii="Times New Roman" w:eastAsiaTheme="minorEastAsia" w:hAnsi="Times New Roman" w:cs="Times New Roman"/>
          <w:b/>
          <w:bCs/>
          <w:lang w:val="en-GB"/>
        </w:rPr>
      </w:pPr>
    </w:p>
    <w:p w14:paraId="0EAADEBB" w14:textId="4E535E7B" w:rsidR="001324AC" w:rsidRPr="008D7881" w:rsidRDefault="001324AC" w:rsidP="001324AC">
      <w:pPr>
        <w:jc w:val="both"/>
        <w:rPr>
          <w:rFonts w:ascii="Times New Roman" w:eastAsiaTheme="minorEastAsia" w:hAnsi="Times New Roman" w:cs="Times New Roman"/>
          <w:lang w:val="en-GB"/>
        </w:rPr>
      </w:pPr>
      <w:r w:rsidRPr="0035311C">
        <w:rPr>
          <w:rFonts w:ascii="Times New Roman" w:eastAsiaTheme="minorEastAsia" w:hAnsi="Times New Roman" w:cs="Times New Roman"/>
          <w:b/>
          <w:bCs/>
          <w:lang w:val="en-GB"/>
        </w:rPr>
        <w:t xml:space="preserve">Supplementary </w:t>
      </w:r>
      <w:r>
        <w:rPr>
          <w:rFonts w:ascii="Times New Roman" w:eastAsiaTheme="minorEastAsia" w:hAnsi="Times New Roman" w:cs="Times New Roman"/>
          <w:b/>
          <w:bCs/>
          <w:lang w:val="en-GB"/>
        </w:rPr>
        <w:t>Figure 1</w:t>
      </w:r>
      <w:r w:rsidR="00552699">
        <w:rPr>
          <w:rFonts w:ascii="Times New Roman" w:eastAsiaTheme="minorEastAsia" w:hAnsi="Times New Roman" w:cs="Times New Roman"/>
          <w:b/>
          <w:bCs/>
          <w:lang w:val="en-GB"/>
        </w:rPr>
        <w:t>1</w:t>
      </w:r>
      <w:r>
        <w:rPr>
          <w:rFonts w:ascii="Times New Roman" w:eastAsiaTheme="minorEastAsia" w:hAnsi="Times New Roman" w:cs="Times New Roman"/>
          <w:b/>
          <w:bCs/>
          <w:lang w:val="en-GB"/>
        </w:rPr>
        <w:t>.</w:t>
      </w:r>
      <w:r w:rsidRPr="0035311C">
        <w:rPr>
          <w:rFonts w:ascii="Times New Roman" w:eastAsiaTheme="minorEastAsia" w:hAnsi="Times New Roman" w:cs="Times New Roman"/>
          <w:lang w:val="en-GB"/>
        </w:rPr>
        <w:t xml:space="preserve"> </w:t>
      </w:r>
      <w:r w:rsidRPr="00A7517D">
        <w:rPr>
          <w:rFonts w:ascii="Times New Roman" w:eastAsiaTheme="minorEastAsia" w:hAnsi="Times New Roman" w:cs="Times New Roman"/>
          <w:b/>
          <w:bCs/>
          <w:lang w:val="en-GB"/>
        </w:rPr>
        <w:t>Conceptual diagram explaining the calculation of the phosphorylation enrichment score.</w:t>
      </w:r>
      <w:r>
        <w:rPr>
          <w:rFonts w:ascii="Times New Roman" w:eastAsiaTheme="minorEastAsia" w:hAnsi="Times New Roman" w:cs="Times New Roman"/>
          <w:lang w:val="en-GB"/>
        </w:rPr>
        <w:t xml:space="preserve"> </w:t>
      </w:r>
      <w:r w:rsidRPr="00A7517D">
        <w:rPr>
          <w:rFonts w:ascii="Times New Roman" w:eastAsiaTheme="minorEastAsia" w:hAnsi="Times New Roman" w:cs="Times New Roman"/>
          <w:b/>
          <w:bCs/>
          <w:lang w:val="en-GB"/>
        </w:rPr>
        <w:t>a</w:t>
      </w:r>
      <w:r>
        <w:rPr>
          <w:rFonts w:ascii="Times New Roman" w:eastAsiaTheme="minorEastAsia" w:hAnsi="Times New Roman" w:cs="Times New Roman"/>
          <w:b/>
          <w:bCs/>
          <w:lang w:val="en-GB"/>
        </w:rPr>
        <w:t>-b</w:t>
      </w:r>
      <w:r>
        <w:rPr>
          <w:rFonts w:ascii="Times New Roman" w:eastAsiaTheme="minorEastAsia" w:hAnsi="Times New Roman" w:cs="Times New Roman"/>
          <w:lang w:val="en-GB"/>
        </w:rPr>
        <w:t>. First, each</w:t>
      </w:r>
      <w:r w:rsidRPr="008D7881">
        <w:rPr>
          <w:rFonts w:ascii="Times New Roman" w:eastAsiaTheme="minorEastAsia" w:hAnsi="Times New Roman" w:cs="Times New Roman"/>
          <w:lang w:val="en-GB"/>
        </w:rPr>
        <w:t xml:space="preserve"> </w:t>
      </w:r>
      <w:r w:rsidRPr="00A7517D">
        <w:rPr>
          <w:rFonts w:ascii="Times New Roman" w:hAnsi="Times New Roman" w:cs="Times New Roman"/>
        </w:rPr>
        <w:t>CD3</w:t>
      </w:r>
      <w:r w:rsidRPr="00A7517D">
        <w:rPr>
          <w:rFonts w:ascii="Times New Roman" w:hAnsi="Times New Roman" w:cs="Times New Roman"/>
        </w:rPr>
        <w:sym w:font="Symbol" w:char="F07A"/>
      </w:r>
      <w:r w:rsidRPr="00A7517D">
        <w:rPr>
          <w:rFonts w:ascii="Times New Roman" w:hAnsi="Times New Roman" w:cs="Times New Roman"/>
        </w:rPr>
        <w:t xml:space="preserve"> </w:t>
      </w:r>
      <w:r>
        <w:rPr>
          <w:rFonts w:ascii="Times New Roman" w:eastAsiaTheme="minorEastAsia" w:hAnsi="Times New Roman" w:cs="Times New Roman"/>
          <w:lang w:val="en-GB"/>
        </w:rPr>
        <w:t>localisation was assigned its colour key according to its spatial organisation (here shown as four different colours)</w:t>
      </w:r>
      <w:r w:rsidRPr="008D7881">
        <w:rPr>
          <w:rFonts w:ascii="Times New Roman" w:eastAsiaTheme="minorEastAsia" w:hAnsi="Times New Roman" w:cs="Times New Roman"/>
          <w:lang w:val="en-GB"/>
        </w:rPr>
        <w:t>, follow</w:t>
      </w:r>
      <w:r>
        <w:rPr>
          <w:rFonts w:ascii="Times New Roman" w:eastAsiaTheme="minorEastAsia" w:hAnsi="Times New Roman" w:cs="Times New Roman"/>
          <w:lang w:val="en-GB"/>
        </w:rPr>
        <w:t>ing</w:t>
      </w:r>
      <w:r w:rsidRPr="008D7881">
        <w:rPr>
          <w:rFonts w:ascii="Times New Roman" w:eastAsiaTheme="minorEastAsia" w:hAnsi="Times New Roman" w:cs="Times New Roman"/>
          <w:lang w:val="en-GB"/>
        </w:rPr>
        <w:t xml:space="preserve"> the workflow in </w:t>
      </w:r>
      <w:r w:rsidRPr="00A7517D">
        <w:rPr>
          <w:rFonts w:ascii="Times New Roman" w:eastAsiaTheme="minorEastAsia" w:hAnsi="Times New Roman" w:cs="Times New Roman"/>
          <w:b/>
          <w:bCs/>
          <w:lang w:val="en-GB"/>
        </w:rPr>
        <w:t xml:space="preserve">Supplementary Figure </w:t>
      </w:r>
      <w:r>
        <w:rPr>
          <w:rFonts w:ascii="Times New Roman" w:eastAsiaTheme="minorEastAsia" w:hAnsi="Times New Roman" w:cs="Times New Roman"/>
          <w:b/>
          <w:bCs/>
          <w:lang w:val="en-GB"/>
        </w:rPr>
        <w:t xml:space="preserve">1. </w:t>
      </w:r>
      <w:proofErr w:type="spellStart"/>
      <w:r w:rsidRPr="004F3AE2">
        <w:rPr>
          <w:rFonts w:ascii="Times New Roman" w:eastAsiaTheme="minorEastAsia" w:hAnsi="Times New Roman" w:cs="Times New Roman"/>
          <w:b/>
          <w:bCs/>
          <w:lang w:val="en-GB"/>
        </w:rPr>
        <w:t>a</w:t>
      </w:r>
      <w:proofErr w:type="spellEnd"/>
      <w:r>
        <w:rPr>
          <w:rFonts w:ascii="Times New Roman" w:eastAsiaTheme="minorEastAsia" w:hAnsi="Times New Roman" w:cs="Times New Roman"/>
          <w:lang w:val="en-GB"/>
        </w:rPr>
        <w:t xml:space="preserve"> </w:t>
      </w:r>
      <w:proofErr w:type="gramStart"/>
      <w:r>
        <w:rPr>
          <w:rFonts w:ascii="Times New Roman" w:eastAsiaTheme="minorEastAsia" w:hAnsi="Times New Roman" w:cs="Times New Roman"/>
          <w:lang w:val="en-GB"/>
        </w:rPr>
        <w:t>The</w:t>
      </w:r>
      <w:proofErr w:type="gramEnd"/>
      <w:r>
        <w:rPr>
          <w:rFonts w:ascii="Times New Roman" w:eastAsiaTheme="minorEastAsia" w:hAnsi="Times New Roman" w:cs="Times New Roman"/>
          <w:lang w:val="en-GB"/>
        </w:rPr>
        <w:t xml:space="preserve"> frequency of </w:t>
      </w:r>
      <w:r w:rsidRPr="00A7517D">
        <w:rPr>
          <w:rFonts w:ascii="Times New Roman" w:hAnsi="Times New Roman" w:cs="Times New Roman"/>
        </w:rPr>
        <w:t>CD3</w:t>
      </w:r>
      <w:r w:rsidRPr="00A7517D">
        <w:rPr>
          <w:rFonts w:ascii="Times New Roman" w:hAnsi="Times New Roman" w:cs="Times New Roman"/>
        </w:rPr>
        <w:sym w:font="Symbol" w:char="F07A"/>
      </w:r>
      <w:r w:rsidRPr="00A7517D">
        <w:rPr>
          <w:rFonts w:ascii="Times New Roman" w:hAnsi="Times New Roman" w:cs="Times New Roman"/>
        </w:rPr>
        <w:t xml:space="preserve"> </w:t>
      </w:r>
      <w:r>
        <w:rPr>
          <w:rFonts w:ascii="Times New Roman" w:hAnsi="Times New Roman" w:cs="Times New Roman"/>
        </w:rPr>
        <w:t xml:space="preserve">localisations in each spatial group is represented as a frequency vector that was then normalised to sum to one. Next, we asked for each </w:t>
      </w:r>
      <w:r w:rsidRPr="00A7517D">
        <w:rPr>
          <w:rFonts w:ascii="Times New Roman" w:hAnsi="Times New Roman" w:cs="Times New Roman"/>
        </w:rPr>
        <w:t>CD3</w:t>
      </w:r>
      <w:r w:rsidRPr="00A7517D">
        <w:rPr>
          <w:rFonts w:ascii="Times New Roman" w:hAnsi="Times New Roman" w:cs="Times New Roman"/>
        </w:rPr>
        <w:sym w:font="Symbol" w:char="F07A"/>
      </w:r>
      <w:r w:rsidRPr="00A7517D">
        <w:rPr>
          <w:rFonts w:ascii="Times New Roman" w:hAnsi="Times New Roman" w:cs="Times New Roman"/>
        </w:rPr>
        <w:t xml:space="preserve"> </w:t>
      </w:r>
      <w:r>
        <w:rPr>
          <w:rFonts w:ascii="Times New Roman" w:eastAsiaTheme="minorEastAsia" w:hAnsi="Times New Roman" w:cs="Times New Roman"/>
          <w:lang w:val="en-GB"/>
        </w:rPr>
        <w:t>localisation whether it is located within 10 nm of a p</w:t>
      </w:r>
      <w:r w:rsidRPr="00A7517D">
        <w:rPr>
          <w:rFonts w:ascii="Times New Roman" w:hAnsi="Times New Roman" w:cs="Times New Roman"/>
        </w:rPr>
        <w:t>CD3</w:t>
      </w:r>
      <w:r w:rsidRPr="00A7517D">
        <w:rPr>
          <w:rFonts w:ascii="Times New Roman" w:hAnsi="Times New Roman" w:cs="Times New Roman"/>
        </w:rPr>
        <w:sym w:font="Symbol" w:char="F07A"/>
      </w:r>
      <w:r w:rsidRPr="008D7881">
        <w:rPr>
          <w:rFonts w:ascii="Times New Roman" w:eastAsiaTheme="minorEastAsia" w:hAnsi="Times New Roman" w:cs="Times New Roman"/>
          <w:lang w:val="en-GB"/>
        </w:rPr>
        <w:t xml:space="preserve"> </w:t>
      </w:r>
      <w:r>
        <w:rPr>
          <w:rFonts w:ascii="Times New Roman" w:eastAsiaTheme="minorEastAsia" w:hAnsi="Times New Roman" w:cs="Times New Roman"/>
          <w:lang w:val="en-GB"/>
        </w:rPr>
        <w:t xml:space="preserve">localisation (T=True, a) and constructed a normalized frequency vector for co-localised </w:t>
      </w:r>
      <w:r w:rsidRPr="00A7517D">
        <w:rPr>
          <w:rFonts w:ascii="Times New Roman" w:hAnsi="Times New Roman" w:cs="Times New Roman"/>
        </w:rPr>
        <w:t>CD3</w:t>
      </w:r>
      <w:r w:rsidRPr="00A7517D">
        <w:rPr>
          <w:rFonts w:ascii="Times New Roman" w:hAnsi="Times New Roman" w:cs="Times New Roman"/>
        </w:rPr>
        <w:sym w:font="Symbol" w:char="F07A"/>
      </w:r>
      <w:r w:rsidRPr="008D7881">
        <w:rPr>
          <w:rFonts w:ascii="Times New Roman" w:eastAsiaTheme="minorEastAsia" w:hAnsi="Times New Roman" w:cs="Times New Roman"/>
          <w:lang w:val="en-GB"/>
        </w:rPr>
        <w:t xml:space="preserve"> </w:t>
      </w:r>
      <w:r>
        <w:rPr>
          <w:rFonts w:ascii="Times New Roman" w:eastAsiaTheme="minorEastAsia" w:hAnsi="Times New Roman" w:cs="Times New Roman"/>
          <w:lang w:val="en-GB"/>
        </w:rPr>
        <w:t xml:space="preserve">localisation, while maintaining the colour key. </w:t>
      </w:r>
      <w:r w:rsidRPr="004F3AE2">
        <w:rPr>
          <w:rFonts w:ascii="Times New Roman" w:eastAsiaTheme="minorEastAsia" w:hAnsi="Times New Roman" w:cs="Times New Roman"/>
          <w:b/>
          <w:bCs/>
          <w:lang w:val="en-GB"/>
        </w:rPr>
        <w:t>b</w:t>
      </w:r>
      <w:r>
        <w:rPr>
          <w:rFonts w:ascii="Times New Roman" w:eastAsiaTheme="minorEastAsia" w:hAnsi="Times New Roman" w:cs="Times New Roman"/>
          <w:lang w:val="en-GB"/>
        </w:rPr>
        <w:t xml:space="preserve"> A comparison of the two vectors yields the enrichment score, by taking the </w:t>
      </w:r>
      <w:proofErr w:type="spellStart"/>
      <w:r>
        <w:rPr>
          <w:rFonts w:ascii="Times New Roman" w:eastAsiaTheme="minorEastAsia" w:hAnsi="Times New Roman" w:cs="Times New Roman"/>
          <w:lang w:val="en-GB"/>
        </w:rPr>
        <w:t>logratio</w:t>
      </w:r>
      <w:proofErr w:type="spellEnd"/>
      <w:r>
        <w:rPr>
          <w:rFonts w:ascii="Times New Roman" w:eastAsiaTheme="minorEastAsia" w:hAnsi="Times New Roman" w:cs="Times New Roman"/>
          <w:lang w:val="en-GB"/>
        </w:rPr>
        <w:t xml:space="preserve"> of the two frequencies for each colour. In this example, red and green localisations have an enrichment score close to zero, indicating no preference for phosphorylation over random selection. Blue </w:t>
      </w:r>
      <w:r w:rsidRPr="00A7517D">
        <w:rPr>
          <w:rFonts w:ascii="Times New Roman" w:hAnsi="Times New Roman" w:cs="Times New Roman"/>
        </w:rPr>
        <w:t>CD3</w:t>
      </w:r>
      <w:r w:rsidRPr="00A7517D">
        <w:rPr>
          <w:rFonts w:ascii="Times New Roman" w:hAnsi="Times New Roman" w:cs="Times New Roman"/>
        </w:rPr>
        <w:sym w:font="Symbol" w:char="F07A"/>
      </w:r>
      <w:r>
        <w:rPr>
          <w:rFonts w:ascii="Times New Roman" w:hAnsi="Times New Roman" w:cs="Times New Roman"/>
        </w:rPr>
        <w:t xml:space="preserve"> </w:t>
      </w:r>
      <w:r>
        <w:rPr>
          <w:rFonts w:ascii="Times New Roman" w:eastAsiaTheme="minorEastAsia" w:hAnsi="Times New Roman" w:cs="Times New Roman"/>
          <w:lang w:val="en-GB"/>
        </w:rPr>
        <w:t xml:space="preserve">localisations are overrepresented in the co-localised </w:t>
      </w:r>
      <w:r w:rsidRPr="00A7517D">
        <w:rPr>
          <w:rFonts w:ascii="Times New Roman" w:hAnsi="Times New Roman" w:cs="Times New Roman"/>
        </w:rPr>
        <w:t>CD3</w:t>
      </w:r>
      <w:r w:rsidRPr="00A7517D">
        <w:rPr>
          <w:rFonts w:ascii="Times New Roman" w:hAnsi="Times New Roman" w:cs="Times New Roman"/>
        </w:rPr>
        <w:sym w:font="Symbol" w:char="F07A"/>
      </w:r>
      <w:r>
        <w:rPr>
          <w:rFonts w:ascii="Times New Roman" w:hAnsi="Times New Roman" w:cs="Times New Roman"/>
        </w:rPr>
        <w:t xml:space="preserve"> frequency vector indicating that blue </w:t>
      </w:r>
      <w:r w:rsidRPr="00A7517D">
        <w:rPr>
          <w:rFonts w:ascii="Times New Roman" w:hAnsi="Times New Roman" w:cs="Times New Roman"/>
        </w:rPr>
        <w:t>CD3</w:t>
      </w:r>
      <w:r w:rsidRPr="00A7517D">
        <w:rPr>
          <w:rFonts w:ascii="Times New Roman" w:hAnsi="Times New Roman" w:cs="Times New Roman"/>
        </w:rPr>
        <w:sym w:font="Symbol" w:char="F07A"/>
      </w:r>
      <w:r>
        <w:rPr>
          <w:rFonts w:ascii="Times New Roman" w:hAnsi="Times New Roman" w:cs="Times New Roman"/>
        </w:rPr>
        <w:t xml:space="preserve"> </w:t>
      </w:r>
      <w:r>
        <w:rPr>
          <w:rFonts w:ascii="Times New Roman" w:eastAsiaTheme="minorEastAsia" w:hAnsi="Times New Roman" w:cs="Times New Roman"/>
          <w:lang w:val="en-GB"/>
        </w:rPr>
        <w:t xml:space="preserve">localisations are preferably phosphorylated. In contrast, purple </w:t>
      </w:r>
      <w:r w:rsidRPr="00A7517D">
        <w:rPr>
          <w:rFonts w:ascii="Times New Roman" w:hAnsi="Times New Roman" w:cs="Times New Roman"/>
        </w:rPr>
        <w:t>CD3</w:t>
      </w:r>
      <w:r w:rsidRPr="00A7517D">
        <w:rPr>
          <w:rFonts w:ascii="Times New Roman" w:hAnsi="Times New Roman" w:cs="Times New Roman"/>
        </w:rPr>
        <w:sym w:font="Symbol" w:char="F07A"/>
      </w:r>
      <w:r>
        <w:rPr>
          <w:rFonts w:ascii="Times New Roman" w:hAnsi="Times New Roman" w:cs="Times New Roman"/>
        </w:rPr>
        <w:t xml:space="preserve"> </w:t>
      </w:r>
      <w:r>
        <w:rPr>
          <w:rFonts w:ascii="Times New Roman" w:eastAsiaTheme="minorEastAsia" w:hAnsi="Times New Roman" w:cs="Times New Roman"/>
          <w:lang w:val="en-GB"/>
        </w:rPr>
        <w:t xml:space="preserve">localisations are underrepresented in the co-localised </w:t>
      </w:r>
      <w:r w:rsidRPr="00A7517D">
        <w:rPr>
          <w:rFonts w:ascii="Times New Roman" w:hAnsi="Times New Roman" w:cs="Times New Roman"/>
        </w:rPr>
        <w:t>CD3</w:t>
      </w:r>
      <w:r w:rsidRPr="00A7517D">
        <w:rPr>
          <w:rFonts w:ascii="Times New Roman" w:hAnsi="Times New Roman" w:cs="Times New Roman"/>
        </w:rPr>
        <w:sym w:font="Symbol" w:char="F07A"/>
      </w:r>
      <w:r>
        <w:rPr>
          <w:rFonts w:ascii="Times New Roman" w:hAnsi="Times New Roman" w:cs="Times New Roman"/>
        </w:rPr>
        <w:t xml:space="preserve"> frequency vector and are therefore deselected for phosphorylation.</w:t>
      </w:r>
    </w:p>
    <w:p w14:paraId="4C2F6148" w14:textId="77777777" w:rsidR="001324AC" w:rsidRDefault="001324AC" w:rsidP="001324AC">
      <w:pPr>
        <w:jc w:val="both"/>
        <w:rPr>
          <w:rFonts w:ascii="Times New Roman" w:eastAsiaTheme="minorEastAsia" w:hAnsi="Times New Roman" w:cs="Times New Roman"/>
          <w:lang w:val="en-GB"/>
        </w:rPr>
      </w:pPr>
    </w:p>
    <w:p w14:paraId="50B3ED95" w14:textId="77777777" w:rsidR="001324AC" w:rsidRDefault="001324AC" w:rsidP="001324AC">
      <w:pPr>
        <w:jc w:val="both"/>
        <w:rPr>
          <w:rFonts w:ascii="Times New Roman" w:eastAsiaTheme="minorEastAsia" w:hAnsi="Times New Roman" w:cs="Times New Roman"/>
          <w:lang w:val="en-GB"/>
        </w:rPr>
      </w:pPr>
    </w:p>
    <w:p w14:paraId="21AE5296" w14:textId="77777777" w:rsidR="001324AC" w:rsidRDefault="001324AC" w:rsidP="001324AC">
      <w:pPr>
        <w:jc w:val="both"/>
        <w:rPr>
          <w:rFonts w:ascii="Times New Roman" w:eastAsiaTheme="minorEastAsia" w:hAnsi="Times New Roman" w:cs="Times New Roman"/>
          <w:lang w:val="en-GB"/>
        </w:rPr>
      </w:pPr>
    </w:p>
    <w:p w14:paraId="37A2F5B9" w14:textId="77777777" w:rsidR="001324AC" w:rsidRDefault="001324AC" w:rsidP="001324AC">
      <w:pPr>
        <w:jc w:val="both"/>
        <w:rPr>
          <w:rFonts w:ascii="Times New Roman" w:eastAsiaTheme="minorEastAsia" w:hAnsi="Times New Roman" w:cs="Times New Roman"/>
          <w:lang w:val="en-GB"/>
        </w:rPr>
      </w:pPr>
    </w:p>
    <w:p w14:paraId="01B97AA6" w14:textId="77777777" w:rsidR="001324AC" w:rsidRDefault="001324AC" w:rsidP="001324AC">
      <w:pPr>
        <w:jc w:val="both"/>
        <w:rPr>
          <w:rFonts w:ascii="Times New Roman" w:eastAsiaTheme="minorEastAsia" w:hAnsi="Times New Roman" w:cs="Times New Roman"/>
          <w:lang w:val="en-GB"/>
        </w:rPr>
      </w:pPr>
    </w:p>
    <w:p w14:paraId="43A2EDDF" w14:textId="77777777" w:rsidR="001324AC" w:rsidRDefault="001324AC" w:rsidP="001324AC">
      <w:pPr>
        <w:jc w:val="both"/>
        <w:rPr>
          <w:rFonts w:ascii="Times New Roman" w:eastAsiaTheme="minorEastAsia" w:hAnsi="Times New Roman" w:cs="Times New Roman"/>
          <w:lang w:val="en-GB"/>
        </w:rPr>
      </w:pPr>
    </w:p>
    <w:p w14:paraId="5C8C6D5D" w14:textId="77777777" w:rsidR="001324AC" w:rsidRDefault="001324AC" w:rsidP="001324AC">
      <w:pPr>
        <w:jc w:val="both"/>
        <w:rPr>
          <w:rFonts w:ascii="Times New Roman" w:eastAsiaTheme="minorEastAsia" w:hAnsi="Times New Roman" w:cs="Times New Roman"/>
          <w:lang w:val="en-GB"/>
        </w:rPr>
      </w:pPr>
    </w:p>
    <w:p w14:paraId="124C621A" w14:textId="77777777" w:rsidR="001324AC" w:rsidRDefault="001324AC" w:rsidP="001324AC">
      <w:pPr>
        <w:jc w:val="both"/>
        <w:rPr>
          <w:rFonts w:ascii="Times New Roman" w:eastAsiaTheme="minorEastAsia" w:hAnsi="Times New Roman" w:cs="Times New Roman"/>
          <w:lang w:val="en-GB"/>
        </w:rPr>
      </w:pPr>
    </w:p>
    <w:p w14:paraId="175C46B4" w14:textId="77777777" w:rsidR="001324AC" w:rsidRDefault="001324AC" w:rsidP="001324AC">
      <w:pPr>
        <w:jc w:val="both"/>
        <w:rPr>
          <w:rFonts w:ascii="Times New Roman" w:eastAsiaTheme="minorEastAsia" w:hAnsi="Times New Roman" w:cs="Times New Roman"/>
          <w:lang w:val="en-GB"/>
        </w:rPr>
      </w:pPr>
    </w:p>
    <w:p w14:paraId="4A113744" w14:textId="77777777" w:rsidR="001324AC" w:rsidRDefault="001324AC" w:rsidP="001324AC">
      <w:pPr>
        <w:jc w:val="both"/>
        <w:rPr>
          <w:rFonts w:ascii="Times New Roman" w:eastAsiaTheme="minorEastAsia" w:hAnsi="Times New Roman" w:cs="Times New Roman"/>
          <w:lang w:val="en-GB"/>
        </w:rPr>
      </w:pPr>
    </w:p>
    <w:p w14:paraId="1181F74F" w14:textId="77777777" w:rsidR="001324AC" w:rsidRDefault="001324AC" w:rsidP="001324AC">
      <w:pPr>
        <w:jc w:val="both"/>
        <w:rPr>
          <w:rFonts w:ascii="Times New Roman" w:eastAsiaTheme="minorEastAsia" w:hAnsi="Times New Roman" w:cs="Times New Roman"/>
          <w:lang w:val="en-GB"/>
        </w:rPr>
      </w:pPr>
    </w:p>
    <w:p w14:paraId="41F94FBD" w14:textId="77777777" w:rsidR="001324AC" w:rsidRDefault="001324AC" w:rsidP="001324AC">
      <w:pPr>
        <w:jc w:val="both"/>
        <w:rPr>
          <w:rFonts w:ascii="Times New Roman" w:eastAsiaTheme="minorEastAsia" w:hAnsi="Times New Roman" w:cs="Times New Roman"/>
          <w:lang w:val="en-GB"/>
        </w:rPr>
      </w:pPr>
    </w:p>
    <w:p w14:paraId="1474EECA" w14:textId="77777777" w:rsidR="001324AC" w:rsidRDefault="001324AC" w:rsidP="001324AC">
      <w:pPr>
        <w:jc w:val="both"/>
        <w:rPr>
          <w:rFonts w:ascii="Times New Roman" w:eastAsiaTheme="minorEastAsia" w:hAnsi="Times New Roman" w:cs="Times New Roman"/>
          <w:lang w:val="en-GB"/>
        </w:rPr>
      </w:pPr>
    </w:p>
    <w:p w14:paraId="64F968CA" w14:textId="77777777" w:rsidR="001324AC" w:rsidRDefault="001324AC" w:rsidP="001324AC">
      <w:pPr>
        <w:jc w:val="both"/>
        <w:rPr>
          <w:rFonts w:ascii="Times New Roman" w:eastAsiaTheme="minorEastAsia" w:hAnsi="Times New Roman" w:cs="Times New Roman"/>
          <w:lang w:val="en-GB"/>
        </w:rPr>
      </w:pPr>
    </w:p>
    <w:p w14:paraId="4F35EA12" w14:textId="77777777" w:rsidR="001324AC" w:rsidRDefault="001324AC" w:rsidP="001324AC">
      <w:pPr>
        <w:jc w:val="both"/>
        <w:rPr>
          <w:rFonts w:ascii="Times New Roman" w:eastAsiaTheme="minorEastAsia" w:hAnsi="Times New Roman" w:cs="Times New Roman"/>
          <w:lang w:val="en-GB"/>
        </w:rPr>
      </w:pPr>
    </w:p>
    <w:p w14:paraId="3A8D6D93" w14:textId="77777777" w:rsidR="001324AC" w:rsidRDefault="001324AC" w:rsidP="001324AC">
      <w:pPr>
        <w:jc w:val="both"/>
        <w:rPr>
          <w:rFonts w:ascii="Times New Roman" w:hAnsi="Times New Roman" w:cs="Times New Roman"/>
          <w:lang w:val="en-GB"/>
        </w:rPr>
      </w:pPr>
      <w:r>
        <w:rPr>
          <w:rFonts w:ascii="Times New Roman" w:hAnsi="Times New Roman" w:cs="Times New Roman"/>
          <w:noProof/>
          <w:lang w:val="en-GB"/>
        </w:rPr>
        <w:lastRenderedPageBreak/>
        <w:drawing>
          <wp:inline distT="0" distB="0" distL="0" distR="0" wp14:anchorId="0842483E" wp14:editId="71DA167C">
            <wp:extent cx="5727700" cy="35290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richement_significance.pdf"/>
                    <pic:cNvPicPr/>
                  </pic:nvPicPr>
                  <pic:blipFill rotWithShape="1">
                    <a:blip r:embed="rId23">
                      <a:extLst>
                        <a:ext uri="{28A0092B-C50C-407E-A947-70E740481C1C}">
                          <a14:useLocalDpi xmlns:a14="http://schemas.microsoft.com/office/drawing/2010/main" val="0"/>
                        </a:ext>
                      </a:extLst>
                    </a:blip>
                    <a:srcRect t="7575"/>
                    <a:stretch/>
                  </pic:blipFill>
                  <pic:spPr bwMode="auto">
                    <a:xfrm>
                      <a:off x="0" y="0"/>
                      <a:ext cx="5727700" cy="3529006"/>
                    </a:xfrm>
                    <a:prstGeom prst="rect">
                      <a:avLst/>
                    </a:prstGeom>
                    <a:ln>
                      <a:noFill/>
                    </a:ln>
                    <a:extLst>
                      <a:ext uri="{53640926-AAD7-44D8-BBD7-CCE9431645EC}">
                        <a14:shadowObscured xmlns:a14="http://schemas.microsoft.com/office/drawing/2010/main"/>
                      </a:ext>
                    </a:extLst>
                  </pic:spPr>
                </pic:pic>
              </a:graphicData>
            </a:graphic>
          </wp:inline>
        </w:drawing>
      </w:r>
    </w:p>
    <w:p w14:paraId="5EB17273" w14:textId="77777777" w:rsidR="001324AC" w:rsidRDefault="001324AC" w:rsidP="001324AC">
      <w:pPr>
        <w:jc w:val="both"/>
        <w:rPr>
          <w:rFonts w:ascii="Times New Roman" w:hAnsi="Times New Roman" w:cs="Times New Roman"/>
          <w:lang w:val="en-GB"/>
        </w:rPr>
      </w:pPr>
    </w:p>
    <w:p w14:paraId="58807BA5" w14:textId="23557F9D" w:rsidR="001324AC" w:rsidRPr="009A27F0" w:rsidRDefault="001324AC" w:rsidP="001324AC">
      <w:pPr>
        <w:jc w:val="both"/>
        <w:rPr>
          <w:rFonts w:ascii="Times New Roman" w:hAnsi="Times New Roman" w:cs="Times New Roman"/>
          <w:lang w:val="en-GB"/>
        </w:rPr>
      </w:pPr>
      <w:r w:rsidRPr="00A57FA4">
        <w:rPr>
          <w:rFonts w:ascii="Times New Roman" w:hAnsi="Times New Roman" w:cs="Times New Roman"/>
          <w:b/>
          <w:bCs/>
          <w:lang w:val="en-GB"/>
        </w:rPr>
        <w:t xml:space="preserve">Supplementary Figure </w:t>
      </w:r>
      <w:r w:rsidR="00552699">
        <w:rPr>
          <w:rFonts w:ascii="Times New Roman" w:hAnsi="Times New Roman" w:cs="Times New Roman"/>
          <w:b/>
          <w:bCs/>
          <w:lang w:val="en-GB"/>
        </w:rPr>
        <w:t>12</w:t>
      </w:r>
      <w:r w:rsidRPr="00A57FA4">
        <w:rPr>
          <w:rFonts w:ascii="Times New Roman" w:hAnsi="Times New Roman" w:cs="Times New Roman"/>
          <w:b/>
          <w:bCs/>
          <w:lang w:val="en-GB"/>
        </w:rPr>
        <w:t xml:space="preserve">. Comparison of actual enrichment scores to simulated enrichment scores under the assumption of random phosphorylation. </w:t>
      </w:r>
      <w:r>
        <w:rPr>
          <w:rFonts w:ascii="Times New Roman" w:hAnsi="Times New Roman" w:cs="Times New Roman"/>
          <w:lang w:val="en-GB"/>
        </w:rPr>
        <w:t>First, for each cell, phosphorylated events were randomly assigned to each group using a multinomial distribution using cell specific parameters and the corresponding enrichment score was calculated. This simulation is repeated 10000 times and the 5</w:t>
      </w:r>
      <w:r w:rsidRPr="00A57FA4">
        <w:rPr>
          <w:rFonts w:ascii="Times New Roman" w:hAnsi="Times New Roman" w:cs="Times New Roman"/>
          <w:vertAlign w:val="superscript"/>
          <w:lang w:val="en-GB"/>
        </w:rPr>
        <w:t>th</w:t>
      </w:r>
      <w:r>
        <w:rPr>
          <w:rFonts w:ascii="Times New Roman" w:hAnsi="Times New Roman" w:cs="Times New Roman"/>
          <w:lang w:val="en-GB"/>
        </w:rPr>
        <w:t xml:space="preserve"> and 95</w:t>
      </w:r>
      <w:r w:rsidRPr="00A57FA4">
        <w:rPr>
          <w:rFonts w:ascii="Times New Roman" w:hAnsi="Times New Roman" w:cs="Times New Roman"/>
          <w:vertAlign w:val="superscript"/>
          <w:lang w:val="en-GB"/>
        </w:rPr>
        <w:t>th</w:t>
      </w:r>
      <w:r>
        <w:rPr>
          <w:rFonts w:ascii="Times New Roman" w:hAnsi="Times New Roman" w:cs="Times New Roman"/>
          <w:lang w:val="en-GB"/>
        </w:rPr>
        <w:t xml:space="preserve"> percentiles are reported. Finally, the minimum and maximum scores, respectively, over the 37 cells were plotted as horizontal lines. The variance of simulated random enrichment scores is related to the underlying frequency of each group. Note that the variance of the simulated random enrichment scores in certain cases is too small to be visible on the plots (</w:t>
      </w:r>
      <w:proofErr w:type="gramStart"/>
      <w:r>
        <w:rPr>
          <w:rFonts w:ascii="Times New Roman" w:hAnsi="Times New Roman" w:cs="Times New Roman"/>
          <w:lang w:val="en-GB"/>
        </w:rPr>
        <w:t>e.g.</w:t>
      </w:r>
      <w:proofErr w:type="gramEnd"/>
      <w:r>
        <w:rPr>
          <w:rFonts w:ascii="Times New Roman" w:hAnsi="Times New Roman" w:cs="Times New Roman"/>
          <w:lang w:val="en-GB"/>
        </w:rPr>
        <w:t xml:space="preserve"> red and blue groups). The comparison of the actual enrichment scores to the simulated enrichment scores for the </w:t>
      </w:r>
      <w:r>
        <w:rPr>
          <w:rFonts w:ascii="Times New Roman" w:hAnsi="Times New Roman" w:cs="Times New Roman"/>
        </w:rPr>
        <w:t>TCR (red symbols), 1</w:t>
      </w:r>
      <w:r w:rsidRPr="00E734F3">
        <w:rPr>
          <w:rFonts w:ascii="Times New Roman" w:hAnsi="Times New Roman" w:cs="Times New Roman"/>
          <w:vertAlign w:val="superscript"/>
        </w:rPr>
        <w:t>st</w:t>
      </w:r>
      <w:r>
        <w:rPr>
          <w:rFonts w:ascii="Times New Roman" w:hAnsi="Times New Roman" w:cs="Times New Roman"/>
        </w:rPr>
        <w:t xml:space="preserve"> generation CAR (green symbols) and 2</w:t>
      </w:r>
      <w:r w:rsidRPr="008B0275">
        <w:rPr>
          <w:rFonts w:ascii="Times New Roman" w:hAnsi="Times New Roman" w:cs="Times New Roman"/>
          <w:vertAlign w:val="superscript"/>
        </w:rPr>
        <w:t>nd</w:t>
      </w:r>
      <w:r>
        <w:rPr>
          <w:rFonts w:ascii="Times New Roman" w:hAnsi="Times New Roman" w:cs="Times New Roman"/>
        </w:rPr>
        <w:t xml:space="preserve"> generation CAR (black symbols)</w:t>
      </w:r>
      <w:r>
        <w:rPr>
          <w:rFonts w:ascii="Times New Roman" w:hAnsi="Times New Roman" w:cs="Times New Roman"/>
          <w:lang w:val="en-GB"/>
        </w:rPr>
        <w:t xml:space="preserve"> demonstrates that there is a strongly non-random spatial component in </w:t>
      </w:r>
      <w:r w:rsidRPr="00A7517D">
        <w:rPr>
          <w:rFonts w:ascii="Times New Roman" w:hAnsi="Times New Roman" w:cs="Times New Roman"/>
        </w:rPr>
        <w:t>CD3</w:t>
      </w:r>
      <w:r w:rsidRPr="00A7517D">
        <w:rPr>
          <w:rFonts w:ascii="Times New Roman" w:hAnsi="Times New Roman" w:cs="Times New Roman"/>
        </w:rPr>
        <w:sym w:font="Symbol" w:char="F07A"/>
      </w:r>
      <w:r>
        <w:rPr>
          <w:rFonts w:ascii="Times New Roman" w:hAnsi="Times New Roman" w:cs="Times New Roman"/>
        </w:rPr>
        <w:t xml:space="preserve"> </w:t>
      </w:r>
      <w:r>
        <w:rPr>
          <w:rFonts w:ascii="Times New Roman" w:hAnsi="Times New Roman" w:cs="Times New Roman"/>
          <w:lang w:val="en-GB"/>
        </w:rPr>
        <w:t xml:space="preserve">phosphorylation. </w:t>
      </w:r>
    </w:p>
    <w:p w14:paraId="744F42C5" w14:textId="77777777" w:rsidR="001324AC" w:rsidRDefault="001324AC" w:rsidP="001324AC">
      <w:pPr>
        <w:jc w:val="both"/>
        <w:rPr>
          <w:rFonts w:ascii="Times New Roman" w:eastAsia="Times New Roman" w:hAnsi="Times New Roman" w:cs="Times New Roman"/>
          <w:lang w:val="en-GB" w:eastAsia="en-AU"/>
        </w:rPr>
      </w:pPr>
    </w:p>
    <w:p w14:paraId="72F8AE67" w14:textId="77777777" w:rsidR="00552699" w:rsidRDefault="00552699" w:rsidP="00552699">
      <w:pPr>
        <w:jc w:val="both"/>
        <w:rPr>
          <w:rFonts w:ascii="Times New Roman" w:eastAsiaTheme="minorEastAsia" w:hAnsi="Times New Roman" w:cs="Times New Roman"/>
          <w:lang w:val="en-GB"/>
        </w:rPr>
      </w:pPr>
      <w:r>
        <w:rPr>
          <w:rFonts w:ascii="Times New Roman" w:eastAsiaTheme="minorEastAsia" w:hAnsi="Times New Roman" w:cs="Times New Roman"/>
          <w:noProof/>
          <w:lang w:val="en-GB"/>
        </w:rPr>
        <w:lastRenderedPageBreak/>
        <w:drawing>
          <wp:inline distT="0" distB="0" distL="0" distR="0" wp14:anchorId="26C491AC" wp14:editId="5E153FE9">
            <wp:extent cx="5727700" cy="572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nrichment_upto_500nm.pdf"/>
                    <pic:cNvPicPr/>
                  </pic:nvPicPr>
                  <pic:blipFill>
                    <a:blip r:embed="rId24">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49478879" w14:textId="7B43FD26" w:rsidR="00552699" w:rsidRPr="000B6A87" w:rsidRDefault="00552699" w:rsidP="00552699">
      <w:pPr>
        <w:jc w:val="both"/>
        <w:rPr>
          <w:rFonts w:ascii="Times New Roman" w:eastAsiaTheme="minorEastAsia" w:hAnsi="Times New Roman" w:cs="Times New Roman"/>
          <w:lang w:val="en-GB"/>
        </w:rPr>
      </w:pPr>
      <w:r w:rsidRPr="006A0A16">
        <w:rPr>
          <w:rFonts w:ascii="Times New Roman" w:eastAsiaTheme="minorEastAsia" w:hAnsi="Times New Roman" w:cs="Times New Roman"/>
          <w:b/>
          <w:bCs/>
          <w:lang w:val="en-GB"/>
        </w:rPr>
        <w:t xml:space="preserve">Supplementary Figure </w:t>
      </w:r>
      <w:r>
        <w:rPr>
          <w:rFonts w:ascii="Times New Roman" w:eastAsiaTheme="minorEastAsia" w:hAnsi="Times New Roman" w:cs="Times New Roman"/>
          <w:b/>
          <w:bCs/>
          <w:lang w:val="en-GB"/>
        </w:rPr>
        <w:t xml:space="preserve">13. Calculation of Enrichment scores at thresholds of 10, 20, 30 … 500 nm. </w:t>
      </w:r>
      <w:r>
        <w:rPr>
          <w:rFonts w:ascii="Times New Roman" w:eastAsiaTheme="minorEastAsia" w:hAnsi="Times New Roman" w:cs="Times New Roman"/>
          <w:lang w:val="en-GB"/>
        </w:rPr>
        <w:t xml:space="preserve">Spatial organisations of CD3 are associated with multiscale phosphorylation structure. Black and magenta localisations are strongly deselected for phosphorylation until approximately 400nm, after which they remain weakly deselected, in other words, it is highly unlikely to find phosphorylation within at least 500nm of these localisations. In contrast, cyan and purple are also strongly deselected at 10nm, but the enrichment score rapidly increases and even becomes positive. This means that although any individual receptors corresponding to cyan or purple are unlikely to be phosphorylated, there will often be phosphorylation within 100nm. It’s a similar scenario for green and orange, although without the tendency for scores to become slightly positive. Red and blue localisations’ scores tend to zero but always remain positive, meaning they dominate the phosphorylation response in their local neighbourhoods. </w:t>
      </w:r>
    </w:p>
    <w:p w14:paraId="584B68E4" w14:textId="77777777" w:rsidR="00552699" w:rsidRDefault="00552699" w:rsidP="00552699">
      <w:pPr>
        <w:jc w:val="both"/>
        <w:rPr>
          <w:rFonts w:ascii="Times New Roman" w:eastAsiaTheme="minorEastAsia" w:hAnsi="Times New Roman" w:cs="Times New Roman"/>
          <w:lang w:val="en-GB"/>
        </w:rPr>
      </w:pPr>
    </w:p>
    <w:p w14:paraId="6003D1FC" w14:textId="77777777" w:rsidR="00552699" w:rsidRDefault="00552699" w:rsidP="00552699">
      <w:pPr>
        <w:jc w:val="both"/>
        <w:rPr>
          <w:rFonts w:ascii="Times New Roman" w:eastAsiaTheme="minorEastAsia" w:hAnsi="Times New Roman" w:cs="Times New Roman"/>
          <w:lang w:val="en-GB"/>
        </w:rPr>
      </w:pPr>
    </w:p>
    <w:p w14:paraId="0D9BA49D" w14:textId="77777777" w:rsidR="00552699" w:rsidRDefault="00552699" w:rsidP="00552699">
      <w:pPr>
        <w:jc w:val="both"/>
        <w:rPr>
          <w:rFonts w:ascii="Times New Roman" w:eastAsiaTheme="minorEastAsia" w:hAnsi="Times New Roman" w:cs="Times New Roman"/>
          <w:lang w:val="en-GB"/>
        </w:rPr>
      </w:pPr>
    </w:p>
    <w:p w14:paraId="18C82D30" w14:textId="77777777" w:rsidR="003D3E5F" w:rsidRDefault="003D3E5F"/>
    <w:sectPr w:rsidR="003D3E5F" w:rsidSect="00E55C2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A86"/>
    <w:rsid w:val="000B2951"/>
    <w:rsid w:val="00102A86"/>
    <w:rsid w:val="001324AC"/>
    <w:rsid w:val="001C1CBB"/>
    <w:rsid w:val="003D3E5F"/>
    <w:rsid w:val="00552699"/>
    <w:rsid w:val="008B627C"/>
    <w:rsid w:val="00D73E82"/>
    <w:rsid w:val="00E55C2C"/>
    <w:rsid w:val="00EB1947"/>
    <w:rsid w:val="00EF44DA"/>
    <w:rsid w:val="00F403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83B5972"/>
  <w15:chartTrackingRefBased/>
  <w15:docId w15:val="{87D6D730-5479-F04C-B123-6DB5FFC9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A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2A8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02A86"/>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EB1947"/>
    <w:rPr>
      <w:sz w:val="16"/>
      <w:szCs w:val="16"/>
    </w:rPr>
  </w:style>
  <w:style w:type="paragraph" w:styleId="CommentText">
    <w:name w:val="annotation text"/>
    <w:basedOn w:val="Normal"/>
    <w:link w:val="CommentTextChar"/>
    <w:uiPriority w:val="99"/>
    <w:semiHidden/>
    <w:unhideWhenUsed/>
    <w:rsid w:val="00EB1947"/>
    <w:rPr>
      <w:sz w:val="20"/>
      <w:szCs w:val="20"/>
    </w:rPr>
  </w:style>
  <w:style w:type="character" w:customStyle="1" w:styleId="CommentTextChar">
    <w:name w:val="Comment Text Char"/>
    <w:basedOn w:val="DefaultParagraphFont"/>
    <w:link w:val="CommentText"/>
    <w:uiPriority w:val="99"/>
    <w:semiHidden/>
    <w:rsid w:val="00EB194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emf"/><Relationship Id="rId24" Type="http://schemas.openxmlformats.org/officeDocument/2006/relationships/image" Target="media/image21.emf"/><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emf"/><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12</Pages>
  <Words>1468</Words>
  <Characters>8372</Characters>
  <Application>Microsoft Office Word</Application>
  <DocSecurity>0</DocSecurity>
  <Lines>69</Lines>
  <Paragraphs>19</Paragraphs>
  <ScaleCrop>false</ScaleCrop>
  <Company/>
  <LinksUpToDate>false</LinksUpToDate>
  <CharactersWithSpaces>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Feher</dc:creator>
  <cp:keywords/>
  <dc:description/>
  <cp:lastModifiedBy>Kristen Feher</cp:lastModifiedBy>
  <cp:revision>11</cp:revision>
  <dcterms:created xsi:type="dcterms:W3CDTF">2021-05-24T06:12:00Z</dcterms:created>
  <dcterms:modified xsi:type="dcterms:W3CDTF">2021-06-12T02:08:00Z</dcterms:modified>
</cp:coreProperties>
</file>