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8253" w14:textId="726960CE" w:rsidR="00B41FFC" w:rsidRDefault="00C63312">
      <w:r>
        <w:t>Supplementary figures</w:t>
      </w:r>
    </w:p>
    <w:p w14:paraId="1BED0B90" w14:textId="77777777" w:rsidR="003D2DA1" w:rsidRDefault="003D2DA1" w:rsidP="00E93ADD">
      <w:pPr>
        <w:jc w:val="both"/>
      </w:pPr>
      <w:r>
        <w:rPr>
          <w:noProof/>
        </w:rPr>
        <w:drawing>
          <wp:inline distT="0" distB="0" distL="0" distR="0" wp14:anchorId="53025B9E" wp14:editId="4E0765CB">
            <wp:extent cx="5290125" cy="7245350"/>
            <wp:effectExtent l="0" t="0" r="6350" b="0"/>
            <wp:docPr id="1" name="Picture 1" descr="Diagram, text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, schematic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09" cy="725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7096" w14:textId="025898DD" w:rsidR="00E93ADD" w:rsidRDefault="00E93ADD" w:rsidP="00E93ADD">
      <w:pPr>
        <w:jc w:val="both"/>
      </w:pPr>
      <w:r>
        <w:t xml:space="preserve">Sup Fig 1. Frequency plots of </w:t>
      </w:r>
      <w:proofErr w:type="spellStart"/>
      <w:r>
        <w:t>RyR</w:t>
      </w:r>
      <w:proofErr w:type="spellEnd"/>
      <w:r>
        <w:t xml:space="preserve"> cluster size and </w:t>
      </w:r>
      <w:proofErr w:type="spellStart"/>
      <w:r>
        <w:t>RyR</w:t>
      </w:r>
      <w:proofErr w:type="spellEnd"/>
      <w:r>
        <w:t xml:space="preserve"> </w:t>
      </w:r>
      <w:proofErr w:type="spellStart"/>
      <w:r>
        <w:t>intercluster</w:t>
      </w:r>
      <w:proofErr w:type="spellEnd"/>
      <w:r>
        <w:t xml:space="preserve"> nearest neighbour distances for donor and IDCM myocytes. A, C, E) Frequency plots for </w:t>
      </w:r>
      <w:proofErr w:type="spellStart"/>
      <w:r>
        <w:t>RyR</w:t>
      </w:r>
      <w:proofErr w:type="spellEnd"/>
      <w:r>
        <w:t xml:space="preserve"> cluster size for t-tubule (TT), </w:t>
      </w:r>
      <w:proofErr w:type="spellStart"/>
      <w:r>
        <w:t>sarcolemmal</w:t>
      </w:r>
      <w:proofErr w:type="spellEnd"/>
      <w:r>
        <w:t xml:space="preserve"> (</w:t>
      </w:r>
      <w:proofErr w:type="spellStart"/>
      <w:r>
        <w:t>Sl</w:t>
      </w:r>
      <w:proofErr w:type="spellEnd"/>
      <w:r>
        <w:t xml:space="preserve">), and </w:t>
      </w:r>
      <w:proofErr w:type="spellStart"/>
      <w:r>
        <w:t>coarbular</w:t>
      </w:r>
      <w:proofErr w:type="spellEnd"/>
      <w:r>
        <w:t xml:space="preserve"> (</w:t>
      </w:r>
      <w:proofErr w:type="spellStart"/>
      <w:r>
        <w:t>Corb</w:t>
      </w:r>
      <w:proofErr w:type="spellEnd"/>
      <w:r>
        <w:t xml:space="preserve">) regions respectively. B, D, F) Frequency plot of </w:t>
      </w:r>
      <w:proofErr w:type="spellStart"/>
      <w:r>
        <w:t>RyR</w:t>
      </w:r>
      <w:proofErr w:type="spellEnd"/>
      <w:r>
        <w:t xml:space="preserve"> </w:t>
      </w:r>
      <w:proofErr w:type="spellStart"/>
      <w:r>
        <w:t>intercluster</w:t>
      </w:r>
      <w:proofErr w:type="spellEnd"/>
      <w:r>
        <w:t xml:space="preserve"> nearest neighbour distances for t-tubule (TT), </w:t>
      </w:r>
      <w:proofErr w:type="spellStart"/>
      <w:r>
        <w:t>sarcolemmal</w:t>
      </w:r>
      <w:proofErr w:type="spellEnd"/>
      <w:r>
        <w:t xml:space="preserve"> (</w:t>
      </w:r>
      <w:proofErr w:type="spellStart"/>
      <w:r>
        <w:t>Sl</w:t>
      </w:r>
      <w:proofErr w:type="spellEnd"/>
      <w:r>
        <w:t xml:space="preserve">), and </w:t>
      </w:r>
      <w:proofErr w:type="spellStart"/>
      <w:r>
        <w:t>coarbular</w:t>
      </w:r>
      <w:proofErr w:type="spellEnd"/>
      <w:r>
        <w:t xml:space="preserve"> (</w:t>
      </w:r>
      <w:proofErr w:type="spellStart"/>
      <w:r>
        <w:t>Corb</w:t>
      </w:r>
      <w:proofErr w:type="spellEnd"/>
      <w:r>
        <w:t xml:space="preserve">) regions respectively. G) </w:t>
      </w:r>
      <w:proofErr w:type="spellStart"/>
      <w:r>
        <w:t>RyR</w:t>
      </w:r>
      <w:proofErr w:type="spellEnd"/>
      <w:r>
        <w:t xml:space="preserve"> clusters size in IDCM cells with t-tubules or with t-sheets. G) </w:t>
      </w:r>
      <w:proofErr w:type="spellStart"/>
      <w:r>
        <w:t>RyR</w:t>
      </w:r>
      <w:proofErr w:type="spellEnd"/>
      <w:r>
        <w:t xml:space="preserve"> </w:t>
      </w:r>
      <w:proofErr w:type="spellStart"/>
      <w:r>
        <w:t>interclusters</w:t>
      </w:r>
      <w:proofErr w:type="spellEnd"/>
      <w:r>
        <w:t xml:space="preserve"> distances in IDCM cells with t-tubules or with t-sheets.</w:t>
      </w:r>
    </w:p>
    <w:p w14:paraId="02F2FA72" w14:textId="77777777" w:rsidR="00E93ADD" w:rsidRDefault="00E93ADD" w:rsidP="00E93ADD">
      <w:pPr>
        <w:jc w:val="both"/>
      </w:pPr>
    </w:p>
    <w:p w14:paraId="3E7E939F" w14:textId="3CFEDAE6" w:rsidR="00E93ADD" w:rsidRDefault="00BA2A2A" w:rsidP="00B36442">
      <w:pPr>
        <w:jc w:val="center"/>
      </w:pPr>
      <w:r>
        <w:rPr>
          <w:noProof/>
        </w:rPr>
        <w:drawing>
          <wp:inline distT="0" distB="0" distL="0" distR="0" wp14:anchorId="18208CEA" wp14:editId="5F28F794">
            <wp:extent cx="4133850" cy="6444423"/>
            <wp:effectExtent l="0" t="0" r="0" b="0"/>
            <wp:docPr id="2" name="Picture 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34" cy="644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1B0D" w14:textId="35F689CB" w:rsidR="00E93ADD" w:rsidRDefault="00E93ADD" w:rsidP="00E93ADD">
      <w:pPr>
        <w:jc w:val="both"/>
      </w:pPr>
      <w:r>
        <w:t xml:space="preserve">Sup Fig 2. </w:t>
      </w:r>
      <w:proofErr w:type="spellStart"/>
      <w:r>
        <w:t>RyR</w:t>
      </w:r>
      <w:proofErr w:type="spellEnd"/>
      <w:r>
        <w:t xml:space="preserve"> super cluster size</w:t>
      </w:r>
      <w:r w:rsidR="001E4236">
        <w:t xml:space="preserve">s. A) Mean </w:t>
      </w:r>
      <w:proofErr w:type="spellStart"/>
      <w:r w:rsidR="001E4236">
        <w:t>RyR</w:t>
      </w:r>
      <w:proofErr w:type="spellEnd"/>
      <w:r w:rsidR="001E4236">
        <w:t xml:space="preserve"> tetramers </w:t>
      </w:r>
      <w:r w:rsidR="003A0BDE">
        <w:t xml:space="preserve">per </w:t>
      </w:r>
      <w:r w:rsidR="001E4236">
        <w:t>supercluster for non-failing and failing myocytes at t-tubules (TT), sarcolemma (</w:t>
      </w:r>
      <w:proofErr w:type="spellStart"/>
      <w:r w:rsidR="001E4236">
        <w:t>Sl</w:t>
      </w:r>
      <w:proofErr w:type="spellEnd"/>
      <w:r w:rsidR="001E4236">
        <w:t xml:space="preserve">), and </w:t>
      </w:r>
      <w:proofErr w:type="spellStart"/>
      <w:r w:rsidR="001E4236">
        <w:t>corbular</w:t>
      </w:r>
      <w:proofErr w:type="spellEnd"/>
      <w:r w:rsidR="001E4236">
        <w:t xml:space="preserve"> sarcoplasmic </w:t>
      </w:r>
      <w:proofErr w:type="spellStart"/>
      <w:r w:rsidR="001E4236">
        <w:t>resticulum</w:t>
      </w:r>
      <w:proofErr w:type="spellEnd"/>
      <w:r w:rsidR="001E4236">
        <w:t xml:space="preserve"> (</w:t>
      </w:r>
      <w:proofErr w:type="spellStart"/>
      <w:r w:rsidR="001E4236">
        <w:t>Corb</w:t>
      </w:r>
      <w:proofErr w:type="spellEnd"/>
      <w:r w:rsidR="001E4236">
        <w:t>)</w:t>
      </w:r>
      <w:r w:rsidR="003A0BDE">
        <w:t xml:space="preserve"> in non-failing and failing cardiac myocytes. N=5 non-failing hearts and n=5 failing hearts with 3 cells analysed per heart</w:t>
      </w:r>
      <w:r w:rsidR="001E4236">
        <w:t xml:space="preserve">. </w:t>
      </w:r>
      <w:r w:rsidR="00D2167B">
        <w:t xml:space="preserve">LME model was used to test for effects of disease status (IDCM, non-failing) and cell region (t-tubules, sarcolemma, </w:t>
      </w:r>
      <w:proofErr w:type="spellStart"/>
      <w:r w:rsidR="00D2167B">
        <w:t>corbular</w:t>
      </w:r>
      <w:proofErr w:type="spellEnd"/>
      <w:r w:rsidR="00D2167B">
        <w:t>) and random effects were heart and cell (nested within heart). P values reported are post-hoc</w:t>
      </w:r>
      <w:r w:rsidR="00D2167B" w:rsidRPr="008C64CB">
        <w:t xml:space="preserve"> comparison of marginal means</w:t>
      </w:r>
      <w:r w:rsidR="00D2167B">
        <w:t xml:space="preserve"> using </w:t>
      </w:r>
      <w:proofErr w:type="spellStart"/>
      <w:r w:rsidR="00BA2A2A">
        <w:t>Sidak</w:t>
      </w:r>
      <w:proofErr w:type="spellEnd"/>
      <w:r w:rsidR="00BA2A2A">
        <w:t xml:space="preserve"> test for multiple comparisons</w:t>
      </w:r>
      <w:r w:rsidR="00D2167B">
        <w:t xml:space="preserve">. </w:t>
      </w:r>
      <w:r w:rsidR="003A0BDE">
        <w:t xml:space="preserve">(B) Mean </w:t>
      </w:r>
      <w:proofErr w:type="spellStart"/>
      <w:r w:rsidR="003A0BDE">
        <w:t>RyR</w:t>
      </w:r>
      <w:proofErr w:type="spellEnd"/>
      <w:r w:rsidR="003A0BDE">
        <w:t xml:space="preserve"> tetramers per supercluster for t-tubule and t-sheet regions. N=5 failing hearts with 3 cells examined for each region. **p&lt;0.01, ***p&lt;0.001.</w:t>
      </w:r>
      <w:r w:rsidR="00D2167B">
        <w:t xml:space="preserve"> LME model was used to test for effects of region (t-sheets and t-tubules) and random effects were heart. For </w:t>
      </w:r>
      <w:proofErr w:type="spellStart"/>
      <w:r w:rsidR="00D2167B">
        <w:t>RyR</w:t>
      </w:r>
      <w:proofErr w:type="spellEnd"/>
      <w:r w:rsidR="00D2167B">
        <w:t xml:space="preserve"> super cluster size p=0.17.</w:t>
      </w:r>
    </w:p>
    <w:sectPr w:rsidR="00E93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bMwMrMwNzYzMzFU0lEKTi0uzszPAykwrwUAAmFmsSwAAAA="/>
  </w:docVars>
  <w:rsids>
    <w:rsidRoot w:val="00F663CF"/>
    <w:rsid w:val="0000351D"/>
    <w:rsid w:val="0000718E"/>
    <w:rsid w:val="000275FE"/>
    <w:rsid w:val="00030B94"/>
    <w:rsid w:val="00033634"/>
    <w:rsid w:val="00035780"/>
    <w:rsid w:val="00044A7E"/>
    <w:rsid w:val="00046601"/>
    <w:rsid w:val="00051C76"/>
    <w:rsid w:val="0006769F"/>
    <w:rsid w:val="00081D22"/>
    <w:rsid w:val="000A5EE6"/>
    <w:rsid w:val="000A72FA"/>
    <w:rsid w:val="000B6646"/>
    <w:rsid w:val="000D0664"/>
    <w:rsid w:val="000D624B"/>
    <w:rsid w:val="000E3619"/>
    <w:rsid w:val="000E6A75"/>
    <w:rsid w:val="000E708E"/>
    <w:rsid w:val="000F338B"/>
    <w:rsid w:val="000F349E"/>
    <w:rsid w:val="00102FEA"/>
    <w:rsid w:val="00125B06"/>
    <w:rsid w:val="0013566F"/>
    <w:rsid w:val="00147FBC"/>
    <w:rsid w:val="00154800"/>
    <w:rsid w:val="00155E82"/>
    <w:rsid w:val="00166823"/>
    <w:rsid w:val="001A3AD9"/>
    <w:rsid w:val="001B009C"/>
    <w:rsid w:val="001D34EF"/>
    <w:rsid w:val="001E1CE3"/>
    <w:rsid w:val="001E4236"/>
    <w:rsid w:val="001E5F8F"/>
    <w:rsid w:val="00203315"/>
    <w:rsid w:val="0021095A"/>
    <w:rsid w:val="00212068"/>
    <w:rsid w:val="00223B5E"/>
    <w:rsid w:val="0023650D"/>
    <w:rsid w:val="00243CD1"/>
    <w:rsid w:val="002478FF"/>
    <w:rsid w:val="00273F92"/>
    <w:rsid w:val="0027650F"/>
    <w:rsid w:val="00291590"/>
    <w:rsid w:val="002E3CD7"/>
    <w:rsid w:val="002E552D"/>
    <w:rsid w:val="00303E43"/>
    <w:rsid w:val="00327EAB"/>
    <w:rsid w:val="00330D91"/>
    <w:rsid w:val="003328F6"/>
    <w:rsid w:val="003454E9"/>
    <w:rsid w:val="00345AFD"/>
    <w:rsid w:val="00346F31"/>
    <w:rsid w:val="00366CB3"/>
    <w:rsid w:val="0038698C"/>
    <w:rsid w:val="00391433"/>
    <w:rsid w:val="003A0058"/>
    <w:rsid w:val="003A0BDE"/>
    <w:rsid w:val="003B050B"/>
    <w:rsid w:val="003B3E2C"/>
    <w:rsid w:val="003C2278"/>
    <w:rsid w:val="003C79BE"/>
    <w:rsid w:val="003D14F5"/>
    <w:rsid w:val="003D2DA1"/>
    <w:rsid w:val="003D6F00"/>
    <w:rsid w:val="003E50A3"/>
    <w:rsid w:val="003F1090"/>
    <w:rsid w:val="0040161E"/>
    <w:rsid w:val="00405318"/>
    <w:rsid w:val="004066BC"/>
    <w:rsid w:val="00424C86"/>
    <w:rsid w:val="00426C8B"/>
    <w:rsid w:val="00432777"/>
    <w:rsid w:val="00433700"/>
    <w:rsid w:val="00442151"/>
    <w:rsid w:val="00445EAE"/>
    <w:rsid w:val="00447463"/>
    <w:rsid w:val="0046545A"/>
    <w:rsid w:val="0046705C"/>
    <w:rsid w:val="00474A46"/>
    <w:rsid w:val="00475166"/>
    <w:rsid w:val="004770B6"/>
    <w:rsid w:val="00481D0C"/>
    <w:rsid w:val="0049149A"/>
    <w:rsid w:val="004A4040"/>
    <w:rsid w:val="004A5485"/>
    <w:rsid w:val="004B1386"/>
    <w:rsid w:val="004B330B"/>
    <w:rsid w:val="004B34CD"/>
    <w:rsid w:val="004B419E"/>
    <w:rsid w:val="004D2A3A"/>
    <w:rsid w:val="004D3708"/>
    <w:rsid w:val="004D5A40"/>
    <w:rsid w:val="004F29FC"/>
    <w:rsid w:val="004F7034"/>
    <w:rsid w:val="00501609"/>
    <w:rsid w:val="00534231"/>
    <w:rsid w:val="0054351F"/>
    <w:rsid w:val="00544DB1"/>
    <w:rsid w:val="00595FC0"/>
    <w:rsid w:val="005B6E50"/>
    <w:rsid w:val="005C03A9"/>
    <w:rsid w:val="005C0F5A"/>
    <w:rsid w:val="005C3C8E"/>
    <w:rsid w:val="005D36AC"/>
    <w:rsid w:val="005F42F3"/>
    <w:rsid w:val="006234A5"/>
    <w:rsid w:val="00636BD1"/>
    <w:rsid w:val="006453A9"/>
    <w:rsid w:val="006560DB"/>
    <w:rsid w:val="00664D40"/>
    <w:rsid w:val="00692312"/>
    <w:rsid w:val="00694AC6"/>
    <w:rsid w:val="006D3A61"/>
    <w:rsid w:val="006E6654"/>
    <w:rsid w:val="006F29B5"/>
    <w:rsid w:val="00706ACB"/>
    <w:rsid w:val="00713BDE"/>
    <w:rsid w:val="0072243B"/>
    <w:rsid w:val="00722D8E"/>
    <w:rsid w:val="00726CA0"/>
    <w:rsid w:val="007333F3"/>
    <w:rsid w:val="00746867"/>
    <w:rsid w:val="00770116"/>
    <w:rsid w:val="00772C55"/>
    <w:rsid w:val="0078165B"/>
    <w:rsid w:val="00790A37"/>
    <w:rsid w:val="007934E1"/>
    <w:rsid w:val="007957F8"/>
    <w:rsid w:val="007A5066"/>
    <w:rsid w:val="007A7B4A"/>
    <w:rsid w:val="007B6203"/>
    <w:rsid w:val="007C43B8"/>
    <w:rsid w:val="007C4AA6"/>
    <w:rsid w:val="007D106D"/>
    <w:rsid w:val="007D4157"/>
    <w:rsid w:val="0081393D"/>
    <w:rsid w:val="00814161"/>
    <w:rsid w:val="00825CBC"/>
    <w:rsid w:val="00837D94"/>
    <w:rsid w:val="00856FB5"/>
    <w:rsid w:val="00863D18"/>
    <w:rsid w:val="0087510E"/>
    <w:rsid w:val="008822A7"/>
    <w:rsid w:val="00891F00"/>
    <w:rsid w:val="008A2C5B"/>
    <w:rsid w:val="008B5F80"/>
    <w:rsid w:val="008C69B5"/>
    <w:rsid w:val="008E1D09"/>
    <w:rsid w:val="008F1007"/>
    <w:rsid w:val="008F3899"/>
    <w:rsid w:val="008F539D"/>
    <w:rsid w:val="008F7DD6"/>
    <w:rsid w:val="0090601E"/>
    <w:rsid w:val="009068D0"/>
    <w:rsid w:val="00914323"/>
    <w:rsid w:val="009347C9"/>
    <w:rsid w:val="00955C24"/>
    <w:rsid w:val="0098133E"/>
    <w:rsid w:val="00982F15"/>
    <w:rsid w:val="009870FB"/>
    <w:rsid w:val="00990625"/>
    <w:rsid w:val="009947F2"/>
    <w:rsid w:val="009A1F6F"/>
    <w:rsid w:val="009A7F4F"/>
    <w:rsid w:val="009C569D"/>
    <w:rsid w:val="009D3EE7"/>
    <w:rsid w:val="009D576D"/>
    <w:rsid w:val="009E524F"/>
    <w:rsid w:val="009E633B"/>
    <w:rsid w:val="00A0068F"/>
    <w:rsid w:val="00A12FA1"/>
    <w:rsid w:val="00A234BA"/>
    <w:rsid w:val="00A23AEA"/>
    <w:rsid w:val="00A328C6"/>
    <w:rsid w:val="00A33615"/>
    <w:rsid w:val="00A420D4"/>
    <w:rsid w:val="00A42F1D"/>
    <w:rsid w:val="00A52676"/>
    <w:rsid w:val="00A63C7D"/>
    <w:rsid w:val="00A6788B"/>
    <w:rsid w:val="00A73796"/>
    <w:rsid w:val="00A778A0"/>
    <w:rsid w:val="00A80EED"/>
    <w:rsid w:val="00A8603C"/>
    <w:rsid w:val="00AB2887"/>
    <w:rsid w:val="00AB45E2"/>
    <w:rsid w:val="00AB6E7A"/>
    <w:rsid w:val="00AC1790"/>
    <w:rsid w:val="00AD19B3"/>
    <w:rsid w:val="00AE5725"/>
    <w:rsid w:val="00AF2895"/>
    <w:rsid w:val="00AF76AA"/>
    <w:rsid w:val="00B03BDB"/>
    <w:rsid w:val="00B056C9"/>
    <w:rsid w:val="00B233F3"/>
    <w:rsid w:val="00B2701E"/>
    <w:rsid w:val="00B36442"/>
    <w:rsid w:val="00B40A72"/>
    <w:rsid w:val="00B41FFC"/>
    <w:rsid w:val="00B46C98"/>
    <w:rsid w:val="00B63DC7"/>
    <w:rsid w:val="00B641AB"/>
    <w:rsid w:val="00B67A70"/>
    <w:rsid w:val="00B7097A"/>
    <w:rsid w:val="00B7202F"/>
    <w:rsid w:val="00B74535"/>
    <w:rsid w:val="00B7654F"/>
    <w:rsid w:val="00B946B5"/>
    <w:rsid w:val="00BA2A2A"/>
    <w:rsid w:val="00BB4448"/>
    <w:rsid w:val="00BB6F69"/>
    <w:rsid w:val="00BC6769"/>
    <w:rsid w:val="00BC7344"/>
    <w:rsid w:val="00BE0F0A"/>
    <w:rsid w:val="00BE44B1"/>
    <w:rsid w:val="00BF0DC7"/>
    <w:rsid w:val="00BF22DA"/>
    <w:rsid w:val="00BF5CCE"/>
    <w:rsid w:val="00C145CB"/>
    <w:rsid w:val="00C14E04"/>
    <w:rsid w:val="00C34CC3"/>
    <w:rsid w:val="00C363B0"/>
    <w:rsid w:val="00C37262"/>
    <w:rsid w:val="00C4308E"/>
    <w:rsid w:val="00C53313"/>
    <w:rsid w:val="00C540C3"/>
    <w:rsid w:val="00C57F39"/>
    <w:rsid w:val="00C62F51"/>
    <w:rsid w:val="00C63312"/>
    <w:rsid w:val="00C71DD4"/>
    <w:rsid w:val="00C75726"/>
    <w:rsid w:val="00C769BF"/>
    <w:rsid w:val="00C81243"/>
    <w:rsid w:val="00CA2F04"/>
    <w:rsid w:val="00CA6330"/>
    <w:rsid w:val="00CB0EAD"/>
    <w:rsid w:val="00CB424D"/>
    <w:rsid w:val="00CC4A70"/>
    <w:rsid w:val="00CC6384"/>
    <w:rsid w:val="00CD0E71"/>
    <w:rsid w:val="00CD2E9B"/>
    <w:rsid w:val="00CE675D"/>
    <w:rsid w:val="00D0013E"/>
    <w:rsid w:val="00D2167B"/>
    <w:rsid w:val="00D249E9"/>
    <w:rsid w:val="00D309F7"/>
    <w:rsid w:val="00D37733"/>
    <w:rsid w:val="00D47BF7"/>
    <w:rsid w:val="00D64CAF"/>
    <w:rsid w:val="00D73968"/>
    <w:rsid w:val="00D7700D"/>
    <w:rsid w:val="00D85AC4"/>
    <w:rsid w:val="00D9330B"/>
    <w:rsid w:val="00D97635"/>
    <w:rsid w:val="00DA1C0A"/>
    <w:rsid w:val="00DB03E1"/>
    <w:rsid w:val="00DC75CF"/>
    <w:rsid w:val="00DD67A1"/>
    <w:rsid w:val="00DD7B70"/>
    <w:rsid w:val="00DF45EA"/>
    <w:rsid w:val="00E17A7F"/>
    <w:rsid w:val="00E21B08"/>
    <w:rsid w:val="00E22ABC"/>
    <w:rsid w:val="00E30C84"/>
    <w:rsid w:val="00E31878"/>
    <w:rsid w:val="00E86E08"/>
    <w:rsid w:val="00E86F59"/>
    <w:rsid w:val="00E903E1"/>
    <w:rsid w:val="00E93ADD"/>
    <w:rsid w:val="00EB330C"/>
    <w:rsid w:val="00EB6910"/>
    <w:rsid w:val="00EC2249"/>
    <w:rsid w:val="00EC2E86"/>
    <w:rsid w:val="00EC6DD9"/>
    <w:rsid w:val="00EC7A13"/>
    <w:rsid w:val="00ED3D45"/>
    <w:rsid w:val="00ED69A5"/>
    <w:rsid w:val="00EE10EC"/>
    <w:rsid w:val="00EF2A52"/>
    <w:rsid w:val="00F41F2A"/>
    <w:rsid w:val="00F51F43"/>
    <w:rsid w:val="00F663CF"/>
    <w:rsid w:val="00F6711D"/>
    <w:rsid w:val="00F74D8D"/>
    <w:rsid w:val="00F966D4"/>
    <w:rsid w:val="00FA43A9"/>
    <w:rsid w:val="00FD3257"/>
    <w:rsid w:val="00FE2E07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B2EB"/>
  <w15:chartTrackingRefBased/>
  <w15:docId w15:val="{FBFBA237-DE13-4CC2-8DCE-D1C5CC1D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Crossman</dc:creator>
  <cp:keywords/>
  <dc:description/>
  <cp:lastModifiedBy>David Crossman</cp:lastModifiedBy>
  <cp:revision>2</cp:revision>
  <cp:lastPrinted>2021-08-15T05:43:00Z</cp:lastPrinted>
  <dcterms:created xsi:type="dcterms:W3CDTF">2021-09-21T20:30:00Z</dcterms:created>
  <dcterms:modified xsi:type="dcterms:W3CDTF">2021-09-21T20:30:00Z</dcterms:modified>
</cp:coreProperties>
</file>