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7D" w:rsidRPr="00EB205B" w:rsidRDefault="0063407D" w:rsidP="0063407D">
      <w:pPr>
        <w:numPr>
          <w:ilvl w:val="0"/>
          <w:numId w:val="1"/>
        </w:numPr>
        <w:jc w:val="left"/>
        <w:rPr>
          <w:rFonts w:ascii="Times New Roman" w:hAnsi="Times New Roman" w:cs="Times New Roman"/>
        </w:rPr>
      </w:pPr>
      <w:r w:rsidRPr="00443F3A">
        <w:rPr>
          <w:rFonts w:ascii="Times New Roman" w:eastAsia="Times New Roman" w:hAnsi="Times New Roman" w:cs="Times New Roman"/>
          <w:b/>
          <w:noProof w:val="0"/>
          <w:sz w:val="24"/>
          <w:szCs w:val="26"/>
          <w:lang w:val="en-AU"/>
        </w:rPr>
        <w:t>Supplemental Data: ID50EAL and parallel line bioassay methods</w:t>
      </w:r>
      <w:r w:rsidRPr="00EB205B">
        <w:rPr>
          <w:rFonts w:ascii="Times New Roman" w:hAnsi="Times New Roman" w:cs="Times New Roman"/>
        </w:rPr>
        <w:br/>
      </w:r>
      <w:bookmarkStart w:id="0" w:name="_b32d126e-5ba1-c591-ab6b-3887b77b7c8f"/>
      <w:r w:rsidRPr="00EB205B">
        <w:rPr>
          <w:rFonts w:ascii="Times New Roman" w:hAnsi="Times New Roman" w:cs="Times New Roman"/>
        </w:rPr>
        <w:br/>
        <w:t>In the ID</w:t>
      </w:r>
      <w:r w:rsidRPr="00EB205B">
        <w:rPr>
          <w:rFonts w:ascii="Times New Roman" w:hAnsi="Times New Roman" w:cs="Times New Roman"/>
          <w:vertAlign w:val="subscript"/>
        </w:rPr>
        <w:t>50</w:t>
      </w:r>
      <w:r w:rsidRPr="00EB205B">
        <w:rPr>
          <w:rFonts w:ascii="Times New Roman" w:hAnsi="Times New Roman" w:cs="Times New Roman"/>
        </w:rPr>
        <w:t>EAL method, allergenic extracts are evaluated in subjects maximally reactive to the respective reference concentrates. Each subject is tested with serial 3-fold dilutions of the reference extract. After 15 minutes, the sum of the longest and midpoint orthogonal diameters of erythema (ΣE) is determined at each dilution, and the log dose producing a 50 mm ΣE response (D</w:t>
      </w:r>
      <w:r w:rsidRPr="00EB205B">
        <w:rPr>
          <w:rFonts w:ascii="Times New Roman" w:hAnsi="Times New Roman" w:cs="Times New Roman"/>
          <w:vertAlign w:val="subscript"/>
        </w:rPr>
        <w:t>50</w:t>
      </w:r>
      <w:r w:rsidRPr="00EB205B">
        <w:rPr>
          <w:rFonts w:ascii="Times New Roman" w:hAnsi="Times New Roman" w:cs="Times New Roman"/>
        </w:rPr>
        <w:t xml:space="preserve">) is calculated  </w:t>
      </w:r>
      <w:r>
        <w:rPr>
          <w:rFonts w:ascii="Times New Roman" w:hAnsi="Times New Roman" w:cs="Times New Roman"/>
        </w:rPr>
        <w:t>(111)</w:t>
      </w:r>
      <w:r w:rsidRPr="00EB205B">
        <w:rPr>
          <w:rFonts w:ascii="Times New Roman" w:hAnsi="Times New Roman" w:cs="Times New Roman"/>
        </w:rPr>
        <w:t>. Extracts that produce similar D50 responses are considered bioequivalent and are assigned similar units, the bioequivalent allergy unit (BAU). Because the modal D</w:t>
      </w:r>
      <w:r w:rsidRPr="00EB205B">
        <w:rPr>
          <w:rFonts w:ascii="Times New Roman" w:hAnsi="Times New Roman" w:cs="Times New Roman"/>
          <w:vertAlign w:val="subscript"/>
        </w:rPr>
        <w:t xml:space="preserve">50 </w:t>
      </w:r>
      <w:r w:rsidRPr="00EB205B">
        <w:rPr>
          <w:rFonts w:ascii="Times New Roman" w:hAnsi="Times New Roman" w:cs="Times New Roman"/>
        </w:rPr>
        <w:t>of a series of extracts was 14 (a 3-14  or 1:4.8 million dilution), extracts with a mean D</w:t>
      </w:r>
      <w:r w:rsidRPr="00EB205B">
        <w:rPr>
          <w:rFonts w:ascii="Times New Roman" w:hAnsi="Times New Roman" w:cs="Times New Roman"/>
          <w:vertAlign w:val="subscript"/>
        </w:rPr>
        <w:t>50</w:t>
      </w:r>
      <w:r w:rsidRPr="00EB205B">
        <w:rPr>
          <w:rFonts w:ascii="Times New Roman" w:hAnsi="Times New Roman" w:cs="Times New Roman"/>
        </w:rPr>
        <w:t xml:space="preserve"> of 14 were arbitrarily assigned the value of 100,000 BAU/mL </w:t>
      </w:r>
      <w:r>
        <w:rPr>
          <w:rFonts w:ascii="Times New Roman" w:hAnsi="Times New Roman" w:cs="Times New Roman"/>
        </w:rPr>
        <w:t>(112)</w:t>
      </w:r>
      <w:r w:rsidRPr="00EB205B">
        <w:rPr>
          <w:rFonts w:ascii="Times New Roman" w:hAnsi="Times New Roman" w:cs="Times New Roman"/>
        </w:rPr>
        <w:t>. Thus, the formula for the determination of potency from the D</w:t>
      </w:r>
      <w:r w:rsidRPr="00EB205B">
        <w:rPr>
          <w:rFonts w:ascii="Times New Roman" w:hAnsi="Times New Roman" w:cs="Times New Roman"/>
          <w:vertAlign w:val="subscript"/>
        </w:rPr>
        <w:t>50</w:t>
      </w:r>
      <w:r w:rsidRPr="00EB205B">
        <w:rPr>
          <w:rFonts w:ascii="Times New Roman" w:hAnsi="Times New Roman" w:cs="Times New Roman"/>
        </w:rPr>
        <w:t xml:space="preserve"> is:</w:t>
      </w:r>
      <w:r w:rsidRPr="00EB205B">
        <w:rPr>
          <w:rFonts w:ascii="Times New Roman" w:hAnsi="Times New Roman" w:cs="Times New Roman"/>
        </w:rPr>
        <w:br/>
      </w:r>
      <w:bookmarkEnd w:id="0"/>
    </w:p>
    <w:p w:rsidR="0063407D" w:rsidRPr="00EB205B" w:rsidRDefault="0063407D" w:rsidP="0063407D">
      <w:pPr>
        <w:numPr>
          <w:ilvl w:val="0"/>
          <w:numId w:val="1"/>
        </w:numPr>
        <w:jc w:val="left"/>
        <w:rPr>
          <w:rFonts w:ascii="Times New Roman" w:hAnsi="Times New Roman" w:cs="Times New Roman"/>
        </w:rPr>
      </w:pPr>
      <w:bookmarkStart w:id="1" w:name="_17934c17-d501-cceb-ccf8-521cf543c9d9"/>
      <w:r w:rsidRPr="00EB205B">
        <w:rPr>
          <w:rFonts w:ascii="Times New Roman" w:hAnsi="Times New Roman" w:cs="Times New Roman"/>
        </w:rPr>
        <w:t>Potency = 3 -(14- mean D</w:t>
      </w:r>
      <w:r w:rsidRPr="00EB205B">
        <w:rPr>
          <w:rFonts w:ascii="Times New Roman" w:hAnsi="Times New Roman" w:cs="Times New Roman"/>
          <w:vertAlign w:val="subscript"/>
        </w:rPr>
        <w:t>50</w:t>
      </w:r>
      <w:r w:rsidRPr="00EB205B">
        <w:rPr>
          <w:rFonts w:ascii="Times New Roman" w:hAnsi="Times New Roman" w:cs="Times New Roman"/>
        </w:rPr>
        <w:t>) * 100,000 BAU/mL (19)(20).</w:t>
      </w:r>
      <w:r w:rsidRPr="00EB205B">
        <w:rPr>
          <w:rFonts w:ascii="Times New Roman" w:hAnsi="Times New Roman" w:cs="Times New Roman"/>
        </w:rPr>
        <w:br/>
      </w:r>
      <w:bookmarkEnd w:id="1"/>
    </w:p>
    <w:p w:rsidR="0063407D" w:rsidRPr="00EB205B" w:rsidRDefault="0063407D" w:rsidP="0063407D">
      <w:pPr>
        <w:numPr>
          <w:ilvl w:val="0"/>
          <w:numId w:val="1"/>
        </w:numPr>
        <w:jc w:val="left"/>
        <w:rPr>
          <w:rFonts w:ascii="Times New Roman" w:hAnsi="Times New Roman" w:cs="Times New Roman"/>
        </w:rPr>
      </w:pPr>
      <w:bookmarkStart w:id="2" w:name="_ae391f2f-fc5c-834e-5235-1e0008ee214d"/>
      <w:r w:rsidRPr="00EB205B">
        <w:rPr>
          <w:rFonts w:ascii="Times New Roman" w:hAnsi="Times New Roman" w:cs="Times New Roman"/>
        </w:rPr>
        <w:t xml:space="preserve">By a similar technique and analysis, bioequivalent doses of test extracts from the same source as the reference extract can be determined by the parallel-line bioassay </w:t>
      </w:r>
      <w:r>
        <w:rPr>
          <w:rFonts w:ascii="Times New Roman" w:hAnsi="Times New Roman" w:cs="Times New Roman"/>
        </w:rPr>
        <w:t>(39)</w:t>
      </w:r>
      <w:r w:rsidRPr="00EB205B">
        <w:rPr>
          <w:rFonts w:ascii="Times New Roman" w:hAnsi="Times New Roman" w:cs="Times New Roman"/>
        </w:rPr>
        <w:t>. The inverse ratio of the doses of test extract required to produce identical D</w:t>
      </w:r>
      <w:r w:rsidRPr="00EB205B">
        <w:rPr>
          <w:rFonts w:ascii="Times New Roman" w:hAnsi="Times New Roman" w:cs="Times New Roman"/>
          <w:vertAlign w:val="subscript"/>
        </w:rPr>
        <w:t>50</w:t>
      </w:r>
      <w:r w:rsidRPr="00EB205B">
        <w:rPr>
          <w:rFonts w:ascii="Times New Roman" w:hAnsi="Times New Roman" w:cs="Times New Roman"/>
        </w:rPr>
        <w:t xml:space="preserve"> responses to a reference extract is the relative potency (RP) of that extract. This analysis requires that the log dose-response curves of the test extract and the reference extract are parallel. If the two dose-response lines are not parallel, then the ratio of skin test doses for identical responses – and the RP - will vary with the dose. Because the distance between the two lines is different at each dose and a meaningful RP cannot be determined (Figure 1) </w:t>
      </w:r>
      <w:r>
        <w:rPr>
          <w:rFonts w:ascii="Times New Roman" w:hAnsi="Times New Roman" w:cs="Times New Roman"/>
        </w:rPr>
        <w:t>(39, 112)</w:t>
      </w:r>
      <w:r w:rsidRPr="00EB205B">
        <w:rPr>
          <w:rFonts w:ascii="Times New Roman" w:hAnsi="Times New Roman" w:cs="Times New Roman"/>
        </w:rPr>
        <w:t>. This situation strongly suggests that there are compositional differences between the two extracts.</w:t>
      </w:r>
      <w:r w:rsidRPr="00EB205B">
        <w:rPr>
          <w:rFonts w:ascii="Times New Roman" w:hAnsi="Times New Roman" w:cs="Times New Roman"/>
        </w:rPr>
        <w:br/>
      </w:r>
      <w:bookmarkStart w:id="3" w:name="_3b515ec3-fef7-bd9a-5b49-188ed8ddf317"/>
      <w:bookmarkEnd w:id="2"/>
      <w:r w:rsidRPr="00EB205B">
        <w:rPr>
          <w:rFonts w:ascii="Times New Roman" w:hAnsi="Times New Roman" w:cs="Times New Roman"/>
        </w:rPr>
        <w:t>In the original protocol, the D</w:t>
      </w:r>
      <w:r w:rsidRPr="00EB205B">
        <w:rPr>
          <w:rFonts w:ascii="Times New Roman" w:hAnsi="Times New Roman" w:cs="Times New Roman"/>
          <w:vertAlign w:val="subscript"/>
        </w:rPr>
        <w:t>50</w:t>
      </w:r>
      <w:r w:rsidRPr="00EB205B">
        <w:rPr>
          <w:rFonts w:ascii="Times New Roman" w:hAnsi="Times New Roman" w:cs="Times New Roman"/>
        </w:rPr>
        <w:t xml:space="preserve"> for the extract was determined by the mean D</w:t>
      </w:r>
      <w:r w:rsidRPr="00EB205B">
        <w:rPr>
          <w:rFonts w:ascii="Times New Roman" w:hAnsi="Times New Roman" w:cs="Times New Roman"/>
          <w:vertAlign w:val="subscript"/>
        </w:rPr>
        <w:t>50</w:t>
      </w:r>
      <w:r w:rsidRPr="00EB205B">
        <w:rPr>
          <w:rFonts w:ascii="Times New Roman" w:hAnsi="Times New Roman" w:cs="Times New Roman"/>
        </w:rPr>
        <w:t xml:space="preserve"> from 15 highly allergic individuals. To test the arbitrary choice of a sample size of 15, Rabin et al. </w:t>
      </w:r>
      <w:r>
        <w:rPr>
          <w:rFonts w:ascii="Times New Roman" w:hAnsi="Times New Roman" w:cs="Times New Roman"/>
        </w:rPr>
        <w:t>(113)</w:t>
      </w:r>
      <w:r w:rsidRPr="00EB205B">
        <w:rPr>
          <w:rFonts w:ascii="Times New Roman" w:hAnsi="Times New Roman" w:cs="Times New Roman"/>
        </w:rPr>
        <w:t xml:space="preserve"> applied the following formula for the number of study subjects, n, that would be required: </w:t>
      </w:r>
      <w:r w:rsidRPr="00EB205B">
        <w:rPr>
          <w:rFonts w:ascii="Times New Roman" w:hAnsi="Times New Roman" w:cs="Times New Roman"/>
        </w:rPr>
        <w:br/>
      </w:r>
      <w:bookmarkEnd w:id="3"/>
    </w:p>
    <w:p w:rsidR="0063407D" w:rsidRPr="00EB205B" w:rsidRDefault="0063407D" w:rsidP="0063407D">
      <w:pPr>
        <w:pStyle w:val="Image"/>
        <w:rPr>
          <w:rFonts w:ascii="Times New Roman" w:hAnsi="Times New Roman" w:cs="Times New Roman"/>
        </w:rPr>
      </w:pPr>
      <w:r w:rsidRPr="00EB205B">
        <w:rPr>
          <w:rFonts w:ascii="Times New Roman" w:hAnsi="Times New Roman" w:cs="Times New Roman"/>
          <w:lang w:val="de-DE"/>
        </w:rPr>
        <w:drawing>
          <wp:inline distT="0" distB="0" distL="0" distR="0" wp14:anchorId="74FE2A24" wp14:editId="55A393A6">
            <wp:extent cx="2475471" cy="717528"/>
            <wp:effectExtent l="0" t="0" r="0" b="10160"/>
            <wp:docPr id="100" name="Picture 2" descr="cb478bb0-7f57-4e8c-8a3e-eae550df6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2" descr="cb478bb0-7f57-4e8c-8a3e-eae550df69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5471" cy="717528"/>
                    </a:xfrm>
                    <a:prstGeom prst="rect">
                      <a:avLst/>
                    </a:prstGeom>
                    <a:noFill/>
                    <a:ln>
                      <a:noFill/>
                    </a:ln>
                  </pic:spPr>
                </pic:pic>
              </a:graphicData>
            </a:graphic>
          </wp:inline>
        </w:drawing>
      </w:r>
    </w:p>
    <w:p w:rsidR="0063407D" w:rsidRDefault="0063407D" w:rsidP="0063407D">
      <w:pPr>
        <w:numPr>
          <w:ilvl w:val="0"/>
          <w:numId w:val="0"/>
        </w:numPr>
        <w:jc w:val="left"/>
        <w:rPr>
          <w:rFonts w:ascii="Times New Roman" w:hAnsi="Times New Roman" w:cs="Times New Roman"/>
        </w:rPr>
      </w:pPr>
      <w:bookmarkStart w:id="4" w:name="_17cd6d28-0a33-3f8a-9a8d-ed0e23972f66"/>
      <w:r w:rsidRPr="00EB205B">
        <w:rPr>
          <w:rFonts w:ascii="Times New Roman" w:hAnsi="Times New Roman" w:cs="Times New Roman"/>
        </w:rPr>
        <w:t>where σ is the standard deviation of the measurement, δ is the acceptable difference in D</w:t>
      </w:r>
      <w:r w:rsidRPr="00EB205B">
        <w:rPr>
          <w:rFonts w:ascii="Times New Roman" w:hAnsi="Times New Roman" w:cs="Times New Roman"/>
          <w:vertAlign w:val="subscript"/>
        </w:rPr>
        <w:t>50</w:t>
      </w:r>
      <w:r w:rsidRPr="00EB205B">
        <w:rPr>
          <w:rFonts w:ascii="Times New Roman" w:hAnsi="Times New Roman" w:cs="Times New Roman"/>
        </w:rPr>
        <w:t xml:space="preserve">s of two equivalent products, and the z values are the critical values from the cumulative normal distribution table for a significance level α and a power of 1 - β </w:t>
      </w:r>
      <w:r>
        <w:rPr>
          <w:rFonts w:ascii="Times New Roman" w:hAnsi="Times New Roman" w:cs="Times New Roman"/>
        </w:rPr>
        <w:t>(114)</w:t>
      </w:r>
      <w:r w:rsidRPr="00EB205B">
        <w:rPr>
          <w:rFonts w:ascii="Times New Roman" w:hAnsi="Times New Roman" w:cs="Times New Roman"/>
        </w:rPr>
        <w:t>.  From this formula,</w:t>
      </w:r>
      <w:r w:rsidRPr="00EB205B">
        <w:rPr>
          <w:rFonts w:ascii="Times New Roman" w:hAnsi="Times New Roman" w:cs="Times New Roman"/>
          <w:i/>
        </w:rPr>
        <w:t xml:space="preserve"> n</w:t>
      </w:r>
      <w:r w:rsidRPr="00EB205B">
        <w:rPr>
          <w:rFonts w:ascii="Times New Roman" w:hAnsi="Times New Roman" w:cs="Times New Roman"/>
        </w:rPr>
        <w:t xml:space="preserve"> is a function of the </w:t>
      </w:r>
      <w:r w:rsidRPr="00EB205B">
        <w:rPr>
          <w:rFonts w:ascii="Times New Roman" w:hAnsi="Times New Roman" w:cs="Times New Roman"/>
          <w:i/>
        </w:rPr>
        <w:t xml:space="preserve">squares </w:t>
      </w:r>
      <w:r w:rsidRPr="00EB205B">
        <w:rPr>
          <w:rFonts w:ascii="Times New Roman" w:hAnsi="Times New Roman" w:cs="Times New Roman"/>
        </w:rPr>
        <w:t xml:space="preserve">of σ and δ. The value of </w:t>
      </w:r>
      <w:r w:rsidRPr="00EB205B">
        <w:rPr>
          <w:rFonts w:ascii="Times New Roman" w:hAnsi="Times New Roman" w:cs="Times New Roman"/>
          <w:i/>
        </w:rPr>
        <w:t>n</w:t>
      </w:r>
      <w:r w:rsidRPr="00EB205B">
        <w:rPr>
          <w:rFonts w:ascii="Times New Roman" w:hAnsi="Times New Roman" w:cs="Times New Roman"/>
        </w:rPr>
        <w:t xml:space="preserve"> depends on the particular allergen to be tested but, as may be seen in sample calculations represented in Table 2, </w:t>
      </w:r>
      <w:r w:rsidRPr="00EB205B">
        <w:rPr>
          <w:rFonts w:ascii="Times New Roman" w:hAnsi="Times New Roman" w:cs="Times New Roman"/>
          <w:i/>
        </w:rPr>
        <w:t>n</w:t>
      </w:r>
      <w:r w:rsidRPr="00EB205B">
        <w:rPr>
          <w:rFonts w:ascii="Times New Roman" w:hAnsi="Times New Roman" w:cs="Times New Roman"/>
        </w:rPr>
        <w:t>, the sample size to determine the D</w:t>
      </w:r>
      <w:r w:rsidRPr="00EB205B">
        <w:rPr>
          <w:rFonts w:ascii="Times New Roman" w:hAnsi="Times New Roman" w:cs="Times New Roman"/>
          <w:vertAlign w:val="subscript"/>
        </w:rPr>
        <w:t>50</w:t>
      </w:r>
      <w:r w:rsidRPr="00EB205B">
        <w:rPr>
          <w:rFonts w:ascii="Times New Roman" w:hAnsi="Times New Roman" w:cs="Times New Roman"/>
        </w:rPr>
        <w:t xml:space="preserve"> of an allergenic product, usually must be larger than 15 subjects.</w:t>
      </w:r>
      <w:bookmarkEnd w:id="4"/>
    </w:p>
    <w:p w:rsidR="00C837D6" w:rsidRDefault="00C837D6">
      <w:bookmarkStart w:id="5" w:name="_GoBack"/>
      <w:bookmarkEnd w:id="5"/>
    </w:p>
    <w:sectPr w:rsidR="00C837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12D0"/>
    <w:multiLevelType w:val="multilevel"/>
    <w:tmpl w:val="0874A3A6"/>
    <w:styleLink w:val="Mastertext"/>
    <w:lvl w:ilvl="0">
      <w:start w:val="1"/>
      <w:numFmt w:val="none"/>
      <w:lvlText w:val="%1"/>
      <w:lvlJc w:val="left"/>
      <w:pPr>
        <w:ind w:left="0" w:firstLine="0"/>
      </w:pPr>
      <w:rPr>
        <w:rFonts w:hint="default"/>
      </w:rPr>
    </w:lvl>
    <w:lvl w:ilvl="1">
      <w:start w:val="1"/>
      <w:numFmt w:val="none"/>
      <w:lvlText w:val="%1"/>
      <w:lvlJc w:val="left"/>
      <w:pPr>
        <w:ind w:left="567" w:hanging="567"/>
      </w:pPr>
      <w:rPr>
        <w:rFonts w:hint="default"/>
      </w:rPr>
    </w:lvl>
    <w:lvl w:ilvl="2">
      <w:start w:val="1"/>
      <w:numFmt w:val="none"/>
      <w:lvlText w:val="%1"/>
      <w:lvlJc w:val="left"/>
      <w:pPr>
        <w:ind w:left="1134" w:hanging="567"/>
      </w:pPr>
      <w:rPr>
        <w:rFonts w:hint="default"/>
      </w:rPr>
    </w:lvl>
    <w:lvl w:ilvl="3">
      <w:start w:val="1"/>
      <w:numFmt w:val="none"/>
      <w:lvlText w:val="%1"/>
      <w:lvlJc w:val="left"/>
      <w:pPr>
        <w:ind w:left="1701" w:hanging="567"/>
      </w:pPr>
      <w:rPr>
        <w:rFonts w:hint="default"/>
      </w:rPr>
    </w:lvl>
    <w:lvl w:ilvl="4">
      <w:start w:val="1"/>
      <w:numFmt w:val="none"/>
      <w:lvlText w:val="%5%1"/>
      <w:lvlJc w:val="left"/>
      <w:pPr>
        <w:ind w:left="2268" w:hanging="567"/>
      </w:pPr>
      <w:rPr>
        <w:rFonts w:hint="default"/>
      </w:rPr>
    </w:lvl>
    <w:lvl w:ilvl="5">
      <w:start w:val="1"/>
      <w:numFmt w:val="none"/>
      <w:lvlText w:val=""/>
      <w:lvlJc w:val="left"/>
      <w:pPr>
        <w:ind w:left="2835" w:hanging="567"/>
      </w:pPr>
      <w:rPr>
        <w:rFonts w:hint="default"/>
      </w:rPr>
    </w:lvl>
    <w:lvl w:ilvl="6">
      <w:start w:val="1"/>
      <w:numFmt w:val="none"/>
      <w:lvlText w:val="%1"/>
      <w:lvlJc w:val="left"/>
      <w:pPr>
        <w:ind w:left="3240" w:hanging="1080"/>
      </w:pPr>
      <w:rPr>
        <w:rFonts w:hint="default"/>
      </w:rPr>
    </w:lvl>
    <w:lvl w:ilvl="7">
      <w:start w:val="1"/>
      <w:numFmt w:val="none"/>
      <w:lvlText w:val="%1"/>
      <w:lvlJc w:val="left"/>
      <w:pPr>
        <w:ind w:left="3744" w:hanging="1224"/>
      </w:pPr>
      <w:rPr>
        <w:rFonts w:hint="default"/>
      </w:rPr>
    </w:lvl>
    <w:lvl w:ilvl="8">
      <w:start w:val="1"/>
      <w:numFmt w:val="none"/>
      <w:lvlText w:val="%1"/>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7D"/>
    <w:rsid w:val="00390610"/>
    <w:rsid w:val="0063407D"/>
    <w:rsid w:val="00C837D6"/>
    <w:rsid w:val="00EA3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E4320-B612-45AF-AEC1-B0D0FD9F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1"/>
    <w:qFormat/>
    <w:rsid w:val="0063407D"/>
    <w:pPr>
      <w:numPr>
        <w:numId w:val="48"/>
      </w:numPr>
      <w:spacing w:before="120" w:after="120"/>
      <w:jc w:val="both"/>
    </w:pPr>
    <w:rPr>
      <w:rFonts w:ascii="Helvetica" w:hAnsi="Helvetica"/>
      <w:noProof/>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DText2">
    <w:name w:val="SD Text 2"/>
    <w:autoRedefine/>
    <w:qFormat/>
    <w:rsid w:val="0063407D"/>
    <w:pPr>
      <w:spacing w:before="120" w:after="120"/>
      <w:ind w:left="567" w:hanging="567"/>
      <w:jc w:val="both"/>
    </w:pPr>
    <w:rPr>
      <w:rFonts w:ascii="Helvetica" w:hAnsi="Helvetica"/>
      <w:noProof/>
      <w:shd w:val="clear" w:color="auto" w:fill="FFFFFF"/>
      <w:lang w:val="en-US" w:eastAsia="de-DE"/>
    </w:rPr>
  </w:style>
  <w:style w:type="paragraph" w:customStyle="1" w:styleId="SDText3">
    <w:name w:val="SD Text 3"/>
    <w:autoRedefine/>
    <w:qFormat/>
    <w:rsid w:val="0063407D"/>
    <w:pPr>
      <w:spacing w:before="120" w:after="120"/>
      <w:ind w:left="1134" w:hanging="567"/>
      <w:jc w:val="both"/>
    </w:pPr>
    <w:rPr>
      <w:rFonts w:ascii="Helvetica" w:hAnsi="Helvetica"/>
      <w:noProof/>
      <w:lang w:val="en-US"/>
    </w:rPr>
  </w:style>
  <w:style w:type="paragraph" w:customStyle="1" w:styleId="SDText4">
    <w:name w:val="SD Text 4"/>
    <w:autoRedefine/>
    <w:qFormat/>
    <w:rsid w:val="0063407D"/>
    <w:pPr>
      <w:spacing w:before="120" w:after="120"/>
      <w:ind w:left="1701" w:hanging="567"/>
      <w:jc w:val="both"/>
    </w:pPr>
    <w:rPr>
      <w:rFonts w:ascii="Helvetica" w:hAnsi="Helvetica"/>
      <w:noProof/>
      <w:lang w:val="en-US"/>
    </w:rPr>
  </w:style>
  <w:style w:type="paragraph" w:customStyle="1" w:styleId="SDText5">
    <w:name w:val="SD Text 5"/>
    <w:autoRedefine/>
    <w:qFormat/>
    <w:rsid w:val="0063407D"/>
    <w:pPr>
      <w:spacing w:before="120" w:after="120"/>
      <w:ind w:left="2268" w:hanging="567"/>
      <w:jc w:val="both"/>
    </w:pPr>
    <w:rPr>
      <w:rFonts w:ascii="Helvetica" w:hAnsi="Helvetica"/>
      <w:noProof/>
      <w:lang w:val="en-US"/>
    </w:rPr>
  </w:style>
  <w:style w:type="paragraph" w:customStyle="1" w:styleId="SDText6">
    <w:name w:val="SD Text 6"/>
    <w:autoRedefine/>
    <w:qFormat/>
    <w:rsid w:val="0063407D"/>
    <w:pPr>
      <w:spacing w:before="120" w:after="120"/>
      <w:ind w:left="2835" w:hanging="567"/>
      <w:jc w:val="both"/>
    </w:pPr>
    <w:rPr>
      <w:rFonts w:ascii="Helvetica" w:hAnsi="Helvetica"/>
      <w:noProof/>
      <w:szCs w:val="24"/>
    </w:rPr>
  </w:style>
  <w:style w:type="numbering" w:customStyle="1" w:styleId="Mastertext">
    <w:name w:val="Master text"/>
    <w:basedOn w:val="KeineListe"/>
    <w:uiPriority w:val="99"/>
    <w:rsid w:val="0063407D"/>
    <w:pPr>
      <w:numPr>
        <w:numId w:val="1"/>
      </w:numPr>
    </w:pPr>
  </w:style>
  <w:style w:type="paragraph" w:customStyle="1" w:styleId="Image">
    <w:name w:val="Image"/>
    <w:qFormat/>
    <w:rsid w:val="0063407D"/>
    <w:pPr>
      <w:spacing w:after="0" w:line="240" w:lineRule="auto"/>
      <w:jc w:val="center"/>
    </w:pPr>
    <w:rPr>
      <w:rFonts w:ascii="Helvetica" w:hAnsi="Helvetica"/>
      <w:noProof/>
      <w:sz w:val="20"/>
      <w:szCs w:val="24"/>
      <w:shd w:val="clear" w:color="auto" w:fill="FFFFFF"/>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 Julia</dc:creator>
  <cp:keywords/>
  <dc:description/>
  <cp:lastModifiedBy>Zimmer, Julia</cp:lastModifiedBy>
  <cp:revision>1</cp:revision>
  <dcterms:created xsi:type="dcterms:W3CDTF">2021-09-07T07:55:00Z</dcterms:created>
  <dcterms:modified xsi:type="dcterms:W3CDTF">2021-09-07T07:56:00Z</dcterms:modified>
</cp:coreProperties>
</file>