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A818F" w14:textId="000A7E24" w:rsidR="007F1C2E" w:rsidRDefault="00200B16" w:rsidP="007F1C2E">
      <w:r>
        <w:rPr>
          <w:noProof/>
        </w:rPr>
        <w:drawing>
          <wp:inline distT="0" distB="0" distL="0" distR="0" wp14:anchorId="2D95EA65" wp14:editId="0A5136E7">
            <wp:extent cx="5274310" cy="56095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90F35" w14:textId="5E9B38B7" w:rsidR="007F1C2E" w:rsidRDefault="007F1C2E" w:rsidP="007F1C2E">
      <w:r w:rsidRPr="00C31EB8">
        <w:rPr>
          <w:rFonts w:hint="eastAsia"/>
          <w:b/>
          <w:bCs/>
        </w:rPr>
        <w:t>F</w:t>
      </w:r>
      <w:r w:rsidRPr="00C31EB8">
        <w:rPr>
          <w:b/>
          <w:bCs/>
        </w:rPr>
        <w:t xml:space="preserve">igure </w:t>
      </w:r>
      <w:r>
        <w:rPr>
          <w:b/>
          <w:bCs/>
        </w:rPr>
        <w:t>S</w:t>
      </w:r>
      <w:r w:rsidR="00200B16">
        <w:rPr>
          <w:b/>
          <w:bCs/>
        </w:rPr>
        <w:t>1</w:t>
      </w:r>
      <w:r>
        <w:rPr>
          <w:b/>
          <w:bCs/>
        </w:rPr>
        <w:t xml:space="preserve">. </w:t>
      </w:r>
      <w:r w:rsidR="00200B16" w:rsidRPr="00200B16">
        <w:rPr>
          <w:b/>
          <w:bCs/>
        </w:rPr>
        <w:t>Tumor immune microenvironment</w:t>
      </w:r>
      <w:r w:rsidR="00200B16">
        <w:rPr>
          <w:b/>
          <w:bCs/>
        </w:rPr>
        <w:t xml:space="preserve"> analysis</w:t>
      </w:r>
      <w:r w:rsidRPr="00287D2D">
        <w:rPr>
          <w:b/>
          <w:bCs/>
        </w:rPr>
        <w:t xml:space="preserve"> </w:t>
      </w:r>
      <w:r w:rsidR="00200B16" w:rsidRPr="00200B16">
        <w:rPr>
          <w:b/>
          <w:bCs/>
        </w:rPr>
        <w:t>between high and low risk group in TCGA-LUAD patients</w:t>
      </w:r>
      <w:r>
        <w:rPr>
          <w:b/>
          <w:bCs/>
        </w:rPr>
        <w:t xml:space="preserve">. </w:t>
      </w:r>
      <w:r w:rsidR="00200B16" w:rsidRPr="00200B16">
        <w:t xml:space="preserve">Gene Ontology (GO) enrichment map of </w:t>
      </w:r>
      <w:r w:rsidR="00200B16">
        <w:t xml:space="preserve">up-regulated </w:t>
      </w:r>
      <w:r w:rsidR="00200B16" w:rsidRPr="00200B16">
        <w:rPr>
          <w:b/>
          <w:bCs/>
        </w:rPr>
        <w:t>(A)</w:t>
      </w:r>
      <w:r w:rsidR="00200B16" w:rsidRPr="00200B16">
        <w:t xml:space="preserve"> </w:t>
      </w:r>
      <w:r w:rsidR="00200B16">
        <w:t xml:space="preserve">and down-regulated </w:t>
      </w:r>
      <w:r w:rsidR="00200B16" w:rsidRPr="00200B16">
        <w:rPr>
          <w:b/>
          <w:bCs/>
        </w:rPr>
        <w:t>(</w:t>
      </w:r>
      <w:r w:rsidR="00200B16" w:rsidRPr="00200B16">
        <w:rPr>
          <w:b/>
          <w:bCs/>
        </w:rPr>
        <w:t>B</w:t>
      </w:r>
      <w:r w:rsidR="00200B16" w:rsidRPr="00200B16">
        <w:rPr>
          <w:b/>
          <w:bCs/>
        </w:rPr>
        <w:t>)</w:t>
      </w:r>
      <w:r w:rsidR="00200B16" w:rsidRPr="00200B16">
        <w:t xml:space="preserve"> DEGs between high- and low-risk group. </w:t>
      </w:r>
      <w:r w:rsidR="00200B16" w:rsidRPr="00200B16">
        <w:rPr>
          <w:b/>
          <w:bCs/>
        </w:rPr>
        <w:t>(</w:t>
      </w:r>
      <w:r w:rsidR="00200B16">
        <w:rPr>
          <w:b/>
          <w:bCs/>
        </w:rPr>
        <w:t>C</w:t>
      </w:r>
      <w:r w:rsidR="00200B16" w:rsidRPr="00200B16">
        <w:rPr>
          <w:b/>
          <w:bCs/>
        </w:rPr>
        <w:t>)</w:t>
      </w:r>
      <w:r w:rsidR="00200B16" w:rsidRPr="00200B16">
        <w:t xml:space="preserve"> GSEA of the DEGs between high- and low-risk group. (C) Grouped stacked bar chart of TIICs between high- and low-risk group. DEG: Differentially expressed genes; GSEA: Gene Set Enrichment Analysis; TIIC: Tumor infiltrating immune cell; ICI: immune checkpoint.</w:t>
      </w:r>
    </w:p>
    <w:p w14:paraId="19BEEBF1" w14:textId="36FEA5DA" w:rsidR="004D2D0A" w:rsidRDefault="00AE46CC"/>
    <w:p w14:paraId="03611C9A" w14:textId="77777777" w:rsidR="00AE46CC" w:rsidRPr="00840EEA" w:rsidRDefault="00AE46CC" w:rsidP="00AE46CC">
      <w:r>
        <w:rPr>
          <w:noProof/>
        </w:rPr>
        <w:lastRenderedPageBreak/>
        <w:drawing>
          <wp:inline distT="0" distB="0" distL="0" distR="0" wp14:anchorId="0562F2F6" wp14:editId="400F6AF5">
            <wp:extent cx="5274310" cy="77133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2FF8F" w14:textId="5348F6D5" w:rsidR="00AE46CC" w:rsidRDefault="00AE46CC" w:rsidP="00AE46CC">
      <w:pPr>
        <w:rPr>
          <w:b/>
          <w:bCs/>
        </w:rPr>
      </w:pPr>
      <w:r>
        <w:rPr>
          <w:b/>
          <w:bCs/>
        </w:rPr>
        <w:t xml:space="preserve">Figure </w:t>
      </w:r>
      <w:r>
        <w:rPr>
          <w:b/>
          <w:bCs/>
        </w:rPr>
        <w:t>S2</w:t>
      </w:r>
      <w:r>
        <w:rPr>
          <w:b/>
          <w:bCs/>
        </w:rPr>
        <w:t xml:space="preserve">. </w:t>
      </w:r>
      <w:r w:rsidRPr="00DA4CF8">
        <w:rPr>
          <w:b/>
          <w:bCs/>
        </w:rPr>
        <w:t xml:space="preserve">The relationships between </w:t>
      </w:r>
      <w:r w:rsidRPr="00F42C66">
        <w:rPr>
          <w:b/>
          <w:bCs/>
        </w:rPr>
        <w:t xml:space="preserve">CD79A </w:t>
      </w:r>
      <w:r>
        <w:rPr>
          <w:b/>
          <w:bCs/>
        </w:rPr>
        <w:t xml:space="preserve">mRNA expression </w:t>
      </w:r>
      <w:r w:rsidRPr="00F42C66">
        <w:rPr>
          <w:b/>
          <w:bCs/>
        </w:rPr>
        <w:t>and immune cells and immunomodulators</w:t>
      </w:r>
      <w:r>
        <w:rPr>
          <w:b/>
          <w:bCs/>
        </w:rPr>
        <w:t xml:space="preserve">. </w:t>
      </w:r>
      <w:r w:rsidRPr="00492857">
        <w:rPr>
          <w:b/>
          <w:bCs/>
        </w:rPr>
        <w:t>(A)</w:t>
      </w:r>
      <w:r>
        <w:rPr>
          <w:b/>
          <w:bCs/>
        </w:rPr>
        <w:t xml:space="preserve"> </w:t>
      </w:r>
      <w:r w:rsidRPr="000C79A6">
        <w:t xml:space="preserve">Correlation between CD79A and </w:t>
      </w:r>
      <w:proofErr w:type="spellStart"/>
      <w:r>
        <w:t>riskscore</w:t>
      </w:r>
      <w:proofErr w:type="spellEnd"/>
      <w:r>
        <w:t xml:space="preserve">, </w:t>
      </w:r>
      <w:r w:rsidRPr="000C79A6">
        <w:t xml:space="preserve">different immune cells </w:t>
      </w:r>
      <w:r>
        <w:t xml:space="preserve">in TCGA-LUAD cohort. </w:t>
      </w:r>
      <w:r w:rsidRPr="000C79A6">
        <w:rPr>
          <w:b/>
          <w:bCs/>
        </w:rPr>
        <w:t>(B)</w:t>
      </w:r>
      <w:r>
        <w:t xml:space="preserve"> Heatmap of c</w:t>
      </w:r>
      <w:r w:rsidRPr="000C79A6">
        <w:t xml:space="preserve">orrelation between CD79A and </w:t>
      </w:r>
      <w:bookmarkStart w:id="0" w:name="_Hlk62349545"/>
      <w:r w:rsidRPr="000C79A6">
        <w:t>immune cells</w:t>
      </w:r>
      <w:r>
        <w:t xml:space="preserve">, </w:t>
      </w:r>
      <w:proofErr w:type="spellStart"/>
      <w:r>
        <w:t>i</w:t>
      </w:r>
      <w:r w:rsidRPr="004C6BB2">
        <w:t>mmunoinhibitor</w:t>
      </w:r>
      <w:r>
        <w:t>s</w:t>
      </w:r>
      <w:proofErr w:type="spellEnd"/>
      <w:r>
        <w:t xml:space="preserve"> and </w:t>
      </w:r>
      <w:proofErr w:type="spellStart"/>
      <w:r>
        <w:t>i</w:t>
      </w:r>
      <w:r w:rsidRPr="004B1C34">
        <w:t>mmunostimulator</w:t>
      </w:r>
      <w:r>
        <w:t>s</w:t>
      </w:r>
      <w:bookmarkEnd w:id="0"/>
      <w:proofErr w:type="spellEnd"/>
      <w:r>
        <w:t xml:space="preserve"> in pan-cancers </w:t>
      </w:r>
      <w:r w:rsidRPr="00492857">
        <w:rPr>
          <w:b/>
          <w:bCs/>
        </w:rPr>
        <w:t>(</w:t>
      </w:r>
      <w:r>
        <w:rPr>
          <w:b/>
          <w:bCs/>
        </w:rPr>
        <w:t>C</w:t>
      </w:r>
      <w:r w:rsidRPr="00492857">
        <w:rPr>
          <w:b/>
          <w:bCs/>
        </w:rPr>
        <w:t>)</w:t>
      </w:r>
      <w:r>
        <w:rPr>
          <w:b/>
          <w:bCs/>
        </w:rPr>
        <w:t xml:space="preserve"> </w:t>
      </w:r>
      <w:r w:rsidRPr="000C79A6">
        <w:lastRenderedPageBreak/>
        <w:t xml:space="preserve">Correlation between CD79A and </w:t>
      </w:r>
      <w:r>
        <w:t xml:space="preserve">the abundance of </w:t>
      </w:r>
      <w:r w:rsidRPr="000C79A6">
        <w:t>immature B cel</w:t>
      </w:r>
      <w:r>
        <w:t xml:space="preserve">l and </w:t>
      </w:r>
      <w:r w:rsidRPr="000C79A6">
        <w:t>activated B</w:t>
      </w:r>
      <w:r>
        <w:t xml:space="preserve"> cell, BTLA, TIGIT, CD27 and TNFRSF17 in TISIDB database.</w:t>
      </w:r>
    </w:p>
    <w:p w14:paraId="622D6AA5" w14:textId="77777777" w:rsidR="00AE46CC" w:rsidRPr="00AE46CC" w:rsidRDefault="00AE46CC">
      <w:pPr>
        <w:rPr>
          <w:rFonts w:hint="eastAsia"/>
        </w:rPr>
      </w:pPr>
    </w:p>
    <w:p w14:paraId="2CD406E3" w14:textId="77777777" w:rsidR="00200B16" w:rsidRDefault="00200B16" w:rsidP="00200B16">
      <w:r>
        <w:rPr>
          <w:noProof/>
        </w:rPr>
        <w:drawing>
          <wp:inline distT="0" distB="0" distL="0" distR="0" wp14:anchorId="24982268" wp14:editId="7B6CBBD5">
            <wp:extent cx="5274310" cy="65678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6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909C1" w14:textId="77777777" w:rsidR="00200B16" w:rsidRDefault="00200B16" w:rsidP="00200B16">
      <w:r w:rsidRPr="00C31EB8">
        <w:rPr>
          <w:rFonts w:hint="eastAsia"/>
          <w:b/>
          <w:bCs/>
        </w:rPr>
        <w:t>F</w:t>
      </w:r>
      <w:r w:rsidRPr="00C31EB8">
        <w:rPr>
          <w:b/>
          <w:bCs/>
        </w:rPr>
        <w:t xml:space="preserve">igure </w:t>
      </w:r>
      <w:r>
        <w:rPr>
          <w:b/>
          <w:bCs/>
        </w:rPr>
        <w:t xml:space="preserve">S3. </w:t>
      </w:r>
      <w:r w:rsidRPr="00287D2D">
        <w:rPr>
          <w:b/>
          <w:bCs/>
        </w:rPr>
        <w:t xml:space="preserve">High expression of CD79A is </w:t>
      </w:r>
      <w:r>
        <w:rPr>
          <w:b/>
          <w:bCs/>
        </w:rPr>
        <w:t xml:space="preserve">validated and </w:t>
      </w:r>
      <w:r w:rsidRPr="00287D2D">
        <w:rPr>
          <w:b/>
          <w:bCs/>
        </w:rPr>
        <w:t>associated with good prognosis for LUAD</w:t>
      </w:r>
      <w:r>
        <w:rPr>
          <w:b/>
          <w:bCs/>
        </w:rPr>
        <w:t xml:space="preserve"> patients. </w:t>
      </w:r>
      <w:r w:rsidRPr="00492857">
        <w:rPr>
          <w:b/>
          <w:bCs/>
        </w:rPr>
        <w:t>(A)</w:t>
      </w:r>
      <w:r>
        <w:rPr>
          <w:b/>
          <w:bCs/>
        </w:rPr>
        <w:t xml:space="preserve"> </w:t>
      </w:r>
      <w:r w:rsidRPr="00287D2D">
        <w:t>Comparison of CD79A mRNA level between tumor and non-tumor group</w:t>
      </w:r>
      <w:r>
        <w:t xml:space="preserve">. </w:t>
      </w:r>
      <w:r w:rsidRPr="000C79A6">
        <w:rPr>
          <w:b/>
          <w:bCs/>
        </w:rPr>
        <w:t>(</w:t>
      </w:r>
      <w:r>
        <w:rPr>
          <w:b/>
          <w:bCs/>
        </w:rPr>
        <w:t>B</w:t>
      </w:r>
      <w:r w:rsidRPr="000C79A6">
        <w:rPr>
          <w:b/>
          <w:bCs/>
        </w:rPr>
        <w:t>)</w:t>
      </w:r>
      <w:r>
        <w:t xml:space="preserve"> </w:t>
      </w:r>
      <w:r w:rsidRPr="00287D2D">
        <w:t xml:space="preserve">Comparison of CD79A </w:t>
      </w:r>
      <w:r>
        <w:t>protein</w:t>
      </w:r>
      <w:r w:rsidRPr="00287D2D">
        <w:t xml:space="preserve"> level between tumor and non-tumor group</w:t>
      </w:r>
      <w:r>
        <w:t xml:space="preserve"> in HPA database. </w:t>
      </w:r>
      <w:r w:rsidRPr="00492857">
        <w:rPr>
          <w:b/>
          <w:bCs/>
        </w:rPr>
        <w:t>(</w:t>
      </w:r>
      <w:r>
        <w:rPr>
          <w:b/>
          <w:bCs/>
        </w:rPr>
        <w:t>C</w:t>
      </w:r>
      <w:r w:rsidRPr="00492857">
        <w:rPr>
          <w:b/>
          <w:bCs/>
        </w:rPr>
        <w:t>)</w:t>
      </w:r>
      <w:r>
        <w:rPr>
          <w:b/>
          <w:bCs/>
        </w:rPr>
        <w:t xml:space="preserve"> </w:t>
      </w:r>
      <w:r w:rsidRPr="000C79A6">
        <w:t xml:space="preserve">Correlation between CD79A and </w:t>
      </w:r>
      <w:r>
        <w:t xml:space="preserve">tumor stage for </w:t>
      </w:r>
      <w:r>
        <w:lastRenderedPageBreak/>
        <w:t xml:space="preserve">LUAD patients in TISIDB database. </w:t>
      </w:r>
      <w:r w:rsidRPr="00492857">
        <w:rPr>
          <w:b/>
          <w:bCs/>
        </w:rPr>
        <w:t>(</w:t>
      </w:r>
      <w:r>
        <w:rPr>
          <w:b/>
          <w:bCs/>
        </w:rPr>
        <w:t>D</w:t>
      </w:r>
      <w:r w:rsidRPr="00492857">
        <w:rPr>
          <w:b/>
          <w:bCs/>
        </w:rPr>
        <w:t>)</w:t>
      </w:r>
      <w:r>
        <w:rPr>
          <w:b/>
          <w:bCs/>
        </w:rPr>
        <w:t xml:space="preserve"> </w:t>
      </w:r>
      <w:proofErr w:type="spellStart"/>
      <w:r>
        <w:rPr>
          <w:rFonts w:hint="eastAsia"/>
        </w:rPr>
        <w:t>Kapla</w:t>
      </w:r>
      <w:proofErr w:type="spellEnd"/>
      <w:r>
        <w:t>-</w:t>
      </w:r>
      <w:r>
        <w:rPr>
          <w:rFonts w:hint="eastAsia"/>
        </w:rPr>
        <w:t>Meier survival curve estimat</w:t>
      </w:r>
      <w:r>
        <w:t>ing</w:t>
      </w:r>
      <w:r>
        <w:rPr>
          <w:rFonts w:hint="eastAsia"/>
        </w:rPr>
        <w:t xml:space="preserve"> the </w:t>
      </w:r>
      <w:r>
        <w:t>OS</w:t>
      </w:r>
      <w:r>
        <w:rPr>
          <w:rFonts w:hint="eastAsia"/>
        </w:rPr>
        <w:t xml:space="preserve"> probabilities for the low</w:t>
      </w:r>
      <w:r>
        <w:t xml:space="preserve">- </w:t>
      </w:r>
      <w:r w:rsidRPr="00287D2D">
        <w:t>versus</w:t>
      </w:r>
      <w:r>
        <w:rPr>
          <w:rFonts w:hint="eastAsia"/>
        </w:rPr>
        <w:t xml:space="preserve"> high-</w:t>
      </w:r>
      <w:r>
        <w:t xml:space="preserve"> CD79A expression</w:t>
      </w:r>
      <w:r>
        <w:rPr>
          <w:rFonts w:hint="eastAsia"/>
        </w:rPr>
        <w:t xml:space="preserve"> group </w:t>
      </w:r>
      <w:r>
        <w:t>in TISIDB database.</w:t>
      </w:r>
    </w:p>
    <w:p w14:paraId="3E570E80" w14:textId="313226D1" w:rsidR="00200B16" w:rsidRDefault="00200B16"/>
    <w:p w14:paraId="6C07E6CE" w14:textId="062E6699" w:rsidR="00AE46CC" w:rsidRDefault="00AE46CC"/>
    <w:p w14:paraId="6426A53F" w14:textId="097F7C8D" w:rsidR="00AE46CC" w:rsidRPr="00200B16" w:rsidRDefault="00AE46C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AD9EDBC" wp14:editId="4ECF280A">
            <wp:extent cx="5274310" cy="37452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46CC" w:rsidRPr="00200B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C2E"/>
    <w:rsid w:val="00200B16"/>
    <w:rsid w:val="007F1C2E"/>
    <w:rsid w:val="00876DB6"/>
    <w:rsid w:val="00A13FBE"/>
    <w:rsid w:val="00AE4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25DCA"/>
  <w15:chartTrackingRefBased/>
  <w15:docId w15:val="{F9F07962-2C13-4FBA-A7CB-481ACF33E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1C2E"/>
    <w:pPr>
      <w:widowControl w:val="0"/>
      <w:spacing w:line="360" w:lineRule="auto"/>
      <w:jc w:val="both"/>
    </w:pPr>
    <w:rPr>
      <w:rFonts w:ascii="Times New Roman" w:eastAsia="宋体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凯</dc:creator>
  <cp:keywords/>
  <dc:description/>
  <cp:lastModifiedBy>张 凯</cp:lastModifiedBy>
  <cp:revision>4</cp:revision>
  <dcterms:created xsi:type="dcterms:W3CDTF">2021-05-18T14:56:00Z</dcterms:created>
  <dcterms:modified xsi:type="dcterms:W3CDTF">2021-05-18T20:30:00Z</dcterms:modified>
</cp:coreProperties>
</file>