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5A38" w14:textId="4EF4A34A" w:rsidR="00CC7BA4" w:rsidRPr="00287B7B" w:rsidRDefault="00D87A9D" w:rsidP="00620D5D">
      <w:pPr>
        <w:spacing w:line="276" w:lineRule="auto"/>
        <w:ind w:righ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7649233"/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Table </w:t>
      </w:r>
      <w:r w:rsidR="0006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8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633A1" w:rsidRPr="0006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Values averaged across two test years of intra-population inter-environment p</w:t>
      </w:r>
      <w:r w:rsidR="000633A1" w:rsidRPr="000633A1">
        <w:rPr>
          <w:rFonts w:ascii="Times New Roman" w:hAnsi="Times New Roman" w:cs="Times New Roman"/>
          <w:b/>
          <w:bCs/>
          <w:sz w:val="24"/>
          <w:szCs w:val="24"/>
        </w:rPr>
        <w:t xml:space="preserve">redictive </w:t>
      </w:r>
      <w:r w:rsidR="000633A1" w:rsidRPr="0006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ability for pea grain yield in mixed stand and coefficient of variation of BLUP phenotyping data used for genomic selection, and number of polymorphic markers, for six recombinant inbred line </w:t>
      </w:r>
      <w:proofErr w:type="gramStart"/>
      <w:r w:rsidR="000633A1" w:rsidRPr="00063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populations</w:t>
      </w:r>
      <w:proofErr w:type="gramEnd"/>
    </w:p>
    <w:tbl>
      <w:tblPr>
        <w:tblStyle w:val="TableGrid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1750"/>
        <w:gridCol w:w="1650"/>
        <w:gridCol w:w="1701"/>
      </w:tblGrid>
      <w:tr w:rsidR="000633A1" w:rsidRPr="00287B7B" w14:paraId="072705D8" w14:textId="77777777" w:rsidTr="00620D5D"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223B44EF" w14:textId="64158EE3" w:rsidR="000633A1" w:rsidRPr="00BC4211" w:rsidRDefault="000633A1" w:rsidP="00BC42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RIL population parents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6D03FDE" w14:textId="2AF19ADB" w:rsidR="000633A1" w:rsidRPr="000633A1" w:rsidRDefault="000633A1" w:rsidP="00BC4211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Predictive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ability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0E2F0696" w14:textId="7E4C0A51" w:rsidR="000633A1" w:rsidRPr="00BC4211" w:rsidRDefault="000633A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Coefficient of variation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CD2196" w14:textId="721AE5C6" w:rsidR="000633A1" w:rsidRPr="00BC4211" w:rsidRDefault="000633A1" w:rsidP="00BC42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Number of markers</w:t>
            </w:r>
          </w:p>
        </w:tc>
      </w:tr>
      <w:tr w:rsidR="000633A1" w:rsidRPr="00287B7B" w14:paraId="3E2D5E3D" w14:textId="77777777" w:rsidTr="00620D5D">
        <w:tc>
          <w:tcPr>
            <w:tcW w:w="2129" w:type="dxa"/>
            <w:vAlign w:val="bottom"/>
          </w:tcPr>
          <w:p w14:paraId="7EFB5A50" w14:textId="375EEA53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ttika × </w:t>
            </w: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>uifilo</w:t>
            </w:r>
            <w:proofErr w:type="spellEnd"/>
          </w:p>
        </w:tc>
        <w:tc>
          <w:tcPr>
            <w:tcW w:w="1750" w:type="dxa"/>
            <w:vAlign w:val="bottom"/>
          </w:tcPr>
          <w:p w14:paraId="0BC4AF0B" w14:textId="68BD1226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0.30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vAlign w:val="bottom"/>
          </w:tcPr>
          <w:p w14:paraId="137BF5C4" w14:textId="293FD8DD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0.254</w:t>
            </w:r>
          </w:p>
        </w:tc>
        <w:tc>
          <w:tcPr>
            <w:tcW w:w="1701" w:type="dxa"/>
            <w:vAlign w:val="bottom"/>
          </w:tcPr>
          <w:p w14:paraId="5518D752" w14:textId="6B75ECD6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2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</w:tr>
      <w:tr w:rsidR="000633A1" w:rsidRPr="00287B7B" w14:paraId="683EA68C" w14:textId="77777777" w:rsidTr="00620D5D">
        <w:tc>
          <w:tcPr>
            <w:tcW w:w="2129" w:type="dxa"/>
            <w:vAlign w:val="bottom"/>
          </w:tcPr>
          <w:p w14:paraId="6D85256C" w14:textId="4F47C6EE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ttika × </w:t>
            </w: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sard</w:t>
            </w:r>
            <w:proofErr w:type="spellEnd"/>
          </w:p>
        </w:tc>
        <w:tc>
          <w:tcPr>
            <w:tcW w:w="1750" w:type="dxa"/>
            <w:vAlign w:val="bottom"/>
          </w:tcPr>
          <w:p w14:paraId="27F98337" w14:textId="3568610C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0.212</w:t>
            </w:r>
          </w:p>
        </w:tc>
        <w:tc>
          <w:tcPr>
            <w:tcW w:w="1650" w:type="dxa"/>
            <w:vAlign w:val="bottom"/>
          </w:tcPr>
          <w:p w14:paraId="2A2BACDF" w14:textId="3B20351F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vAlign w:val="bottom"/>
          </w:tcPr>
          <w:p w14:paraId="07B9189A" w14:textId="260BC9C0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3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</w:tr>
      <w:tr w:rsidR="000633A1" w:rsidRPr="00287B7B" w14:paraId="6CF36BEE" w14:textId="77777777" w:rsidTr="00620D5D">
        <w:tc>
          <w:tcPr>
            <w:tcW w:w="2129" w:type="dxa"/>
            <w:vAlign w:val="bottom"/>
          </w:tcPr>
          <w:p w14:paraId="468839DA" w14:textId="5F99D02C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Alliance × </w:t>
            </w: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sard</w:t>
            </w:r>
            <w:proofErr w:type="spellEnd"/>
          </w:p>
        </w:tc>
        <w:tc>
          <w:tcPr>
            <w:tcW w:w="1750" w:type="dxa"/>
            <w:vAlign w:val="bottom"/>
          </w:tcPr>
          <w:p w14:paraId="732036BC" w14:textId="269F4E01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0.183</w:t>
            </w:r>
          </w:p>
        </w:tc>
        <w:tc>
          <w:tcPr>
            <w:tcW w:w="1650" w:type="dxa"/>
            <w:vAlign w:val="bottom"/>
          </w:tcPr>
          <w:p w14:paraId="35E0C2A2" w14:textId="5DA2BE14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0.275</w:t>
            </w:r>
          </w:p>
        </w:tc>
        <w:tc>
          <w:tcPr>
            <w:tcW w:w="1701" w:type="dxa"/>
            <w:vAlign w:val="bottom"/>
          </w:tcPr>
          <w:p w14:paraId="73785C98" w14:textId="2D4795E8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3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</w:tr>
      <w:tr w:rsidR="000633A1" w:rsidRPr="00287B7B" w14:paraId="01DDB7B5" w14:textId="77777777" w:rsidTr="00620D5D">
        <w:tc>
          <w:tcPr>
            <w:tcW w:w="2129" w:type="dxa"/>
            <w:vAlign w:val="bottom"/>
          </w:tcPr>
          <w:p w14:paraId="51808B03" w14:textId="63A02C0E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ove × </w:t>
            </w:r>
            <w:r w:rsidRPr="000633A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ttika</w:t>
            </w:r>
          </w:p>
        </w:tc>
        <w:tc>
          <w:tcPr>
            <w:tcW w:w="1750" w:type="dxa"/>
            <w:vAlign w:val="bottom"/>
          </w:tcPr>
          <w:p w14:paraId="4B61CE2D" w14:textId="372351E3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0.19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0" w:type="dxa"/>
            <w:vAlign w:val="bottom"/>
          </w:tcPr>
          <w:p w14:paraId="022F7742" w14:textId="04D0D6A3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vAlign w:val="bottom"/>
          </w:tcPr>
          <w:p w14:paraId="56838D55" w14:textId="2E4E9FE0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3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</w:tr>
      <w:tr w:rsidR="000633A1" w:rsidRPr="00287B7B" w14:paraId="4360BFB1" w14:textId="77777777" w:rsidTr="00620D5D">
        <w:tc>
          <w:tcPr>
            <w:tcW w:w="2129" w:type="dxa"/>
            <w:vAlign w:val="bottom"/>
          </w:tcPr>
          <w:p w14:paraId="31DD3D72" w14:textId="6647A5F3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aspa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× </w:t>
            </w:r>
            <w:r w:rsidRPr="000633A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ttika</w:t>
            </w:r>
          </w:p>
        </w:tc>
        <w:tc>
          <w:tcPr>
            <w:tcW w:w="1750" w:type="dxa"/>
            <w:vAlign w:val="bottom"/>
          </w:tcPr>
          <w:p w14:paraId="0F8B1C14" w14:textId="2271D619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0.325</w:t>
            </w:r>
          </w:p>
        </w:tc>
        <w:tc>
          <w:tcPr>
            <w:tcW w:w="1650" w:type="dxa"/>
            <w:vAlign w:val="bottom"/>
          </w:tcPr>
          <w:p w14:paraId="66C0F7B1" w14:textId="5AC6E2F6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0.225</w:t>
            </w:r>
          </w:p>
        </w:tc>
        <w:tc>
          <w:tcPr>
            <w:tcW w:w="1701" w:type="dxa"/>
            <w:vAlign w:val="bottom"/>
          </w:tcPr>
          <w:p w14:paraId="3F0F73A5" w14:textId="19582FDD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4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</w:tr>
      <w:tr w:rsidR="000633A1" w:rsidRPr="00287B7B" w14:paraId="098DD413" w14:textId="77777777" w:rsidTr="00620D5D">
        <w:tc>
          <w:tcPr>
            <w:tcW w:w="2129" w:type="dxa"/>
            <w:tcBorders>
              <w:bottom w:val="single" w:sz="4" w:space="0" w:color="auto"/>
            </w:tcBorders>
            <w:vAlign w:val="bottom"/>
          </w:tcPr>
          <w:p w14:paraId="71A6BABF" w14:textId="226123E9" w:rsidR="000633A1" w:rsidRPr="000633A1" w:rsidRDefault="000633A1" w:rsidP="000633A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aspa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× </w:t>
            </w:r>
            <w:proofErr w:type="spellStart"/>
            <w:r w:rsidRPr="000633A1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sard</w:t>
            </w:r>
            <w:proofErr w:type="spellEnd"/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14:paraId="24571C3D" w14:textId="30E71092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0.385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bottom"/>
          </w:tcPr>
          <w:p w14:paraId="3CE30489" w14:textId="2B737932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0.252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EABB58B" w14:textId="673102CE" w:rsidR="000633A1" w:rsidRPr="000633A1" w:rsidRDefault="000633A1" w:rsidP="000633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33A1">
              <w:rPr>
                <w:rFonts w:ascii="Times New Roman" w:hAnsi="Times New Roman" w:cs="Times New Roman"/>
                <w:color w:val="000000"/>
              </w:rPr>
              <w:t>4</w:t>
            </w:r>
            <w:r w:rsidR="003C59B0">
              <w:rPr>
                <w:rFonts w:ascii="Times New Roman" w:hAnsi="Times New Roman" w:cs="Times New Roman"/>
                <w:color w:val="000000"/>
              </w:rPr>
              <w:t>,</w:t>
            </w:r>
            <w:r w:rsidRPr="000633A1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</w:tr>
    </w:tbl>
    <w:p w14:paraId="7E72FE1D" w14:textId="01539835" w:rsidR="00F94333" w:rsidRDefault="00F94333" w:rsidP="00620D5D">
      <w:pPr>
        <w:spacing w:before="120" w:after="0" w:line="240" w:lineRule="auto"/>
        <w:ind w:righ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287B7B">
        <w:rPr>
          <w:rFonts w:ascii="Times New Roman" w:hAnsi="Times New Roman" w:cs="Times New Roman"/>
          <w:vertAlign w:val="superscript"/>
        </w:rPr>
        <w:t>a</w:t>
      </w:r>
      <w:proofErr w:type="spellEnd"/>
      <w:proofErr w:type="gramEnd"/>
      <w:r w:rsidRPr="00287B7B">
        <w:rPr>
          <w:rFonts w:ascii="Times New Roman" w:hAnsi="Times New Roman" w:cs="Times New Roman"/>
        </w:rPr>
        <w:t xml:space="preserve"> </w:t>
      </w:r>
      <w:r w:rsidR="00620D5D">
        <w:rPr>
          <w:rFonts w:ascii="Times New Roman" w:hAnsi="Times New Roman" w:cs="Times New Roman"/>
        </w:rPr>
        <w:t xml:space="preserve">According to the Ridge Regression BLUP model using </w:t>
      </w:r>
      <w:r w:rsidR="00620D5D" w:rsidRPr="00D45322">
        <w:rPr>
          <w:rFonts w:ascii="Times New Roman" w:hAnsi="Times New Roman" w:cs="Times New Roman"/>
        </w:rPr>
        <w:t>data of 144 pea inbred lines</w:t>
      </w:r>
      <w:r w:rsidR="00620D5D">
        <w:rPr>
          <w:rFonts w:ascii="Times New Roman" w:hAnsi="Times New Roman" w:cs="Times New Roman"/>
        </w:rPr>
        <w:t xml:space="preserve">; values averaged across 50 repetitions of five-fold stratified cross validations applied to each population. </w:t>
      </w:r>
    </w:p>
    <w:p w14:paraId="7F02D023" w14:textId="77777777" w:rsidR="00620D5D" w:rsidRPr="00287B7B" w:rsidRDefault="00620D5D" w:rsidP="00620D5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620D5D" w:rsidRPr="00287B7B" w:rsidSect="006A795F">
      <w:pgSz w:w="11906" w:h="16838"/>
      <w:pgMar w:top="1417" w:right="42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BC"/>
    <w:rsid w:val="000633A1"/>
    <w:rsid w:val="000C01A8"/>
    <w:rsid w:val="00123174"/>
    <w:rsid w:val="0013713A"/>
    <w:rsid w:val="001F1C12"/>
    <w:rsid w:val="00285843"/>
    <w:rsid w:val="00287B7B"/>
    <w:rsid w:val="003C59B0"/>
    <w:rsid w:val="003D5BBC"/>
    <w:rsid w:val="004D19A5"/>
    <w:rsid w:val="005F31C7"/>
    <w:rsid w:val="00620D5D"/>
    <w:rsid w:val="0064754A"/>
    <w:rsid w:val="006A795F"/>
    <w:rsid w:val="006C1088"/>
    <w:rsid w:val="007F6307"/>
    <w:rsid w:val="00842BC6"/>
    <w:rsid w:val="008C7D6C"/>
    <w:rsid w:val="00A14DC9"/>
    <w:rsid w:val="00B37BB7"/>
    <w:rsid w:val="00B40B8E"/>
    <w:rsid w:val="00B930C7"/>
    <w:rsid w:val="00BC4211"/>
    <w:rsid w:val="00C5726A"/>
    <w:rsid w:val="00CB02E5"/>
    <w:rsid w:val="00CC7BA4"/>
    <w:rsid w:val="00CF6B09"/>
    <w:rsid w:val="00D61839"/>
    <w:rsid w:val="00D87A9D"/>
    <w:rsid w:val="00D9186C"/>
    <w:rsid w:val="00E72F72"/>
    <w:rsid w:val="00F209DD"/>
    <w:rsid w:val="00F9433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853"/>
  <w15:chartTrackingRefBased/>
  <w15:docId w15:val="{386BEAD7-5782-4F79-A357-1937B67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7B51-4FAF-4D06-9720-FF37CF8F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Annicchiarico</dc:creator>
  <cp:keywords/>
  <dc:description/>
  <cp:lastModifiedBy>Paolo Annicchiarico</cp:lastModifiedBy>
  <cp:revision>5</cp:revision>
  <cp:lastPrinted>2021-06-09T10:21:00Z</cp:lastPrinted>
  <dcterms:created xsi:type="dcterms:W3CDTF">2021-06-15T10:39:00Z</dcterms:created>
  <dcterms:modified xsi:type="dcterms:W3CDTF">2021-06-15T12:21:00Z</dcterms:modified>
</cp:coreProperties>
</file>