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8073383" w:rsidR="00654E8F" w:rsidRDefault="00654E8F" w:rsidP="0001436A">
      <w:pPr>
        <w:pStyle w:val="SupplementaryMaterial"/>
      </w:pPr>
      <w:r w:rsidRPr="001549D3">
        <w:t>Supplementary Material</w:t>
      </w:r>
    </w:p>
    <w:p w14:paraId="47501396" w14:textId="77777777" w:rsidR="00661E5D" w:rsidRPr="00661E5D" w:rsidRDefault="00661E5D" w:rsidP="00661E5D">
      <w:pPr>
        <w:pStyle w:val="Titel"/>
      </w:pPr>
    </w:p>
    <w:p w14:paraId="3A7F6D12" w14:textId="3F572CB6" w:rsidR="00C26AD1" w:rsidRDefault="00654E8F" w:rsidP="00874055">
      <w:pPr>
        <w:pStyle w:val="berschrift1"/>
        <w:jc w:val="both"/>
      </w:pPr>
      <w:r w:rsidRPr="00994A3D">
        <w:t xml:space="preserve">Supplementary Figures </w:t>
      </w:r>
    </w:p>
    <w:p w14:paraId="1C8D6923" w14:textId="77777777" w:rsidR="00661E5D" w:rsidRDefault="00C26AD1" w:rsidP="00AC5BC1">
      <w:pPr>
        <w:pStyle w:val="Beschriftung"/>
        <w:rPr>
          <w:bCs w:val="0"/>
        </w:rPr>
      </w:pPr>
      <w:r>
        <w:rPr>
          <w:noProof/>
        </w:rPr>
        <w:drawing>
          <wp:inline distT="0" distB="0" distL="0" distR="0" wp14:anchorId="15B435CB" wp14:editId="3D807846">
            <wp:extent cx="5752463" cy="2872740"/>
            <wp:effectExtent l="0" t="0" r="635" b="381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463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4945FADE" w14:textId="12713866" w:rsidR="00C26AD1" w:rsidRDefault="00C26AD1" w:rsidP="00AC5BC1">
      <w:pPr>
        <w:pStyle w:val="Beschriftung"/>
        <w:rPr>
          <w:b w:val="0"/>
          <w:bCs w:val="0"/>
        </w:rPr>
      </w:pPr>
      <w:r w:rsidRPr="000B799B">
        <w:rPr>
          <w:bCs w:val="0"/>
        </w:rPr>
        <w:t>Supplementary Figure 1:</w:t>
      </w:r>
      <w:r w:rsidRPr="481D16C8">
        <w:rPr>
          <w:rStyle w:val="berschrift3Zchn"/>
          <w:i/>
        </w:rPr>
        <w:t xml:space="preserve"> </w:t>
      </w:r>
      <w:r w:rsidRPr="00EE5289">
        <w:rPr>
          <w:bCs w:val="0"/>
        </w:rPr>
        <w:t>Coupling efficiency determination by NMR</w:t>
      </w:r>
      <w:r w:rsidRPr="00EE5289">
        <w:rPr>
          <w:b w:val="0"/>
          <w:bCs w:val="0"/>
        </w:rPr>
        <w:t xml:space="preserve"> by comparing the integrals of the ligand’s aromatic signals (7.4-7.8 ppm) to the integral of an internal standard (DSS, ~0 ppm). For experimental details see Methods section below.</w:t>
      </w:r>
    </w:p>
    <w:p w14:paraId="4C667A5E" w14:textId="77777777" w:rsidR="00661E5D" w:rsidRPr="00661E5D" w:rsidRDefault="00661E5D" w:rsidP="00661E5D">
      <w:pPr>
        <w:pStyle w:val="KeinLeerraum"/>
      </w:pPr>
    </w:p>
    <w:p w14:paraId="1AFF24C4" w14:textId="223B233A" w:rsidR="00AC5BC1" w:rsidRDefault="00AC5BC1" w:rsidP="00C26AD1">
      <w:pPr>
        <w:jc w:val="both"/>
        <w:rPr>
          <w:rFonts w:cs="Times New Roman"/>
          <w:b/>
          <w:szCs w:val="24"/>
        </w:rPr>
      </w:pPr>
      <w:bookmarkStart w:id="0" w:name="_Toc64617993"/>
      <w:r w:rsidRPr="00AC5BC1">
        <w:rPr>
          <w:rFonts w:cs="Times New Roman"/>
          <w:b/>
          <w:noProof/>
          <w:szCs w:val="24"/>
        </w:rPr>
        <w:lastRenderedPageBreak/>
        <w:drawing>
          <wp:inline distT="0" distB="0" distL="0" distR="0" wp14:anchorId="51C33745" wp14:editId="28F9C22F">
            <wp:extent cx="6175109" cy="3538116"/>
            <wp:effectExtent l="0" t="0" r="0" b="5715"/>
            <wp:docPr id="6" name="Grafik 1">
              <a:extLst xmlns:a="http://schemas.openxmlformats.org/drawingml/2006/main">
                <a:ext uri="{FF2B5EF4-FFF2-40B4-BE49-F238E27FC236}">
                  <a16:creationId xmlns:a16="http://schemas.microsoft.com/office/drawing/2014/main" id="{0A3C259F-0D60-40F8-AB0C-6A7723A082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1">
                      <a:extLst>
                        <a:ext uri="{FF2B5EF4-FFF2-40B4-BE49-F238E27FC236}">
                          <a16:creationId xmlns:a16="http://schemas.microsoft.com/office/drawing/2014/main" id="{0A3C259F-0D60-40F8-AB0C-6A7723A082B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1737" cy="3541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5FF37" w14:textId="572D7603" w:rsidR="00C26AD1" w:rsidRPr="00857C77" w:rsidRDefault="00C26AD1" w:rsidP="00C26AD1">
      <w:pPr>
        <w:jc w:val="both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</w:t>
      </w:r>
      <w:r w:rsidRPr="000736E0">
        <w:rPr>
          <w:rStyle w:val="berschrift3Zchn"/>
        </w:rPr>
        <w:t>Figure</w:t>
      </w:r>
      <w:r w:rsidR="00186DCB">
        <w:rPr>
          <w:rStyle w:val="berschrift3Zchn"/>
        </w:rPr>
        <w:t xml:space="preserve"> </w:t>
      </w:r>
      <w:r>
        <w:rPr>
          <w:rStyle w:val="berschrift3Zchn"/>
        </w:rPr>
        <w:t>2</w:t>
      </w:r>
      <w:r w:rsidRPr="000736E0">
        <w:rPr>
          <w:rStyle w:val="berschrift3Zchn"/>
        </w:rPr>
        <w:t>: Analysis of epidermal cell suspensions generated from human skin explants</w:t>
      </w:r>
      <w:r>
        <w:rPr>
          <w:rStyle w:val="berschrift3Zchn"/>
        </w:rPr>
        <w:t>.</w:t>
      </w:r>
      <w:bookmarkEnd w:id="0"/>
      <w:r>
        <w:rPr>
          <w:i/>
          <w:iCs/>
          <w:sz w:val="18"/>
          <w:szCs w:val="18"/>
        </w:rPr>
        <w:t xml:space="preserve"> </w:t>
      </w:r>
      <w:r w:rsidRPr="00186DCB">
        <w:rPr>
          <w:rFonts w:cs="Times New Roman"/>
          <w:szCs w:val="24"/>
        </w:rPr>
        <w:t>LCs were identified as single, live, CD45</w:t>
      </w:r>
      <w:r w:rsidRPr="00A87A2D">
        <w:rPr>
          <w:rFonts w:cs="Times New Roman"/>
          <w:szCs w:val="24"/>
          <w:vertAlign w:val="superscript"/>
        </w:rPr>
        <w:t>+</w:t>
      </w:r>
      <w:r w:rsidRPr="00186DCB">
        <w:rPr>
          <w:rFonts w:cs="Times New Roman"/>
          <w:szCs w:val="24"/>
        </w:rPr>
        <w:t>, HLA-DR</w:t>
      </w:r>
      <w:r w:rsidRPr="00A87A2D">
        <w:rPr>
          <w:rFonts w:cs="Times New Roman"/>
          <w:szCs w:val="24"/>
          <w:vertAlign w:val="superscript"/>
        </w:rPr>
        <w:t>+</w:t>
      </w:r>
      <w:r w:rsidRPr="00186DCB">
        <w:rPr>
          <w:rFonts w:cs="Times New Roman"/>
          <w:szCs w:val="24"/>
        </w:rPr>
        <w:t>, CD1a</w:t>
      </w:r>
      <w:r w:rsidRPr="00A87A2D">
        <w:rPr>
          <w:rFonts w:cs="Times New Roman"/>
          <w:szCs w:val="24"/>
          <w:vertAlign w:val="superscript"/>
        </w:rPr>
        <w:t>+</w:t>
      </w:r>
      <w:r w:rsidRPr="00186DCB">
        <w:rPr>
          <w:rFonts w:cs="Times New Roman"/>
          <w:szCs w:val="24"/>
        </w:rPr>
        <w:t>, Langerin</w:t>
      </w:r>
      <w:r w:rsidRPr="00A87A2D">
        <w:rPr>
          <w:rFonts w:cs="Times New Roman"/>
          <w:szCs w:val="24"/>
          <w:vertAlign w:val="superscript"/>
        </w:rPr>
        <w:t>+</w:t>
      </w:r>
      <w:r w:rsidRPr="00186DCB">
        <w:rPr>
          <w:rFonts w:cs="Times New Roman"/>
          <w:szCs w:val="24"/>
        </w:rPr>
        <w:t xml:space="preserve"> epidermal cells. </w:t>
      </w:r>
      <w:r w:rsidRPr="00DC238D">
        <w:rPr>
          <w:rFonts w:cs="Times New Roman"/>
          <w:b/>
          <w:bCs/>
          <w:szCs w:val="24"/>
        </w:rPr>
        <w:t>a)</w:t>
      </w:r>
      <w:r w:rsidRPr="00186DCB">
        <w:rPr>
          <w:rFonts w:cs="Times New Roman"/>
          <w:szCs w:val="24"/>
        </w:rPr>
        <w:t xml:space="preserve"> targeted GFP, </w:t>
      </w:r>
      <w:r w:rsidRPr="00DC238D">
        <w:rPr>
          <w:rFonts w:cs="Times New Roman"/>
          <w:b/>
          <w:bCs/>
          <w:szCs w:val="24"/>
        </w:rPr>
        <w:t>b)</w:t>
      </w:r>
      <w:r w:rsidRPr="00186DCB">
        <w:rPr>
          <w:rFonts w:cs="Times New Roman"/>
          <w:szCs w:val="24"/>
        </w:rPr>
        <w:t xml:space="preserve"> non-targeted GFP, </w:t>
      </w:r>
      <w:r w:rsidR="00DC238D" w:rsidRPr="00DC238D">
        <w:rPr>
          <w:rFonts w:cs="Times New Roman"/>
          <w:b/>
          <w:bCs/>
          <w:szCs w:val="24"/>
        </w:rPr>
        <w:t>c)</w:t>
      </w:r>
      <w:r w:rsidR="00DC238D">
        <w:rPr>
          <w:rFonts w:cs="Times New Roman"/>
          <w:szCs w:val="24"/>
        </w:rPr>
        <w:t xml:space="preserve"> </w:t>
      </w:r>
      <w:r w:rsidRPr="00186DCB">
        <w:rPr>
          <w:rFonts w:cs="Times New Roman"/>
          <w:szCs w:val="24"/>
        </w:rPr>
        <w:t>buffer control.</w:t>
      </w:r>
    </w:p>
    <w:p w14:paraId="1FAC99A2" w14:textId="776B80D6" w:rsidR="00C26AD1" w:rsidRPr="00CC0024" w:rsidRDefault="00F2288A" w:rsidP="00C26AD1">
      <w:pPr>
        <w:jc w:val="both"/>
        <w:rPr>
          <w:i/>
          <w:iCs/>
          <w:color w:val="404040" w:themeColor="text1" w:themeTint="BF"/>
          <w:sz w:val="18"/>
        </w:rPr>
      </w:pPr>
      <w:r w:rsidRPr="00F2288A">
        <w:rPr>
          <w:i/>
          <w:iCs/>
          <w:color w:val="404040" w:themeColor="text1" w:themeTint="BF"/>
          <w:sz w:val="18"/>
        </w:rPr>
        <w:drawing>
          <wp:inline distT="0" distB="0" distL="0" distR="0" wp14:anchorId="723A93BD" wp14:editId="4C42BF8E">
            <wp:extent cx="4291584" cy="2791968"/>
            <wp:effectExtent l="0" t="0" r="0" b="8890"/>
            <wp:docPr id="3" name="Grafik 1">
              <a:extLst xmlns:a="http://schemas.openxmlformats.org/drawingml/2006/main">
                <a:ext uri="{FF2B5EF4-FFF2-40B4-BE49-F238E27FC236}">
                  <a16:creationId xmlns:a16="http://schemas.microsoft.com/office/drawing/2014/main" id="{ED3C7DB8-9EB5-4B99-9DEF-A0755C751E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1">
                      <a:extLst>
                        <a:ext uri="{FF2B5EF4-FFF2-40B4-BE49-F238E27FC236}">
                          <a16:creationId xmlns:a16="http://schemas.microsoft.com/office/drawing/2014/main" id="{ED3C7DB8-9EB5-4B99-9DEF-A0755C751E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91584" cy="2791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7807D" w14:textId="33B0C34C" w:rsidR="00C26AD1" w:rsidRPr="00186DCB" w:rsidRDefault="000B799B" w:rsidP="00C26AD1">
      <w:pPr>
        <w:jc w:val="both"/>
        <w:rPr>
          <w:rFonts w:cs="Times New Roman"/>
          <w:szCs w:val="24"/>
        </w:rPr>
      </w:pPr>
      <w:bookmarkStart w:id="1" w:name="_Toc64617994"/>
      <w:r w:rsidRPr="0001436A">
        <w:rPr>
          <w:rFonts w:cs="Times New Roman"/>
          <w:b/>
          <w:szCs w:val="24"/>
        </w:rPr>
        <w:t xml:space="preserve">Supplementary </w:t>
      </w:r>
      <w:r w:rsidR="00C26AD1" w:rsidRPr="56CC2268">
        <w:rPr>
          <w:rStyle w:val="berschrift3Zchn"/>
        </w:rPr>
        <w:t xml:space="preserve">Figure 3: Analysis of epidermal cell suspensions generated from human skin explants after injection with </w:t>
      </w:r>
      <w:proofErr w:type="spellStart"/>
      <w:r w:rsidR="00C26AD1" w:rsidRPr="56CC2268">
        <w:rPr>
          <w:rStyle w:val="berschrift3Zchn"/>
        </w:rPr>
        <w:t>NanoPass</w:t>
      </w:r>
      <w:proofErr w:type="spellEnd"/>
      <w:r w:rsidR="00C26AD1" w:rsidRPr="56CC2268">
        <w:rPr>
          <w:rStyle w:val="berschrift3Zchn"/>
        </w:rPr>
        <w:t xml:space="preserve"> microneedle devices and incubation for 1h at RT</w:t>
      </w:r>
      <w:r w:rsidR="00C26AD1" w:rsidRPr="00DC238D">
        <w:rPr>
          <w:rStyle w:val="berschrift3Zchn"/>
        </w:rPr>
        <w:t>.</w:t>
      </w:r>
      <w:bookmarkEnd w:id="1"/>
      <w:r w:rsidR="00C26AD1" w:rsidRPr="00DC238D">
        <w:rPr>
          <w:i/>
          <w:iCs/>
          <w:sz w:val="18"/>
          <w:szCs w:val="18"/>
        </w:rPr>
        <w:t xml:space="preserve"> </w:t>
      </w:r>
      <w:r w:rsidR="00C26AD1" w:rsidRPr="00DC238D">
        <w:rPr>
          <w:rFonts w:cs="Times New Roman"/>
          <w:b/>
          <w:bCs/>
          <w:szCs w:val="24"/>
        </w:rPr>
        <w:t>a)</w:t>
      </w:r>
      <w:r w:rsidR="00C26AD1" w:rsidRPr="00186DCB">
        <w:rPr>
          <w:rFonts w:cs="Times New Roman"/>
          <w:szCs w:val="24"/>
        </w:rPr>
        <w:t xml:space="preserve"> LCs were identified as single, live, Langerin</w:t>
      </w:r>
      <w:r w:rsidR="00C26AD1" w:rsidRPr="00A87A2D">
        <w:rPr>
          <w:rFonts w:cs="Times New Roman"/>
          <w:szCs w:val="24"/>
          <w:vertAlign w:val="superscript"/>
        </w:rPr>
        <w:t>+</w:t>
      </w:r>
      <w:r w:rsidR="00C26AD1" w:rsidRPr="00186DCB">
        <w:rPr>
          <w:rFonts w:cs="Times New Roman"/>
          <w:szCs w:val="24"/>
        </w:rPr>
        <w:t xml:space="preserve"> epidermal cells. </w:t>
      </w:r>
      <w:r w:rsidR="00C26AD1" w:rsidRPr="00DC238D">
        <w:rPr>
          <w:rFonts w:cs="Times New Roman"/>
          <w:b/>
          <w:bCs/>
          <w:szCs w:val="24"/>
        </w:rPr>
        <w:t>b)</w:t>
      </w:r>
      <w:r w:rsidR="00C26AD1" w:rsidRPr="00186DCB">
        <w:rPr>
          <w:rFonts w:cs="Times New Roman"/>
          <w:szCs w:val="24"/>
        </w:rPr>
        <w:t xml:space="preserve"> uptake of t-GFP by LCs compared to PBS buffer control. Pre-gating: single, live cells. </w:t>
      </w:r>
      <w:r w:rsidR="00C26AD1" w:rsidRPr="00DC238D">
        <w:rPr>
          <w:rFonts w:cs="Times New Roman"/>
          <w:b/>
          <w:bCs/>
          <w:szCs w:val="24"/>
        </w:rPr>
        <w:t>c)</w:t>
      </w:r>
      <w:r w:rsidR="00C26AD1" w:rsidRPr="00186DCB">
        <w:rPr>
          <w:rFonts w:cs="Times New Roman"/>
          <w:szCs w:val="24"/>
        </w:rPr>
        <w:t xml:space="preserve"> Photography of </w:t>
      </w:r>
      <w:proofErr w:type="spellStart"/>
      <w:r w:rsidR="00C26AD1" w:rsidRPr="00186DCB">
        <w:rPr>
          <w:rFonts w:cs="Times New Roman"/>
          <w:szCs w:val="24"/>
        </w:rPr>
        <w:t>NanoPass</w:t>
      </w:r>
      <w:proofErr w:type="spellEnd"/>
      <w:r w:rsidR="00C26AD1" w:rsidRPr="00186DCB">
        <w:rPr>
          <w:rFonts w:cs="Times New Roman"/>
          <w:szCs w:val="24"/>
        </w:rPr>
        <w:t xml:space="preserve"> Micron Jet600 syringe tips with silicon crystal microneedles (600 </w:t>
      </w:r>
      <w:r w:rsidR="00083CC6">
        <w:rPr>
          <w:rFonts w:cs="Times New Roman"/>
          <w:szCs w:val="24"/>
        </w:rPr>
        <w:t>µ</w:t>
      </w:r>
      <w:r w:rsidR="00C26AD1" w:rsidRPr="00186DCB">
        <w:rPr>
          <w:rFonts w:cs="Times New Roman"/>
          <w:szCs w:val="24"/>
        </w:rPr>
        <w:t>m in length).</w:t>
      </w:r>
    </w:p>
    <w:p w14:paraId="018A40DD" w14:textId="73FA7626" w:rsidR="00C26AD1" w:rsidRDefault="00661E5D" w:rsidP="00C26AD1">
      <w:pPr>
        <w:jc w:val="both"/>
      </w:pPr>
      <w:r w:rsidRPr="00661E5D">
        <w:rPr>
          <w:noProof/>
        </w:rPr>
        <w:lastRenderedPageBreak/>
        <w:t xml:space="preserve"> </w:t>
      </w:r>
      <w:r w:rsidR="00921EBD" w:rsidRPr="00921EBD">
        <w:rPr>
          <w:noProof/>
        </w:rPr>
        <w:drawing>
          <wp:inline distT="0" distB="0" distL="0" distR="0" wp14:anchorId="6A937854" wp14:editId="367C1757">
            <wp:extent cx="6048756" cy="6260592"/>
            <wp:effectExtent l="0" t="0" r="9525" b="6985"/>
            <wp:docPr id="4" name="Grafik 3">
              <a:extLst xmlns:a="http://schemas.openxmlformats.org/drawingml/2006/main">
                <a:ext uri="{FF2B5EF4-FFF2-40B4-BE49-F238E27FC236}">
                  <a16:creationId xmlns:a16="http://schemas.microsoft.com/office/drawing/2014/main" id="{EDA6080F-4A98-4296-A7C8-2F2F765953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>
                      <a:extLst>
                        <a:ext uri="{FF2B5EF4-FFF2-40B4-BE49-F238E27FC236}">
                          <a16:creationId xmlns:a16="http://schemas.microsoft.com/office/drawing/2014/main" id="{EDA6080F-4A98-4296-A7C8-2F2F765953A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48756" cy="6260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D9672" w14:textId="1D44E43C" w:rsidR="00C26AD1" w:rsidRDefault="00C26AD1" w:rsidP="00C26AD1">
      <w:pPr>
        <w:jc w:val="both"/>
        <w:rPr>
          <w:rStyle w:val="SchwacheHervorhebung"/>
        </w:rPr>
      </w:pPr>
      <w:bookmarkStart w:id="2" w:name="_Toc64617995"/>
      <w:r w:rsidRPr="0001436A">
        <w:rPr>
          <w:rFonts w:cs="Times New Roman"/>
          <w:b/>
          <w:szCs w:val="24"/>
        </w:rPr>
        <w:t xml:space="preserve">Supplementary </w:t>
      </w:r>
      <w:r w:rsidRPr="000736E0">
        <w:rPr>
          <w:rStyle w:val="berschrift3Zchn"/>
        </w:rPr>
        <w:t xml:space="preserve">Figure </w:t>
      </w:r>
      <w:r>
        <w:rPr>
          <w:rStyle w:val="berschrift3Zchn"/>
        </w:rPr>
        <w:t>4</w:t>
      </w:r>
      <w:r w:rsidRPr="000736E0">
        <w:rPr>
          <w:rStyle w:val="berschrift3Zchn"/>
        </w:rPr>
        <w:t xml:space="preserve">: Characterization of </w:t>
      </w:r>
      <w:r>
        <w:rPr>
          <w:rStyle w:val="berschrift3Zchn"/>
        </w:rPr>
        <w:t xml:space="preserve">emigrated skin DCs from </w:t>
      </w:r>
      <w:r w:rsidRPr="000736E0">
        <w:rPr>
          <w:rStyle w:val="berschrift3Zchn"/>
        </w:rPr>
        <w:t>skin explant</w:t>
      </w:r>
      <w:r>
        <w:rPr>
          <w:rStyle w:val="berschrift3Zchn"/>
        </w:rPr>
        <w:t xml:space="preserve"> cultures</w:t>
      </w:r>
      <w:bookmarkEnd w:id="2"/>
      <w:r>
        <w:rPr>
          <w:rStyle w:val="SchwacheHervorhebung"/>
        </w:rPr>
        <w:t xml:space="preserve"> </w:t>
      </w:r>
      <w:r w:rsidRPr="00EA35D7">
        <w:rPr>
          <w:rFonts w:cs="Times New Roman"/>
          <w:szCs w:val="24"/>
        </w:rPr>
        <w:t xml:space="preserve">collected 4 days after injections of </w:t>
      </w:r>
      <w:r w:rsidRPr="00EA35D7">
        <w:rPr>
          <w:rFonts w:cs="Times New Roman"/>
          <w:b/>
          <w:bCs/>
          <w:szCs w:val="24"/>
        </w:rPr>
        <w:t>a)</w:t>
      </w:r>
      <w:r w:rsidRPr="00EA35D7">
        <w:rPr>
          <w:rFonts w:cs="Times New Roman"/>
          <w:szCs w:val="24"/>
        </w:rPr>
        <w:t xml:space="preserve"> targeted GFP, </w:t>
      </w:r>
      <w:r w:rsidRPr="00EA35D7">
        <w:rPr>
          <w:rFonts w:cs="Times New Roman"/>
          <w:b/>
          <w:bCs/>
          <w:szCs w:val="24"/>
        </w:rPr>
        <w:t>b)</w:t>
      </w:r>
      <w:r w:rsidRPr="00EA35D7">
        <w:rPr>
          <w:rFonts w:cs="Times New Roman"/>
          <w:szCs w:val="24"/>
        </w:rPr>
        <w:t xml:space="preserve"> non-targeted GFP and </w:t>
      </w:r>
      <w:r w:rsidRPr="00EA35D7">
        <w:rPr>
          <w:rFonts w:cs="Times New Roman"/>
          <w:b/>
          <w:bCs/>
          <w:szCs w:val="24"/>
        </w:rPr>
        <w:t>c)</w:t>
      </w:r>
      <w:r w:rsidRPr="00EA35D7">
        <w:rPr>
          <w:rFonts w:cs="Times New Roman"/>
          <w:szCs w:val="24"/>
        </w:rPr>
        <w:t xml:space="preserve"> HBSS buffer</w:t>
      </w:r>
      <w:r w:rsidR="00921EBD" w:rsidRPr="00EA35D7">
        <w:rPr>
          <w:rFonts w:cs="Times New Roman"/>
          <w:szCs w:val="24"/>
        </w:rPr>
        <w:t xml:space="preserve"> via </w:t>
      </w:r>
      <w:proofErr w:type="spellStart"/>
      <w:r w:rsidR="000D3D5E" w:rsidRPr="00EA35D7">
        <w:rPr>
          <w:rFonts w:cs="Times New Roman"/>
          <w:szCs w:val="24"/>
        </w:rPr>
        <w:t>NanoPass</w:t>
      </w:r>
      <w:proofErr w:type="spellEnd"/>
      <w:r w:rsidR="000D3D5E" w:rsidRPr="00EA35D7">
        <w:rPr>
          <w:rFonts w:cs="Times New Roman"/>
          <w:szCs w:val="24"/>
        </w:rPr>
        <w:t xml:space="preserve"> or conventional intradermal</w:t>
      </w:r>
      <w:r w:rsidR="00EA35D7" w:rsidRPr="00EA35D7">
        <w:rPr>
          <w:rFonts w:cs="Times New Roman"/>
          <w:szCs w:val="24"/>
        </w:rPr>
        <w:t xml:space="preserve"> needle injection</w:t>
      </w:r>
      <w:r w:rsidRPr="00EA35D7">
        <w:rPr>
          <w:rFonts w:cs="Times New Roman"/>
          <w:szCs w:val="24"/>
        </w:rPr>
        <w:t>. LCs were identified as single, live, CD45</w:t>
      </w:r>
      <w:r w:rsidRPr="00EA35D7">
        <w:rPr>
          <w:rFonts w:cs="Times New Roman"/>
          <w:szCs w:val="24"/>
          <w:vertAlign w:val="superscript"/>
        </w:rPr>
        <w:t>+</w:t>
      </w:r>
      <w:r w:rsidRPr="00EA35D7">
        <w:rPr>
          <w:rFonts w:cs="Times New Roman"/>
          <w:szCs w:val="24"/>
        </w:rPr>
        <w:t>, HLA-DR</w:t>
      </w:r>
      <w:r w:rsidRPr="00EA35D7">
        <w:rPr>
          <w:rFonts w:cs="Times New Roman"/>
          <w:szCs w:val="24"/>
          <w:vertAlign w:val="superscript"/>
        </w:rPr>
        <w:t>+</w:t>
      </w:r>
      <w:r w:rsidRPr="00EA35D7">
        <w:rPr>
          <w:rFonts w:cs="Times New Roman"/>
          <w:szCs w:val="24"/>
        </w:rPr>
        <w:t>, CD14</w:t>
      </w:r>
      <w:r w:rsidRPr="00EA35D7">
        <w:rPr>
          <w:rFonts w:cs="Times New Roman"/>
          <w:szCs w:val="24"/>
          <w:vertAlign w:val="superscript"/>
        </w:rPr>
        <w:t>-</w:t>
      </w:r>
      <w:r w:rsidRPr="00EA35D7">
        <w:rPr>
          <w:rFonts w:cs="Times New Roman"/>
          <w:szCs w:val="24"/>
        </w:rPr>
        <w:t>, CD1a</w:t>
      </w:r>
      <w:r w:rsidRPr="00EA35D7">
        <w:rPr>
          <w:rFonts w:cs="Times New Roman"/>
          <w:szCs w:val="24"/>
          <w:vertAlign w:val="superscript"/>
        </w:rPr>
        <w:t>high</w:t>
      </w:r>
      <w:r w:rsidRPr="00EA35D7">
        <w:rPr>
          <w:rFonts w:cs="Times New Roman"/>
          <w:szCs w:val="24"/>
        </w:rPr>
        <w:t> cells.</w:t>
      </w:r>
    </w:p>
    <w:p w14:paraId="069177F9" w14:textId="77777777" w:rsidR="00C26AD1" w:rsidRDefault="00C26AD1" w:rsidP="00C26AD1">
      <w:pPr>
        <w:jc w:val="both"/>
        <w:rPr>
          <w:rStyle w:val="SchwacheHervorhebung"/>
        </w:rPr>
      </w:pPr>
    </w:p>
    <w:p w14:paraId="3AE196DF" w14:textId="16BBB8FD" w:rsidR="00994A3D" w:rsidRPr="002B4A57" w:rsidRDefault="00994A3D" w:rsidP="002B4A57">
      <w:pPr>
        <w:keepNext/>
        <w:rPr>
          <w:rFonts w:cs="Times New Roman"/>
          <w:b/>
          <w:szCs w:val="24"/>
        </w:rPr>
      </w:pPr>
      <w:r w:rsidRPr="001549D3">
        <w:rPr>
          <w:rFonts w:cs="Times New Roman"/>
          <w:szCs w:val="24"/>
        </w:rPr>
        <w:t xml:space="preserve"> </w:t>
      </w:r>
    </w:p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2"/>
      <w:footerReference w:type="even" r:id="rId13"/>
      <w:footerReference w:type="default" r:id="rId14"/>
      <w:headerReference w:type="first" r:id="rId1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D66B68" w14:textId="77777777" w:rsidR="00EF4257" w:rsidRDefault="00EF4257" w:rsidP="00117666">
      <w:pPr>
        <w:spacing w:after="0"/>
      </w:pPr>
      <w:r>
        <w:separator/>
      </w:r>
    </w:p>
  </w:endnote>
  <w:endnote w:type="continuationSeparator" w:id="0">
    <w:p w14:paraId="25D340DE" w14:textId="77777777" w:rsidR="00EF4257" w:rsidRDefault="00EF4257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E430D2" w14:textId="77777777" w:rsidR="00EF4257" w:rsidRDefault="00EF4257" w:rsidP="00117666">
      <w:pPr>
        <w:spacing w:after="0"/>
      </w:pPr>
      <w:r>
        <w:separator/>
      </w:r>
    </w:p>
  </w:footnote>
  <w:footnote w:type="continuationSeparator" w:id="0">
    <w:p w14:paraId="21C8FF79" w14:textId="77777777" w:rsidR="00EF4257" w:rsidRDefault="00EF4257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berschrift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proofState w:spelling="clean"/>
  <w:attachedTemplate r:id="rId1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083CC6"/>
    <w:rsid w:val="000B799B"/>
    <w:rsid w:val="000D3D5E"/>
    <w:rsid w:val="00100DBA"/>
    <w:rsid w:val="00105FD9"/>
    <w:rsid w:val="00117666"/>
    <w:rsid w:val="001549D3"/>
    <w:rsid w:val="00160065"/>
    <w:rsid w:val="00177D84"/>
    <w:rsid w:val="00186DCB"/>
    <w:rsid w:val="001A01D0"/>
    <w:rsid w:val="00267D18"/>
    <w:rsid w:val="00274347"/>
    <w:rsid w:val="002868E2"/>
    <w:rsid w:val="002869C3"/>
    <w:rsid w:val="002936E4"/>
    <w:rsid w:val="002B4A57"/>
    <w:rsid w:val="002C6DC8"/>
    <w:rsid w:val="002C74CA"/>
    <w:rsid w:val="003123F4"/>
    <w:rsid w:val="00323EFD"/>
    <w:rsid w:val="003544FB"/>
    <w:rsid w:val="003D2F2D"/>
    <w:rsid w:val="003F4701"/>
    <w:rsid w:val="00401590"/>
    <w:rsid w:val="0041168B"/>
    <w:rsid w:val="00417587"/>
    <w:rsid w:val="00447801"/>
    <w:rsid w:val="00452E9C"/>
    <w:rsid w:val="004735C8"/>
    <w:rsid w:val="004947A6"/>
    <w:rsid w:val="004961FF"/>
    <w:rsid w:val="004F419C"/>
    <w:rsid w:val="00517A89"/>
    <w:rsid w:val="005250F2"/>
    <w:rsid w:val="00547C11"/>
    <w:rsid w:val="00593EEA"/>
    <w:rsid w:val="005A5EEE"/>
    <w:rsid w:val="006375C7"/>
    <w:rsid w:val="00654E8F"/>
    <w:rsid w:val="00660D05"/>
    <w:rsid w:val="00661E5D"/>
    <w:rsid w:val="006820B1"/>
    <w:rsid w:val="006B1237"/>
    <w:rsid w:val="006B7D14"/>
    <w:rsid w:val="00701727"/>
    <w:rsid w:val="0070566C"/>
    <w:rsid w:val="00714C50"/>
    <w:rsid w:val="00725A7D"/>
    <w:rsid w:val="007501BE"/>
    <w:rsid w:val="00790BB3"/>
    <w:rsid w:val="007A7831"/>
    <w:rsid w:val="007C206C"/>
    <w:rsid w:val="00811AD7"/>
    <w:rsid w:val="008147D6"/>
    <w:rsid w:val="00817DD6"/>
    <w:rsid w:val="0083759F"/>
    <w:rsid w:val="00857C77"/>
    <w:rsid w:val="00885156"/>
    <w:rsid w:val="009151AA"/>
    <w:rsid w:val="00921EBD"/>
    <w:rsid w:val="00921FE3"/>
    <w:rsid w:val="0093429D"/>
    <w:rsid w:val="00943573"/>
    <w:rsid w:val="00964134"/>
    <w:rsid w:val="00970F7D"/>
    <w:rsid w:val="009865EC"/>
    <w:rsid w:val="00994A3D"/>
    <w:rsid w:val="009C2B12"/>
    <w:rsid w:val="00A174D9"/>
    <w:rsid w:val="00A87A2D"/>
    <w:rsid w:val="00AA4D24"/>
    <w:rsid w:val="00AB6715"/>
    <w:rsid w:val="00AC5BC1"/>
    <w:rsid w:val="00B1671E"/>
    <w:rsid w:val="00B25EB8"/>
    <w:rsid w:val="00B37F4D"/>
    <w:rsid w:val="00B70AB7"/>
    <w:rsid w:val="00C26AD1"/>
    <w:rsid w:val="00C52A7B"/>
    <w:rsid w:val="00C56BAF"/>
    <w:rsid w:val="00C679AA"/>
    <w:rsid w:val="00C75972"/>
    <w:rsid w:val="00C90D8A"/>
    <w:rsid w:val="00CD066B"/>
    <w:rsid w:val="00CE4FEE"/>
    <w:rsid w:val="00D060CF"/>
    <w:rsid w:val="00DB59C3"/>
    <w:rsid w:val="00DC238D"/>
    <w:rsid w:val="00DC259A"/>
    <w:rsid w:val="00DE23E8"/>
    <w:rsid w:val="00DF7F41"/>
    <w:rsid w:val="00E52377"/>
    <w:rsid w:val="00E537AD"/>
    <w:rsid w:val="00E64E17"/>
    <w:rsid w:val="00E6742A"/>
    <w:rsid w:val="00E866C9"/>
    <w:rsid w:val="00E87083"/>
    <w:rsid w:val="00EA35D7"/>
    <w:rsid w:val="00EA3D3C"/>
    <w:rsid w:val="00EC090A"/>
    <w:rsid w:val="00ED20B5"/>
    <w:rsid w:val="00EE5289"/>
    <w:rsid w:val="00EF4257"/>
    <w:rsid w:val="00F2288A"/>
    <w:rsid w:val="00F46900"/>
    <w:rsid w:val="00F56B6F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berschrift1">
    <w:name w:val="heading 1"/>
    <w:basedOn w:val="Listenabsatz"/>
    <w:next w:val="Standard"/>
    <w:link w:val="berschrift1Zchn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berschrift2">
    <w:name w:val="heading 2"/>
    <w:basedOn w:val="berschrift1"/>
    <w:next w:val="Standard"/>
    <w:link w:val="berschrift2Zchn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berschrift3">
    <w:name w:val="heading 3"/>
    <w:basedOn w:val="Standard"/>
    <w:next w:val="Standard"/>
    <w:link w:val="berschrift3Zchn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berschrift4">
    <w:name w:val="heading 4"/>
    <w:basedOn w:val="berschrift3"/>
    <w:next w:val="Standard"/>
    <w:link w:val="berschrift4Zchn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berschrift5">
    <w:name w:val="heading 5"/>
    <w:basedOn w:val="berschrift4"/>
    <w:next w:val="Standard"/>
    <w:link w:val="berschrift5Zchn"/>
    <w:uiPriority w:val="2"/>
    <w:qFormat/>
    <w:rsid w:val="00AB6715"/>
    <w:pPr>
      <w:numPr>
        <w:ilvl w:val="4"/>
      </w:numPr>
      <w:outlineLvl w:val="4"/>
    </w:p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UntertitelZchn">
    <w:name w:val="Untertitel Zchn"/>
    <w:basedOn w:val="Absatz-Standardschriftart"/>
    <w:link w:val="Untertitel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Untertitel"/>
    <w:next w:val="Standard"/>
    <w:uiPriority w:val="1"/>
    <w:qFormat/>
    <w:rsid w:val="00AB671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uchtitel">
    <w:name w:val="Book Title"/>
    <w:basedOn w:val="Absatz-Standardschriftar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Beschriftung">
    <w:name w:val="caption"/>
    <w:basedOn w:val="Standard"/>
    <w:next w:val="KeinLeerraum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KeinLeerraum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B671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B671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B671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Hervorhebung">
    <w:name w:val="Emphasis"/>
    <w:basedOn w:val="Absatz-Standardschriftart"/>
    <w:uiPriority w:val="20"/>
    <w:qFormat/>
    <w:rsid w:val="00AB6715"/>
    <w:rPr>
      <w:rFonts w:ascii="Times New Roman" w:hAnsi="Times New Roman"/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AB6715"/>
    <w:rPr>
      <w:rFonts w:ascii="Times New Roman" w:hAnsi="Times New Roman"/>
      <w:sz w:val="24"/>
    </w:rPr>
  </w:style>
  <w:style w:type="character" w:styleId="Funotenzeichen">
    <w:name w:val="foot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KopfzeileZchn">
    <w:name w:val="Kopfzeile Zchn"/>
    <w:basedOn w:val="Absatz-Standardschriftart"/>
    <w:link w:val="Kopfzeile"/>
    <w:uiPriority w:val="99"/>
    <w:rsid w:val="00AB6715"/>
    <w:rPr>
      <w:rFonts w:ascii="Times New Roman" w:hAnsi="Times New Roman"/>
      <w:b/>
      <w:sz w:val="24"/>
    </w:rPr>
  </w:style>
  <w:style w:type="paragraph" w:styleId="Listenabsatz">
    <w:name w:val="List Paragraph"/>
    <w:basedOn w:val="Standard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Absatz-Standardschriftart"/>
    <w:uiPriority w:val="99"/>
    <w:unhideWhenUsed/>
    <w:rsid w:val="00AB6715"/>
    <w:rPr>
      <w:color w:val="0000FF"/>
      <w:u w:val="single"/>
    </w:rPr>
  </w:style>
  <w:style w:type="character" w:styleId="IntensiveHervorhebung">
    <w:name w:val="Intense Emphasis"/>
    <w:basedOn w:val="Absatz-Standardschriftar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iverVerweis">
    <w:name w:val="Intense Reference"/>
    <w:basedOn w:val="Absatz-Standardschriftart"/>
    <w:uiPriority w:val="32"/>
    <w:qFormat/>
    <w:rsid w:val="00AB6715"/>
    <w:rPr>
      <w:b/>
      <w:bCs/>
      <w:smallCaps/>
      <w:color w:val="auto"/>
      <w:spacing w:val="5"/>
    </w:rPr>
  </w:style>
  <w:style w:type="character" w:styleId="Zeilennummer">
    <w:name w:val="line number"/>
    <w:basedOn w:val="Absatz-Standardschriftart"/>
    <w:uiPriority w:val="99"/>
    <w:semiHidden/>
    <w:unhideWhenUsed/>
    <w:rsid w:val="00AB6715"/>
  </w:style>
  <w:style w:type="character" w:customStyle="1" w:styleId="berschrift3Zchn">
    <w:name w:val="Überschrift 3 Zchn"/>
    <w:basedOn w:val="Absatz-Standardschriftart"/>
    <w:link w:val="berschrift3"/>
    <w:uiPriority w:val="9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Fett">
    <w:name w:val="Strong"/>
    <w:basedOn w:val="Absatz-Standardschriftart"/>
    <w:uiPriority w:val="22"/>
    <w:qFormat/>
    <w:rsid w:val="00AB6715"/>
    <w:rPr>
      <w:rFonts w:ascii="Times New Roman" w:hAnsi="Times New Roman"/>
      <w:b/>
      <w:bCs/>
    </w:rPr>
  </w:style>
  <w:style w:type="character" w:styleId="SchwacheHervorhebung">
    <w:name w:val="Subtle Emphasis"/>
    <w:basedOn w:val="Absatz-Standardschriftar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lenraster">
    <w:name w:val="Table Grid"/>
    <w:basedOn w:val="NormaleTabelle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elZchn">
    <w:name w:val="Titel Zchn"/>
    <w:basedOn w:val="Absatz-Standardschriftart"/>
    <w:link w:val="Titel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el"/>
    <w:next w:val="Titel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3</Pages>
  <Words>179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Mareike Rentzsch</cp:lastModifiedBy>
  <cp:revision>35</cp:revision>
  <cp:lastPrinted>2013-10-03T12:51:00Z</cp:lastPrinted>
  <dcterms:created xsi:type="dcterms:W3CDTF">2021-05-05T12:35:00Z</dcterms:created>
  <dcterms:modified xsi:type="dcterms:W3CDTF">2021-09-28T17:19:00Z</dcterms:modified>
</cp:coreProperties>
</file>