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D059444" w14:textId="77777777" w:rsidR="00994A3D" w:rsidRPr="00994A3D" w:rsidRDefault="00654E8F" w:rsidP="0001436A">
      <w:pPr>
        <w:pStyle w:val="1"/>
      </w:pPr>
      <w:r w:rsidRPr="00994A3D">
        <w:t>Supplementary Figures and Tables</w:t>
      </w:r>
    </w:p>
    <w:p w14:paraId="63D7C2B0" w14:textId="03FA141D" w:rsidR="00994A3D" w:rsidRPr="001549D3" w:rsidRDefault="00994A3D" w:rsidP="0001436A">
      <w:pPr>
        <w:pStyle w:val="2"/>
      </w:pPr>
      <w:bookmarkStart w:id="0" w:name="_Hlk75974372"/>
      <w:r w:rsidRPr="0001436A">
        <w:t>Supplementary</w:t>
      </w:r>
      <w:r w:rsidRPr="001549D3">
        <w:t xml:space="preserve"> </w:t>
      </w:r>
      <w:r w:rsidR="00C678DF">
        <w:t>Table</w:t>
      </w:r>
    </w:p>
    <w:bookmarkEnd w:id="0"/>
    <w:p w14:paraId="59AE42C2" w14:textId="583AC520" w:rsidR="00C678DF" w:rsidRPr="00A7726B" w:rsidRDefault="00C678DF" w:rsidP="00C678DF">
      <w:pPr>
        <w:spacing w:afterLines="20" w:after="48"/>
        <w:rPr>
          <w:rFonts w:eastAsia="宋体" w:cs="Times New Roman"/>
          <w:b/>
          <w:bCs/>
          <w:szCs w:val="21"/>
        </w:rPr>
      </w:pPr>
      <w:r w:rsidRPr="00A7726B">
        <w:rPr>
          <w:rFonts w:eastAsia="宋体" w:cs="Times New Roman"/>
          <w:b/>
          <w:bCs/>
          <w:szCs w:val="21"/>
        </w:rPr>
        <w:t>Supplemental Table S1</w:t>
      </w:r>
      <w:r>
        <w:rPr>
          <w:rFonts w:eastAsia="宋体" w:cs="Times New Roman"/>
          <w:b/>
          <w:bCs/>
          <w:szCs w:val="21"/>
        </w:rPr>
        <w:t>.</w:t>
      </w:r>
      <w:r w:rsidRPr="00A7726B">
        <w:rPr>
          <w:rFonts w:eastAsia="宋体" w:cs="Times New Roman"/>
          <w:b/>
          <w:bCs/>
          <w:szCs w:val="21"/>
        </w:rPr>
        <w:t xml:space="preserve"> Sequences of primers for Actin and sucrose transporter genes for </w:t>
      </w:r>
      <w:proofErr w:type="spellStart"/>
      <w:r w:rsidRPr="00A7726B">
        <w:rPr>
          <w:rFonts w:eastAsia="宋体" w:cs="Times New Roman"/>
          <w:b/>
          <w:bCs/>
          <w:szCs w:val="21"/>
        </w:rPr>
        <w:t>qRT</w:t>
      </w:r>
      <w:proofErr w:type="spellEnd"/>
      <w:r w:rsidRPr="00A7726B">
        <w:rPr>
          <w:rFonts w:eastAsia="宋体" w:cs="Times New Roman"/>
          <w:b/>
          <w:bCs/>
          <w:szCs w:val="21"/>
        </w:rPr>
        <w:t>-PCR.</w:t>
      </w:r>
    </w:p>
    <w:tbl>
      <w:tblPr>
        <w:tblW w:w="8890" w:type="dxa"/>
        <w:jc w:val="center"/>
        <w:tblLook w:val="04A0" w:firstRow="1" w:lastRow="0" w:firstColumn="1" w:lastColumn="0" w:noHBand="0" w:noVBand="1"/>
      </w:tblPr>
      <w:tblGrid>
        <w:gridCol w:w="1270"/>
        <w:gridCol w:w="3830"/>
        <w:gridCol w:w="3790"/>
      </w:tblGrid>
      <w:tr w:rsidR="00C678DF" w:rsidRPr="00A7726B" w14:paraId="16DB67AF" w14:textId="77777777" w:rsidTr="00BA42EC">
        <w:trPr>
          <w:trHeight w:val="280"/>
          <w:jc w:val="center"/>
        </w:trPr>
        <w:tc>
          <w:tcPr>
            <w:tcW w:w="1270" w:type="dxa"/>
            <w:tcBorders>
              <w:top w:val="single" w:sz="8" w:space="0" w:color="auto"/>
              <w:left w:val="nil"/>
              <w:bottom w:val="single" w:sz="8" w:space="0" w:color="auto"/>
              <w:right w:val="nil"/>
            </w:tcBorders>
            <w:shd w:val="clear" w:color="auto" w:fill="auto"/>
            <w:noWrap/>
            <w:vAlign w:val="bottom"/>
            <w:hideMark/>
          </w:tcPr>
          <w:p w14:paraId="0D43F3CE"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Gene</w:t>
            </w:r>
          </w:p>
        </w:tc>
        <w:tc>
          <w:tcPr>
            <w:tcW w:w="3830" w:type="dxa"/>
            <w:tcBorders>
              <w:top w:val="single" w:sz="8" w:space="0" w:color="auto"/>
              <w:left w:val="nil"/>
              <w:bottom w:val="single" w:sz="8" w:space="0" w:color="auto"/>
              <w:right w:val="nil"/>
            </w:tcBorders>
            <w:shd w:val="clear" w:color="auto" w:fill="auto"/>
            <w:noWrap/>
            <w:vAlign w:val="bottom"/>
            <w:hideMark/>
          </w:tcPr>
          <w:p w14:paraId="02ECEBD3"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Forward primer 5′ → 3’</w:t>
            </w:r>
          </w:p>
        </w:tc>
        <w:tc>
          <w:tcPr>
            <w:tcW w:w="3790" w:type="dxa"/>
            <w:tcBorders>
              <w:top w:val="single" w:sz="8" w:space="0" w:color="auto"/>
              <w:left w:val="nil"/>
              <w:bottom w:val="single" w:sz="8" w:space="0" w:color="auto"/>
              <w:right w:val="nil"/>
            </w:tcBorders>
            <w:shd w:val="clear" w:color="auto" w:fill="auto"/>
            <w:noWrap/>
            <w:vAlign w:val="bottom"/>
            <w:hideMark/>
          </w:tcPr>
          <w:p w14:paraId="561FA3CA"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Reverse primer 5′ → 3’</w:t>
            </w:r>
          </w:p>
        </w:tc>
      </w:tr>
      <w:tr w:rsidR="00C678DF" w:rsidRPr="00A7726B" w14:paraId="41A1B554" w14:textId="77777777" w:rsidTr="00BA42EC">
        <w:trPr>
          <w:trHeight w:val="280"/>
          <w:jc w:val="center"/>
        </w:trPr>
        <w:tc>
          <w:tcPr>
            <w:tcW w:w="1270" w:type="dxa"/>
            <w:tcBorders>
              <w:top w:val="single" w:sz="8" w:space="0" w:color="auto"/>
              <w:left w:val="nil"/>
              <w:bottom w:val="nil"/>
              <w:right w:val="nil"/>
            </w:tcBorders>
            <w:shd w:val="clear" w:color="auto" w:fill="auto"/>
            <w:noWrap/>
            <w:vAlign w:val="bottom"/>
            <w:hideMark/>
          </w:tcPr>
          <w:p w14:paraId="7A25733F" w14:textId="77777777" w:rsidR="00C678DF" w:rsidRPr="00A7726B" w:rsidRDefault="00C678DF" w:rsidP="00BA42EC">
            <w:pPr>
              <w:spacing w:afterLines="20" w:after="48"/>
              <w:jc w:val="center"/>
              <w:rPr>
                <w:rFonts w:eastAsia="等线" w:cs="Times New Roman"/>
                <w:i/>
                <w:iCs/>
                <w:color w:val="000000"/>
                <w:szCs w:val="21"/>
              </w:rPr>
            </w:pPr>
            <w:r w:rsidRPr="00A7726B">
              <w:rPr>
                <w:rFonts w:eastAsia="等线" w:cs="Times New Roman"/>
                <w:i/>
                <w:iCs/>
                <w:color w:val="000000"/>
                <w:szCs w:val="21"/>
              </w:rPr>
              <w:t>Actin</w:t>
            </w:r>
          </w:p>
        </w:tc>
        <w:tc>
          <w:tcPr>
            <w:tcW w:w="3830" w:type="dxa"/>
            <w:tcBorders>
              <w:top w:val="single" w:sz="8" w:space="0" w:color="auto"/>
              <w:left w:val="nil"/>
              <w:bottom w:val="nil"/>
              <w:right w:val="nil"/>
            </w:tcBorders>
            <w:shd w:val="clear" w:color="auto" w:fill="auto"/>
            <w:noWrap/>
            <w:vAlign w:val="bottom"/>
            <w:hideMark/>
          </w:tcPr>
          <w:p w14:paraId="09C32D74"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CAATCGTGAGAAGATGACCC</w:t>
            </w:r>
          </w:p>
        </w:tc>
        <w:tc>
          <w:tcPr>
            <w:tcW w:w="3790" w:type="dxa"/>
            <w:tcBorders>
              <w:top w:val="single" w:sz="8" w:space="0" w:color="auto"/>
              <w:left w:val="nil"/>
              <w:bottom w:val="nil"/>
              <w:right w:val="nil"/>
            </w:tcBorders>
            <w:shd w:val="clear" w:color="auto" w:fill="auto"/>
            <w:noWrap/>
            <w:vAlign w:val="bottom"/>
            <w:hideMark/>
          </w:tcPr>
          <w:p w14:paraId="1FB36E78"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GTCCATCAGGAAGCTCGTAGC</w:t>
            </w:r>
          </w:p>
        </w:tc>
      </w:tr>
      <w:tr w:rsidR="00C678DF" w:rsidRPr="00A7726B" w14:paraId="38529F35" w14:textId="77777777" w:rsidTr="00C678DF">
        <w:trPr>
          <w:trHeight w:val="280"/>
          <w:jc w:val="center"/>
        </w:trPr>
        <w:tc>
          <w:tcPr>
            <w:tcW w:w="1270" w:type="dxa"/>
            <w:tcBorders>
              <w:top w:val="nil"/>
              <w:left w:val="nil"/>
              <w:bottom w:val="nil"/>
              <w:right w:val="nil"/>
            </w:tcBorders>
            <w:shd w:val="clear" w:color="auto" w:fill="auto"/>
            <w:noWrap/>
            <w:vAlign w:val="bottom"/>
            <w:hideMark/>
          </w:tcPr>
          <w:p w14:paraId="73B63925" w14:textId="77777777" w:rsidR="00C678DF" w:rsidRPr="00A7726B" w:rsidRDefault="00C678DF" w:rsidP="00BA42EC">
            <w:pPr>
              <w:spacing w:afterLines="20" w:after="48"/>
              <w:jc w:val="center"/>
              <w:rPr>
                <w:rFonts w:eastAsia="等线" w:cs="Times New Roman"/>
                <w:i/>
                <w:iCs/>
                <w:color w:val="000000"/>
                <w:szCs w:val="21"/>
              </w:rPr>
            </w:pPr>
            <w:r w:rsidRPr="00A7726B">
              <w:rPr>
                <w:rFonts w:eastAsia="等线" w:cs="Times New Roman"/>
                <w:i/>
                <w:iCs/>
                <w:color w:val="000000"/>
                <w:szCs w:val="21"/>
              </w:rPr>
              <w:t>OsSUT1</w:t>
            </w:r>
          </w:p>
        </w:tc>
        <w:tc>
          <w:tcPr>
            <w:tcW w:w="3830" w:type="dxa"/>
            <w:tcBorders>
              <w:top w:val="nil"/>
              <w:left w:val="nil"/>
              <w:bottom w:val="nil"/>
              <w:right w:val="nil"/>
            </w:tcBorders>
            <w:shd w:val="clear" w:color="auto" w:fill="auto"/>
            <w:noWrap/>
            <w:vAlign w:val="bottom"/>
            <w:hideMark/>
          </w:tcPr>
          <w:p w14:paraId="30BB3448"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GCTTTCAACCAGGGTGTCAG</w:t>
            </w:r>
          </w:p>
        </w:tc>
        <w:tc>
          <w:tcPr>
            <w:tcW w:w="3790" w:type="dxa"/>
            <w:tcBorders>
              <w:top w:val="nil"/>
              <w:left w:val="nil"/>
              <w:bottom w:val="nil"/>
              <w:right w:val="nil"/>
            </w:tcBorders>
            <w:shd w:val="clear" w:color="auto" w:fill="auto"/>
            <w:noWrap/>
            <w:vAlign w:val="bottom"/>
            <w:hideMark/>
          </w:tcPr>
          <w:p w14:paraId="18D1811B"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ACTTTCCGGCACATTGGTTC</w:t>
            </w:r>
          </w:p>
        </w:tc>
      </w:tr>
      <w:tr w:rsidR="00C678DF" w:rsidRPr="00A7726B" w14:paraId="60C814AF" w14:textId="77777777" w:rsidTr="00C678DF">
        <w:trPr>
          <w:trHeight w:val="280"/>
          <w:jc w:val="center"/>
        </w:trPr>
        <w:tc>
          <w:tcPr>
            <w:tcW w:w="1270" w:type="dxa"/>
            <w:tcBorders>
              <w:top w:val="nil"/>
              <w:left w:val="nil"/>
              <w:bottom w:val="nil"/>
              <w:right w:val="nil"/>
            </w:tcBorders>
            <w:shd w:val="clear" w:color="auto" w:fill="auto"/>
            <w:noWrap/>
            <w:vAlign w:val="bottom"/>
            <w:hideMark/>
          </w:tcPr>
          <w:p w14:paraId="54B28926" w14:textId="77777777" w:rsidR="00C678DF" w:rsidRPr="00A7726B" w:rsidRDefault="00C678DF" w:rsidP="00BA42EC">
            <w:pPr>
              <w:spacing w:afterLines="20" w:after="48"/>
              <w:jc w:val="center"/>
              <w:rPr>
                <w:rFonts w:eastAsia="等线" w:cs="Times New Roman"/>
                <w:i/>
                <w:iCs/>
                <w:color w:val="000000"/>
                <w:szCs w:val="21"/>
              </w:rPr>
            </w:pPr>
            <w:r w:rsidRPr="00A7726B">
              <w:rPr>
                <w:rFonts w:eastAsia="等线" w:cs="Times New Roman"/>
                <w:i/>
                <w:iCs/>
                <w:color w:val="000000"/>
                <w:szCs w:val="21"/>
              </w:rPr>
              <w:t>OsSUT2</w:t>
            </w:r>
          </w:p>
        </w:tc>
        <w:tc>
          <w:tcPr>
            <w:tcW w:w="3830" w:type="dxa"/>
            <w:tcBorders>
              <w:top w:val="nil"/>
              <w:left w:val="nil"/>
              <w:bottom w:val="nil"/>
              <w:right w:val="nil"/>
            </w:tcBorders>
            <w:shd w:val="clear" w:color="auto" w:fill="auto"/>
            <w:noWrap/>
            <w:vAlign w:val="bottom"/>
            <w:hideMark/>
          </w:tcPr>
          <w:p w14:paraId="604448ED"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TCTTTTATCGGTGGGCTGGT</w:t>
            </w:r>
          </w:p>
        </w:tc>
        <w:tc>
          <w:tcPr>
            <w:tcW w:w="3790" w:type="dxa"/>
            <w:tcBorders>
              <w:top w:val="nil"/>
              <w:left w:val="nil"/>
              <w:bottom w:val="nil"/>
              <w:right w:val="nil"/>
            </w:tcBorders>
            <w:shd w:val="clear" w:color="auto" w:fill="auto"/>
            <w:noWrap/>
            <w:vAlign w:val="bottom"/>
            <w:hideMark/>
          </w:tcPr>
          <w:p w14:paraId="36AE88EF"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TTGCAAAGAATGGCCGACAA</w:t>
            </w:r>
          </w:p>
        </w:tc>
      </w:tr>
      <w:tr w:rsidR="00C678DF" w:rsidRPr="00A7726B" w14:paraId="7064A872" w14:textId="77777777" w:rsidTr="00C678DF">
        <w:trPr>
          <w:trHeight w:val="280"/>
          <w:jc w:val="center"/>
        </w:trPr>
        <w:tc>
          <w:tcPr>
            <w:tcW w:w="1270" w:type="dxa"/>
            <w:tcBorders>
              <w:top w:val="nil"/>
              <w:left w:val="nil"/>
              <w:bottom w:val="nil"/>
              <w:right w:val="nil"/>
            </w:tcBorders>
            <w:shd w:val="clear" w:color="auto" w:fill="auto"/>
            <w:noWrap/>
            <w:vAlign w:val="bottom"/>
          </w:tcPr>
          <w:p w14:paraId="76CE71EF" w14:textId="77777777" w:rsidR="00C678DF" w:rsidRPr="00A7726B" w:rsidRDefault="00C678DF" w:rsidP="00BA42EC">
            <w:pPr>
              <w:spacing w:afterLines="20" w:after="48"/>
              <w:jc w:val="center"/>
              <w:rPr>
                <w:rFonts w:eastAsia="等线" w:cs="Times New Roman"/>
                <w:i/>
                <w:iCs/>
                <w:color w:val="000000"/>
                <w:szCs w:val="21"/>
              </w:rPr>
            </w:pPr>
            <w:r w:rsidRPr="00A7726B">
              <w:rPr>
                <w:rFonts w:eastAsia="等线" w:cs="Times New Roman"/>
                <w:i/>
                <w:iCs/>
                <w:color w:val="000000"/>
                <w:szCs w:val="21"/>
              </w:rPr>
              <w:t>OsSUS4</w:t>
            </w:r>
          </w:p>
        </w:tc>
        <w:tc>
          <w:tcPr>
            <w:tcW w:w="3830" w:type="dxa"/>
            <w:tcBorders>
              <w:top w:val="nil"/>
              <w:left w:val="nil"/>
              <w:bottom w:val="nil"/>
              <w:right w:val="nil"/>
            </w:tcBorders>
            <w:shd w:val="clear" w:color="auto" w:fill="auto"/>
            <w:noWrap/>
            <w:vAlign w:val="bottom"/>
          </w:tcPr>
          <w:p w14:paraId="68F5E165"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TCCGTGAACTGGCGAAGACT</w:t>
            </w:r>
          </w:p>
        </w:tc>
        <w:tc>
          <w:tcPr>
            <w:tcW w:w="3790" w:type="dxa"/>
            <w:tcBorders>
              <w:top w:val="nil"/>
              <w:left w:val="nil"/>
              <w:bottom w:val="nil"/>
              <w:right w:val="nil"/>
            </w:tcBorders>
            <w:shd w:val="clear" w:color="auto" w:fill="auto"/>
            <w:noWrap/>
            <w:vAlign w:val="bottom"/>
          </w:tcPr>
          <w:p w14:paraId="3BD4DE65"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CCCAAGTTCGTCACTTGCTG</w:t>
            </w:r>
          </w:p>
        </w:tc>
      </w:tr>
      <w:tr w:rsidR="00C678DF" w:rsidRPr="00A7726B" w14:paraId="2ECA97C6" w14:textId="77777777" w:rsidTr="00C678DF">
        <w:trPr>
          <w:trHeight w:val="280"/>
          <w:jc w:val="center"/>
        </w:trPr>
        <w:tc>
          <w:tcPr>
            <w:tcW w:w="1270" w:type="dxa"/>
            <w:tcBorders>
              <w:top w:val="nil"/>
              <w:left w:val="nil"/>
              <w:bottom w:val="nil"/>
              <w:right w:val="nil"/>
            </w:tcBorders>
            <w:shd w:val="clear" w:color="auto" w:fill="auto"/>
            <w:noWrap/>
            <w:vAlign w:val="bottom"/>
          </w:tcPr>
          <w:p w14:paraId="609F22DC" w14:textId="77777777" w:rsidR="00C678DF" w:rsidRPr="00A7726B" w:rsidRDefault="00C678DF" w:rsidP="00BA42EC">
            <w:pPr>
              <w:spacing w:afterLines="20" w:after="48"/>
              <w:jc w:val="center"/>
              <w:rPr>
                <w:rFonts w:eastAsia="等线" w:cs="Times New Roman"/>
                <w:i/>
                <w:iCs/>
                <w:color w:val="000000"/>
                <w:szCs w:val="21"/>
              </w:rPr>
            </w:pPr>
            <w:r w:rsidRPr="00A7726B">
              <w:rPr>
                <w:rFonts w:eastAsia="等线" w:cs="Times New Roman"/>
                <w:i/>
                <w:iCs/>
                <w:color w:val="000000"/>
                <w:szCs w:val="21"/>
              </w:rPr>
              <w:t>OsAGPL1</w:t>
            </w:r>
          </w:p>
        </w:tc>
        <w:tc>
          <w:tcPr>
            <w:tcW w:w="3830" w:type="dxa"/>
            <w:tcBorders>
              <w:top w:val="nil"/>
              <w:left w:val="nil"/>
              <w:bottom w:val="nil"/>
              <w:right w:val="nil"/>
            </w:tcBorders>
            <w:shd w:val="clear" w:color="auto" w:fill="auto"/>
            <w:noWrap/>
            <w:vAlign w:val="bottom"/>
          </w:tcPr>
          <w:p w14:paraId="54093F17"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GGAAAGGTTCCTATTGGAATCG</w:t>
            </w:r>
          </w:p>
        </w:tc>
        <w:tc>
          <w:tcPr>
            <w:tcW w:w="3790" w:type="dxa"/>
            <w:tcBorders>
              <w:top w:val="nil"/>
              <w:left w:val="nil"/>
              <w:bottom w:val="nil"/>
              <w:right w:val="nil"/>
            </w:tcBorders>
            <w:shd w:val="clear" w:color="auto" w:fill="auto"/>
            <w:noWrap/>
            <w:vAlign w:val="bottom"/>
          </w:tcPr>
          <w:p w14:paraId="01C64826"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GGAGGGCTTTATTCCACCTCAG</w:t>
            </w:r>
          </w:p>
        </w:tc>
      </w:tr>
      <w:tr w:rsidR="00C678DF" w:rsidRPr="00A7726B" w14:paraId="3DF06293" w14:textId="77777777" w:rsidTr="00C678DF">
        <w:trPr>
          <w:trHeight w:val="280"/>
          <w:jc w:val="center"/>
        </w:trPr>
        <w:tc>
          <w:tcPr>
            <w:tcW w:w="1270" w:type="dxa"/>
            <w:tcBorders>
              <w:top w:val="nil"/>
              <w:left w:val="nil"/>
              <w:bottom w:val="nil"/>
              <w:right w:val="nil"/>
            </w:tcBorders>
            <w:shd w:val="clear" w:color="auto" w:fill="auto"/>
            <w:noWrap/>
            <w:vAlign w:val="bottom"/>
          </w:tcPr>
          <w:p w14:paraId="2D2D42BA" w14:textId="77777777" w:rsidR="00C678DF" w:rsidRPr="00A7726B" w:rsidRDefault="00C678DF" w:rsidP="00BA42EC">
            <w:pPr>
              <w:spacing w:afterLines="20" w:after="48"/>
              <w:jc w:val="center"/>
              <w:rPr>
                <w:rFonts w:eastAsia="等线" w:cs="Times New Roman"/>
                <w:i/>
                <w:iCs/>
                <w:color w:val="000000"/>
                <w:szCs w:val="21"/>
              </w:rPr>
            </w:pPr>
            <w:r w:rsidRPr="00A7726B">
              <w:rPr>
                <w:rFonts w:eastAsia="等线" w:cs="Times New Roman"/>
                <w:i/>
                <w:iCs/>
                <w:color w:val="000000"/>
                <w:szCs w:val="21"/>
              </w:rPr>
              <w:t>OsTPS8</w:t>
            </w:r>
          </w:p>
        </w:tc>
        <w:tc>
          <w:tcPr>
            <w:tcW w:w="3830" w:type="dxa"/>
            <w:tcBorders>
              <w:top w:val="nil"/>
              <w:left w:val="nil"/>
              <w:bottom w:val="nil"/>
              <w:right w:val="nil"/>
            </w:tcBorders>
            <w:shd w:val="clear" w:color="auto" w:fill="auto"/>
            <w:noWrap/>
            <w:vAlign w:val="bottom"/>
          </w:tcPr>
          <w:p w14:paraId="3C65A21A"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TTAATCCTCAGGGTGTGGGC</w:t>
            </w:r>
          </w:p>
        </w:tc>
        <w:tc>
          <w:tcPr>
            <w:tcW w:w="3790" w:type="dxa"/>
            <w:tcBorders>
              <w:top w:val="nil"/>
              <w:left w:val="nil"/>
              <w:bottom w:val="nil"/>
              <w:right w:val="nil"/>
            </w:tcBorders>
            <w:shd w:val="clear" w:color="auto" w:fill="auto"/>
            <w:noWrap/>
            <w:vAlign w:val="bottom"/>
          </w:tcPr>
          <w:p w14:paraId="220892B1"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CAGGCGAAGGGCTGATCATA</w:t>
            </w:r>
          </w:p>
        </w:tc>
      </w:tr>
      <w:tr w:rsidR="00C678DF" w:rsidRPr="00A7726B" w14:paraId="055A79D3" w14:textId="77777777" w:rsidTr="00BA42EC">
        <w:trPr>
          <w:trHeight w:val="280"/>
          <w:jc w:val="center"/>
        </w:trPr>
        <w:tc>
          <w:tcPr>
            <w:tcW w:w="1270" w:type="dxa"/>
            <w:tcBorders>
              <w:top w:val="nil"/>
              <w:left w:val="nil"/>
              <w:bottom w:val="single" w:sz="8" w:space="0" w:color="auto"/>
              <w:right w:val="nil"/>
            </w:tcBorders>
            <w:shd w:val="clear" w:color="auto" w:fill="auto"/>
            <w:noWrap/>
            <w:vAlign w:val="bottom"/>
          </w:tcPr>
          <w:p w14:paraId="4A0265D0" w14:textId="77777777" w:rsidR="00C678DF" w:rsidRPr="00A7726B" w:rsidRDefault="00C678DF" w:rsidP="00BA42EC">
            <w:pPr>
              <w:spacing w:afterLines="20" w:after="48"/>
              <w:jc w:val="center"/>
              <w:rPr>
                <w:rFonts w:eastAsia="等线" w:cs="Times New Roman"/>
                <w:i/>
                <w:iCs/>
                <w:color w:val="000000"/>
                <w:szCs w:val="21"/>
              </w:rPr>
            </w:pPr>
            <w:r w:rsidRPr="00A7726B">
              <w:rPr>
                <w:rFonts w:eastAsia="等线" w:cs="Times New Roman"/>
                <w:i/>
                <w:iCs/>
                <w:color w:val="000000"/>
                <w:szCs w:val="21"/>
              </w:rPr>
              <w:t>OsSnRK1a</w:t>
            </w:r>
          </w:p>
        </w:tc>
        <w:tc>
          <w:tcPr>
            <w:tcW w:w="3830" w:type="dxa"/>
            <w:tcBorders>
              <w:top w:val="nil"/>
              <w:left w:val="nil"/>
              <w:bottom w:val="single" w:sz="8" w:space="0" w:color="auto"/>
              <w:right w:val="nil"/>
            </w:tcBorders>
            <w:shd w:val="clear" w:color="auto" w:fill="auto"/>
            <w:noWrap/>
            <w:vAlign w:val="bottom"/>
          </w:tcPr>
          <w:p w14:paraId="5908B02E"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AACCAGAGGTAACAGGCAGG</w:t>
            </w:r>
          </w:p>
        </w:tc>
        <w:tc>
          <w:tcPr>
            <w:tcW w:w="3790" w:type="dxa"/>
            <w:tcBorders>
              <w:top w:val="nil"/>
              <w:left w:val="nil"/>
              <w:bottom w:val="single" w:sz="8" w:space="0" w:color="auto"/>
              <w:right w:val="nil"/>
            </w:tcBorders>
            <w:shd w:val="clear" w:color="auto" w:fill="auto"/>
            <w:noWrap/>
            <w:vAlign w:val="bottom"/>
          </w:tcPr>
          <w:p w14:paraId="3D5BC9D3" w14:textId="77777777" w:rsidR="00C678DF" w:rsidRPr="00A7726B" w:rsidRDefault="00C678DF" w:rsidP="00BA42EC">
            <w:pPr>
              <w:spacing w:afterLines="20" w:after="48"/>
              <w:jc w:val="center"/>
              <w:rPr>
                <w:rFonts w:eastAsia="等线" w:cs="Times New Roman"/>
                <w:color w:val="000000"/>
                <w:szCs w:val="21"/>
              </w:rPr>
            </w:pPr>
            <w:r w:rsidRPr="00A7726B">
              <w:rPr>
                <w:rFonts w:eastAsia="等线" w:cs="Times New Roman"/>
                <w:color w:val="000000"/>
                <w:szCs w:val="21"/>
              </w:rPr>
              <w:t>CATCTGTCAAGGAATGCAGG</w:t>
            </w:r>
          </w:p>
        </w:tc>
      </w:tr>
    </w:tbl>
    <w:p w14:paraId="70810276" w14:textId="4090C622" w:rsidR="00C678DF" w:rsidRPr="001549D3" w:rsidRDefault="00FA0786" w:rsidP="00C678DF">
      <w:pPr>
        <w:pStyle w:val="2"/>
      </w:pPr>
      <w:bookmarkStart w:id="1" w:name="_Hlk78727724"/>
      <w:r>
        <w:rPr>
          <w:noProof/>
        </w:rPr>
        <w:drawing>
          <wp:anchor distT="0" distB="0" distL="114300" distR="114300" simplePos="0" relativeHeight="251658240" behindDoc="0" locked="0" layoutInCell="1" allowOverlap="1" wp14:anchorId="0CB91DE4" wp14:editId="292A400E">
            <wp:simplePos x="0" y="0"/>
            <wp:positionH relativeFrom="column">
              <wp:posOffset>455930</wp:posOffset>
            </wp:positionH>
            <wp:positionV relativeFrom="paragraph">
              <wp:posOffset>454660</wp:posOffset>
            </wp:positionV>
            <wp:extent cx="5403850" cy="3238500"/>
            <wp:effectExtent l="0" t="0" r="635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0" cy="3238500"/>
                    </a:xfrm>
                    <a:prstGeom prst="rect">
                      <a:avLst/>
                    </a:prstGeom>
                    <a:noFill/>
                    <a:ln>
                      <a:noFill/>
                    </a:ln>
                  </pic:spPr>
                </pic:pic>
              </a:graphicData>
            </a:graphic>
          </wp:anchor>
        </w:drawing>
      </w:r>
      <w:r w:rsidR="00C678DF" w:rsidRPr="0001436A">
        <w:t>Supplementary</w:t>
      </w:r>
      <w:r w:rsidR="00C678DF" w:rsidRPr="001549D3">
        <w:t xml:space="preserve"> </w:t>
      </w:r>
      <w:r w:rsidR="00C678DF">
        <w:t>Figur</w:t>
      </w:r>
      <w:bookmarkEnd w:id="1"/>
      <w:r w:rsidR="00C678DF">
        <w:t>e</w:t>
      </w:r>
    </w:p>
    <w:p w14:paraId="7B65BC41" w14:textId="4B5512F6" w:rsidR="00DE23E8" w:rsidRPr="00BA42EC" w:rsidRDefault="00FA0786" w:rsidP="005009D9">
      <w:pPr>
        <w:widowControl w:val="0"/>
        <w:jc w:val="both"/>
      </w:pPr>
      <w:r w:rsidRPr="00BA42EC">
        <w:rPr>
          <w:rFonts w:eastAsia="宋体" w:cs="Times New Roman"/>
          <w:b/>
          <w:bCs/>
          <w:kern w:val="2"/>
          <w:szCs w:val="24"/>
          <w:lang w:eastAsia="zh-CN"/>
        </w:rPr>
        <w:t xml:space="preserve">Supplementary Figure S1. Schematic representation of rice CJ03 and W1844 applied to study the effects of flowering time gaps and competition between rice panicles on different positions. </w:t>
      </w:r>
      <w:r w:rsidR="005009D9" w:rsidRPr="00BA42EC">
        <w:rPr>
          <w:rFonts w:eastAsia="宋体" w:cs="Times New Roman"/>
          <w:kern w:val="2"/>
          <w:szCs w:val="24"/>
          <w:lang w:eastAsia="zh-CN"/>
        </w:rPr>
        <w:t xml:space="preserve">(A), the control group with no spikelet thinning (labeled as T0), the Black arrow shows the flowering </w:t>
      </w:r>
      <w:r w:rsidR="005009D9" w:rsidRPr="00BA42EC">
        <w:rPr>
          <w:rFonts w:eastAsia="宋体" w:cs="Times New Roman"/>
          <w:kern w:val="2"/>
          <w:szCs w:val="24"/>
          <w:lang w:eastAsia="zh-CN"/>
        </w:rPr>
        <w:lastRenderedPageBreak/>
        <w:t xml:space="preserve">date in superior </w:t>
      </w:r>
      <w:proofErr w:type="spellStart"/>
      <w:r w:rsidR="005009D9" w:rsidRPr="00BA42EC">
        <w:rPr>
          <w:rFonts w:eastAsia="宋体" w:cs="Times New Roman"/>
          <w:kern w:val="2"/>
          <w:szCs w:val="24"/>
          <w:lang w:eastAsia="zh-CN"/>
        </w:rPr>
        <w:t>spikelets</w:t>
      </w:r>
      <w:proofErr w:type="spellEnd"/>
      <w:r w:rsidR="005009D9" w:rsidRPr="00BA42EC">
        <w:rPr>
          <w:rFonts w:eastAsia="宋体" w:cs="Times New Roman"/>
          <w:kern w:val="2"/>
          <w:szCs w:val="24"/>
          <w:lang w:eastAsia="zh-CN"/>
        </w:rPr>
        <w:t xml:space="preserve"> (SS) of rice on T0 treatment, and the red arrow shows the flowering date in Inferior </w:t>
      </w:r>
      <w:proofErr w:type="spellStart"/>
      <w:r w:rsidR="005009D9" w:rsidRPr="00BA42EC">
        <w:rPr>
          <w:rFonts w:eastAsia="宋体" w:cs="Times New Roman"/>
          <w:kern w:val="2"/>
          <w:szCs w:val="24"/>
          <w:lang w:eastAsia="zh-CN"/>
        </w:rPr>
        <w:t>spikelets</w:t>
      </w:r>
      <w:proofErr w:type="spellEnd"/>
      <w:r w:rsidR="005009D9" w:rsidRPr="00BA42EC">
        <w:rPr>
          <w:rFonts w:eastAsia="宋体" w:cs="Times New Roman"/>
          <w:kern w:val="2"/>
          <w:szCs w:val="24"/>
          <w:lang w:eastAsia="zh-CN"/>
        </w:rPr>
        <w:t xml:space="preserve"> (IS) which was almost 4-5 days after the flowering date of SS of rice on T0 treatment; the number on green frame indicate the dates of sampling for rice in SS and IS. (B), the upper 2/3 followers removed (labeled as T1) when the IS in the lower part of the panicles is flowering, and the red arrow shows the flowering date in IS of rice on T1 treatment, the number on the green frame indicate the dates of sampling for rice in IS.</w:t>
      </w:r>
    </w:p>
    <w:sectPr w:rsidR="00DE23E8" w:rsidRPr="00BA42EC"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58B9" w14:textId="77777777" w:rsidR="00F51CBC" w:rsidRDefault="00F51CBC" w:rsidP="00117666">
      <w:pPr>
        <w:spacing w:after="0"/>
      </w:pPr>
      <w:r>
        <w:separator/>
      </w:r>
    </w:p>
  </w:endnote>
  <w:endnote w:type="continuationSeparator" w:id="0">
    <w:p w14:paraId="7DD282A5" w14:textId="77777777" w:rsidR="00F51CBC" w:rsidRDefault="00F51CB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D657" w14:textId="77777777" w:rsidR="00F51CBC" w:rsidRDefault="00F51CBC" w:rsidP="00117666">
      <w:pPr>
        <w:spacing w:after="0"/>
      </w:pPr>
      <w:r>
        <w:separator/>
      </w:r>
    </w:p>
  </w:footnote>
  <w:footnote w:type="continuationSeparator" w:id="0">
    <w:p w14:paraId="6661C65F" w14:textId="77777777" w:rsidR="00F51CBC" w:rsidRDefault="00F51CB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63B86C"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C1163"/>
    <w:rsid w:val="00105FD9"/>
    <w:rsid w:val="00117666"/>
    <w:rsid w:val="00136D01"/>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009D9"/>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B7625"/>
    <w:rsid w:val="007C206C"/>
    <w:rsid w:val="00817DD6"/>
    <w:rsid w:val="0083759F"/>
    <w:rsid w:val="00860B2E"/>
    <w:rsid w:val="00885156"/>
    <w:rsid w:val="009151AA"/>
    <w:rsid w:val="0093429D"/>
    <w:rsid w:val="00943573"/>
    <w:rsid w:val="00964134"/>
    <w:rsid w:val="00970F7D"/>
    <w:rsid w:val="00994A3D"/>
    <w:rsid w:val="009C2B12"/>
    <w:rsid w:val="00A174D9"/>
    <w:rsid w:val="00AA4D24"/>
    <w:rsid w:val="00AB6715"/>
    <w:rsid w:val="00AD0387"/>
    <w:rsid w:val="00B1671E"/>
    <w:rsid w:val="00B25EB8"/>
    <w:rsid w:val="00B37F4D"/>
    <w:rsid w:val="00BA42EC"/>
    <w:rsid w:val="00C52A7B"/>
    <w:rsid w:val="00C56BAF"/>
    <w:rsid w:val="00C678D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51CBC"/>
    <w:rsid w:val="00F61D89"/>
    <w:rsid w:val="00FA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10</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峥嵘</cp:lastModifiedBy>
  <cp:revision>7</cp:revision>
  <cp:lastPrinted>2013-10-03T12:51:00Z</cp:lastPrinted>
  <dcterms:created xsi:type="dcterms:W3CDTF">2018-11-23T08:58:00Z</dcterms:created>
  <dcterms:modified xsi:type="dcterms:W3CDTF">2021-08-14T09:01:00Z</dcterms:modified>
</cp:coreProperties>
</file>