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0E29F0AC" w:rsidR="00EA3D3C" w:rsidRDefault="00654E8F" w:rsidP="0001436A">
      <w:pPr>
        <w:pStyle w:val="Heading1"/>
        <w:rPr>
          <w:rFonts w:eastAsiaTheme="minorEastAsia"/>
          <w:lang w:eastAsia="zh-CN"/>
        </w:rPr>
      </w:pPr>
      <w:r w:rsidRPr="00994A3D">
        <w:t>Supple</w:t>
      </w:r>
      <w:r w:rsidRPr="00DD069E">
        <w:t xml:space="preserve">mentary </w:t>
      </w:r>
      <w:r w:rsidR="00DD069E" w:rsidRPr="00DD069E">
        <w:rPr>
          <w:rFonts w:eastAsiaTheme="minorEastAsia"/>
          <w:lang w:eastAsia="zh-CN"/>
        </w:rPr>
        <w:t>methods</w:t>
      </w:r>
    </w:p>
    <w:p w14:paraId="2350582B" w14:textId="5947A301" w:rsidR="00DD069E" w:rsidRPr="00DD069E" w:rsidRDefault="00DD069E" w:rsidP="00DD069E">
      <w:pPr>
        <w:pStyle w:val="Heading2"/>
      </w:pPr>
      <w:r w:rsidRPr="00DD069E">
        <w:t>D</w:t>
      </w:r>
      <w:r w:rsidRPr="00DD069E">
        <w:rPr>
          <w:rFonts w:eastAsiaTheme="minorEastAsia"/>
          <w:lang w:eastAsia="zh-CN"/>
        </w:rPr>
        <w:t>iversity</w:t>
      </w:r>
      <w:r w:rsidRPr="00DD069E">
        <w:t xml:space="preserve"> index</w:t>
      </w:r>
    </w:p>
    <w:p w14:paraId="3E5E7C68" w14:textId="77777777" w:rsidR="00DD069E" w:rsidRPr="00A26E5D" w:rsidRDefault="00DD069E" w:rsidP="00DD069E">
      <w:pPr>
        <w:spacing w:line="360" w:lineRule="auto"/>
        <w:rPr>
          <w:rFonts w:cs="Times New Roman"/>
          <w:szCs w:val="24"/>
        </w:rPr>
      </w:pPr>
      <w:r w:rsidRPr="001314FE">
        <w:rPr>
          <w:rFonts w:cs="Times New Roman"/>
          <w:iCs/>
          <w:szCs w:val="24"/>
        </w:rPr>
        <w:t>Shannon-</w:t>
      </w:r>
      <w:r w:rsidRPr="001314FE">
        <w:rPr>
          <w:rFonts w:cs="Times New Roman" w:hint="eastAsia"/>
          <w:iCs/>
          <w:szCs w:val="24"/>
        </w:rPr>
        <w:t>Wiener</w:t>
      </w:r>
      <w:r w:rsidRPr="001314FE">
        <w:rPr>
          <w:rFonts w:cs="Times New Roman"/>
          <w:iCs/>
          <w:szCs w:val="24"/>
        </w:rPr>
        <w:t xml:space="preserve"> diversity index (</w:t>
      </w:r>
      <w:r w:rsidRPr="00A26E5D">
        <w:rPr>
          <w:rFonts w:cs="Times New Roman"/>
          <w:i/>
          <w:iCs/>
          <w:szCs w:val="24"/>
        </w:rPr>
        <w:t>H'</w:t>
      </w:r>
      <w:r w:rsidRPr="001314FE">
        <w:rPr>
          <w:rFonts w:cs="Times New Roman"/>
          <w:iCs/>
          <w:szCs w:val="24"/>
        </w:rPr>
        <w:t>)</w:t>
      </w:r>
      <w:r w:rsidRPr="00A26E5D">
        <w:rPr>
          <w:rFonts w:cs="Times New Roman"/>
          <w:szCs w:val="24"/>
        </w:rPr>
        <w:t xml:space="preserve"> was calculated using the PRIMER 6.0 software package</w:t>
      </w:r>
      <w:r w:rsidRPr="00A26E5D">
        <w:rPr>
          <w:rFonts w:eastAsia="SimSun" w:cs="Times New Roman"/>
          <w:szCs w:val="24"/>
        </w:rPr>
        <w:t>, according to the following formula</w:t>
      </w:r>
      <w:r w:rsidRPr="00A26E5D">
        <w:rPr>
          <w:rFonts w:cs="Times New Roman"/>
          <w:szCs w:val="24"/>
        </w:rPr>
        <w:t>:</w:t>
      </w:r>
    </w:p>
    <w:p w14:paraId="49D78729" w14:textId="77777777" w:rsidR="00DD069E" w:rsidRPr="00A26E5D" w:rsidRDefault="00740890" w:rsidP="00DD069E">
      <w:pPr>
        <w:spacing w:line="360" w:lineRule="auto"/>
        <w:jc w:val="center"/>
        <w:rPr>
          <w:rFonts w:cs="Times New Roman"/>
          <w:bCs/>
          <w:szCs w:val="24"/>
        </w:rPr>
      </w:pPr>
      <m:oMathPara>
        <m:oMath>
          <m:sSup>
            <m:sSupPr>
              <m:ctrlPr>
                <w:rPr>
                  <w:rFonts w:ascii="Cambria Math" w:hAnsi="Cambria Math" w:cs="Times New Roman"/>
                  <w:bCs/>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nary>
            <m:naryPr>
              <m:chr m:val="∑"/>
              <m:limLoc m:val="undOvr"/>
              <m:subHide m:val="1"/>
              <m:supHide m:val="1"/>
              <m:ctrlPr>
                <w:rPr>
                  <w:rFonts w:ascii="Cambria Math" w:hAnsi="Cambria Math" w:cs="Times New Roman"/>
                  <w:bCs/>
                  <w:szCs w:val="24"/>
                </w:rPr>
              </m:ctrlPr>
            </m:naryPr>
            <m:sub/>
            <m:sup/>
            <m:e>
              <m:r>
                <w:rPr>
                  <w:rFonts w:ascii="Cambria Math" w:hAnsi="Cambria Math" w:cs="Times New Roman"/>
                  <w:szCs w:val="24"/>
                </w:rPr>
                <m:t>Pi</m:t>
              </m:r>
              <m:sSub>
                <m:sSubPr>
                  <m:ctrlPr>
                    <w:rPr>
                      <w:rFonts w:ascii="Cambria Math" w:hAnsi="Cambria Math" w:cs="Times New Roman"/>
                      <w:bCs/>
                      <w:szCs w:val="24"/>
                    </w:rPr>
                  </m:ctrlPr>
                </m:sSubPr>
                <m:e>
                  <m:r>
                    <w:rPr>
                      <w:rFonts w:ascii="Cambria Math" w:hAnsi="Cambria Math" w:cs="Times New Roman"/>
                      <w:szCs w:val="24"/>
                    </w:rPr>
                    <m:t>log</m:t>
                  </m:r>
                </m:e>
                <m:sub>
                  <m:r>
                    <m:rPr>
                      <m:sty m:val="p"/>
                    </m:rPr>
                    <w:rPr>
                      <w:rFonts w:ascii="Cambria Math" w:hAnsi="Cambria Math" w:cs="Times New Roman"/>
                      <w:szCs w:val="24"/>
                    </w:rPr>
                    <m:t>2</m:t>
                  </m:r>
                </m:sub>
              </m:sSub>
            </m:e>
          </m:nary>
          <m:r>
            <w:rPr>
              <w:rFonts w:ascii="Cambria Math" w:hAnsi="Cambria Math" w:cs="Times New Roman"/>
              <w:szCs w:val="24"/>
            </w:rPr>
            <m:t>Pi</m:t>
          </m:r>
        </m:oMath>
      </m:oMathPara>
    </w:p>
    <w:p w14:paraId="6C690084" w14:textId="73DEB80E" w:rsidR="00DD069E" w:rsidRDefault="00DD069E" w:rsidP="00DD069E">
      <w:pPr>
        <w:spacing w:line="360" w:lineRule="auto"/>
        <w:rPr>
          <w:rFonts w:cs="Times New Roman"/>
          <w:szCs w:val="24"/>
        </w:rPr>
      </w:pPr>
      <w:r w:rsidRPr="00A26E5D">
        <w:rPr>
          <w:rFonts w:cs="Times New Roman"/>
          <w:szCs w:val="24"/>
        </w:rPr>
        <w:t>Where P</w:t>
      </w:r>
      <w:r w:rsidRPr="00A26E5D">
        <w:rPr>
          <w:rFonts w:cs="Times New Roman"/>
          <w:i/>
          <w:iCs/>
          <w:szCs w:val="24"/>
        </w:rPr>
        <w:t>i</w:t>
      </w:r>
      <w:r w:rsidRPr="00A26E5D">
        <w:rPr>
          <w:rFonts w:cs="Times New Roman"/>
          <w:szCs w:val="24"/>
        </w:rPr>
        <w:t xml:space="preserve"> is the percentage of the abundance of species</w:t>
      </w:r>
      <w:r w:rsidRPr="00A26E5D">
        <w:rPr>
          <w:rFonts w:cs="Times New Roman"/>
          <w:i/>
          <w:iCs/>
          <w:szCs w:val="24"/>
        </w:rPr>
        <w:t xml:space="preserve"> </w:t>
      </w:r>
      <w:proofErr w:type="spellStart"/>
      <w:r w:rsidRPr="00A26E5D">
        <w:rPr>
          <w:rFonts w:cs="Times New Roman"/>
          <w:i/>
          <w:iCs/>
          <w:szCs w:val="24"/>
        </w:rPr>
        <w:t>i</w:t>
      </w:r>
      <w:proofErr w:type="spellEnd"/>
      <w:r w:rsidRPr="00A26E5D">
        <w:rPr>
          <w:rFonts w:cs="Times New Roman"/>
          <w:szCs w:val="24"/>
        </w:rPr>
        <w:t>.</w:t>
      </w:r>
    </w:p>
    <w:p w14:paraId="51D3FE7D" w14:textId="5952EBD3" w:rsidR="00DD069E" w:rsidRPr="001549D3" w:rsidRDefault="00DD069E" w:rsidP="00DD069E">
      <w:pPr>
        <w:pStyle w:val="Heading2"/>
      </w:pPr>
      <w:r w:rsidRPr="00A26E5D">
        <w:rPr>
          <w:rFonts w:eastAsia="Times New Roman"/>
          <w:lang w:val="en-GB" w:eastAsia="en-GB"/>
        </w:rPr>
        <w:t>ABC curve</w:t>
      </w:r>
    </w:p>
    <w:p w14:paraId="763311FB" w14:textId="77777777" w:rsidR="00DD069E" w:rsidRPr="00A26E5D" w:rsidRDefault="00DD069E" w:rsidP="00DD069E">
      <w:pPr>
        <w:spacing w:line="360" w:lineRule="auto"/>
        <w:rPr>
          <w:rFonts w:cs="Times New Roman"/>
          <w:szCs w:val="24"/>
        </w:rPr>
      </w:pPr>
      <w:r w:rsidRPr="00A26E5D">
        <w:rPr>
          <w:rFonts w:cs="Times New Roman"/>
          <w:szCs w:val="24"/>
        </w:rPr>
        <w:t>ABC curve (</w:t>
      </w:r>
      <w:r>
        <w:rPr>
          <w:rFonts w:cs="Times New Roman"/>
          <w:szCs w:val="24"/>
        </w:rPr>
        <w:t xml:space="preserve">Warwick, 1986; </w:t>
      </w:r>
      <w:r w:rsidRPr="00A26E5D">
        <w:rPr>
          <w:rFonts w:cs="Times New Roman"/>
          <w:szCs w:val="24"/>
        </w:rPr>
        <w:t xml:space="preserve">Clarke, 1990) </w:t>
      </w:r>
      <w:r w:rsidRPr="00701834">
        <w:rPr>
          <w:rFonts w:cs="Times New Roman"/>
          <w:szCs w:val="24"/>
        </w:rPr>
        <w:t>was calculated using the PRIMER 6.0 software package</w:t>
      </w:r>
      <w:r w:rsidRPr="00A26E5D">
        <w:rPr>
          <w:rFonts w:cs="Times New Roman"/>
          <w:szCs w:val="24"/>
        </w:rPr>
        <w:t xml:space="preserve">. Warwick (1986) constructed ABC curves to explore the external disturbance status of macrofaunal communities, and Clarke (1990) proposed a statistical coefficient W to describe the degree of separation of the ABC curve; W has a value between -1 and 1. A value of W close to 1 indicates unpolluted conditions, whereas a value of W close to -1 indicates disturbed/polluted conditions. In addition to the curve, the </w:t>
      </w:r>
      <w:r w:rsidRPr="00A26E5D">
        <w:rPr>
          <w:rFonts w:cs="Times New Roman"/>
          <w:i/>
          <w:iCs/>
          <w:szCs w:val="24"/>
        </w:rPr>
        <w:t>W</w:t>
      </w:r>
      <w:r w:rsidRPr="00A26E5D">
        <w:rPr>
          <w:rFonts w:cs="Times New Roman"/>
          <w:szCs w:val="24"/>
        </w:rPr>
        <w:t xml:space="preserve"> value can be calculated using the following formula:</w:t>
      </w:r>
    </w:p>
    <w:p w14:paraId="2045B316" w14:textId="77777777" w:rsidR="00DD069E" w:rsidRPr="00A26E5D" w:rsidRDefault="00DD069E" w:rsidP="00DD069E">
      <w:pPr>
        <w:spacing w:line="360" w:lineRule="auto"/>
        <w:rPr>
          <w:rFonts w:cs="Times New Roman"/>
          <w:szCs w:val="24"/>
        </w:rPr>
      </w:pPr>
      <m:oMathPara>
        <m:oMath>
          <m:r>
            <w:rPr>
              <w:rFonts w:ascii="Cambria Math" w:hAnsi="Cambria Math" w:cs="Times New Roman"/>
              <w:szCs w:val="24"/>
            </w:rPr>
            <m:t>W</m:t>
          </m:r>
          <m:r>
            <m:rPr>
              <m:sty m:val="p"/>
            </m:rPr>
            <w:rPr>
              <w:rFonts w:ascii="Cambria Math" w:hAnsi="Cambria Math" w:cs="Times New Roman"/>
              <w:szCs w:val="24"/>
            </w:rPr>
            <m:t>=</m:t>
          </m:r>
          <m:nary>
            <m:naryPr>
              <m:chr m:val="∑"/>
              <m:limLoc m:val="undOvr"/>
              <m:ctrlPr>
                <w:rPr>
                  <w:rFonts w:ascii="Cambria Math" w:hAnsi="Cambria Math" w:cs="Times New Roman"/>
                  <w:szCs w:val="24"/>
                </w:rPr>
              </m:ctrlPr>
            </m:naryPr>
            <m:sub>
              <m:r>
                <w:rPr>
                  <w:rFonts w:ascii="Cambria Math" w:hAnsi="Cambria Math" w:cs="Times New Roman"/>
                  <w:szCs w:val="24"/>
                </w:rPr>
                <m:t>i</m:t>
              </m:r>
              <m:r>
                <m:rPr>
                  <m:sty m:val="p"/>
                </m:rPr>
                <w:rPr>
                  <w:rFonts w:ascii="Cambria Math" w:hAnsi="Cambria Math" w:cs="Times New Roman"/>
                  <w:szCs w:val="24"/>
                </w:rPr>
                <m:t>=1</m:t>
              </m:r>
            </m:sub>
            <m:sup>
              <m:r>
                <w:rPr>
                  <w:rFonts w:ascii="Cambria Math" w:hAnsi="Cambria Math" w:cs="Times New Roman"/>
                  <w:szCs w:val="24"/>
                </w:rPr>
                <m:t>S</m:t>
              </m:r>
            </m:sup>
            <m:e>
              <m:f>
                <m:fPr>
                  <m:type m:val="skw"/>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Bi</m:t>
                  </m:r>
                  <m:r>
                    <m:rPr>
                      <m:sty m:val="p"/>
                    </m:rPr>
                    <w:rPr>
                      <w:rFonts w:ascii="Cambria Math" w:hAnsi="Cambria Math" w:cs="Times New Roman"/>
                      <w:szCs w:val="24"/>
                    </w:rPr>
                    <m:t>-</m:t>
                  </m:r>
                  <m:r>
                    <w:rPr>
                      <w:rFonts w:ascii="Cambria Math" w:hAnsi="Cambria Math" w:cs="Times New Roman"/>
                      <w:szCs w:val="24"/>
                    </w:rPr>
                    <m:t>Ai</m:t>
                  </m:r>
                  <m:r>
                    <m:rPr>
                      <m:sty m:val="p"/>
                    </m:rPr>
                    <w:rPr>
                      <w:rFonts w:ascii="Cambria Math" w:hAnsi="Cambria Math" w:cs="Times New Roman"/>
                      <w:szCs w:val="24"/>
                    </w:rPr>
                    <m:t>)</m:t>
                  </m:r>
                </m:num>
                <m:den>
                  <m:r>
                    <m:rPr>
                      <m:sty m:val="p"/>
                    </m:rPr>
                    <w:rPr>
                      <w:rFonts w:ascii="Cambria Math" w:hAnsi="Cambria Math" w:cs="Times New Roman"/>
                      <w:szCs w:val="24"/>
                    </w:rPr>
                    <m:t>50(</m:t>
                  </m:r>
                  <m:r>
                    <w:rPr>
                      <w:rFonts w:ascii="Cambria Math" w:hAnsi="Cambria Math" w:cs="Times New Roman"/>
                      <w:szCs w:val="24"/>
                    </w:rPr>
                    <m:t>S</m:t>
                  </m:r>
                  <m:r>
                    <m:rPr>
                      <m:sty m:val="p"/>
                    </m:rPr>
                    <w:rPr>
                      <w:rFonts w:ascii="Cambria Math" w:hAnsi="Cambria Math" w:cs="Times New Roman"/>
                      <w:szCs w:val="24"/>
                    </w:rPr>
                    <m:t>-1)</m:t>
                  </m:r>
                </m:den>
              </m:f>
            </m:e>
          </m:nary>
        </m:oMath>
      </m:oMathPara>
    </w:p>
    <w:p w14:paraId="2CF411DC" w14:textId="170F9F6B" w:rsidR="00DD069E" w:rsidRDefault="00DD069E" w:rsidP="00DD069E">
      <w:pPr>
        <w:spacing w:line="360" w:lineRule="auto"/>
        <w:rPr>
          <w:rFonts w:cs="Times New Roman"/>
          <w:szCs w:val="24"/>
        </w:rPr>
      </w:pPr>
      <w:r w:rsidRPr="00A26E5D">
        <w:rPr>
          <w:rFonts w:cs="Times New Roman"/>
          <w:szCs w:val="24"/>
        </w:rPr>
        <w:t xml:space="preserve">where </w:t>
      </w:r>
      <w:r w:rsidRPr="00A26E5D">
        <w:rPr>
          <w:rFonts w:cs="Times New Roman"/>
          <w:i/>
          <w:iCs/>
          <w:szCs w:val="24"/>
        </w:rPr>
        <w:t>S</w:t>
      </w:r>
      <w:r w:rsidRPr="00A26E5D">
        <w:rPr>
          <w:rFonts w:cs="Times New Roman"/>
          <w:szCs w:val="24"/>
        </w:rPr>
        <w:t xml:space="preserve"> is the number of macrofaunal species in each sample, </w:t>
      </w:r>
      <w:r w:rsidRPr="00A26E5D">
        <w:rPr>
          <w:rFonts w:cs="Times New Roman"/>
          <w:i/>
          <w:iCs/>
          <w:szCs w:val="24"/>
        </w:rPr>
        <w:t>Bi</w:t>
      </w:r>
      <w:r w:rsidRPr="00A26E5D">
        <w:rPr>
          <w:rFonts w:cs="Times New Roman"/>
          <w:szCs w:val="24"/>
        </w:rPr>
        <w:t xml:space="preserve"> is the biomass of species</w:t>
      </w:r>
      <w:r w:rsidRPr="00A26E5D">
        <w:rPr>
          <w:rFonts w:cs="Times New Roman"/>
          <w:i/>
          <w:iCs/>
          <w:szCs w:val="24"/>
        </w:rPr>
        <w:t xml:space="preserve"> </w:t>
      </w:r>
      <w:proofErr w:type="spellStart"/>
      <w:r w:rsidRPr="00A26E5D">
        <w:rPr>
          <w:rFonts w:cs="Times New Roman"/>
          <w:i/>
          <w:iCs/>
          <w:szCs w:val="24"/>
        </w:rPr>
        <w:t>i</w:t>
      </w:r>
      <w:proofErr w:type="spellEnd"/>
      <w:r w:rsidRPr="00A26E5D">
        <w:rPr>
          <w:rFonts w:cs="Times New Roman"/>
          <w:szCs w:val="24"/>
        </w:rPr>
        <w:t xml:space="preserve">, </w:t>
      </w:r>
      <w:r w:rsidRPr="00A26E5D">
        <w:rPr>
          <w:rFonts w:eastAsia="SimSun" w:cs="Times New Roman"/>
          <w:szCs w:val="24"/>
        </w:rPr>
        <w:t>and</w:t>
      </w:r>
      <w:r w:rsidRPr="00A26E5D">
        <w:rPr>
          <w:rFonts w:eastAsia="SimSun" w:cs="Times New Roman"/>
          <w:i/>
          <w:iCs/>
          <w:szCs w:val="24"/>
        </w:rPr>
        <w:t xml:space="preserve"> </w:t>
      </w:r>
      <w:r w:rsidRPr="00A26E5D">
        <w:rPr>
          <w:rFonts w:cs="Times New Roman"/>
          <w:i/>
          <w:iCs/>
          <w:szCs w:val="24"/>
        </w:rPr>
        <w:t>Ai</w:t>
      </w:r>
      <w:r w:rsidRPr="00A26E5D">
        <w:rPr>
          <w:rFonts w:cs="Times New Roman"/>
          <w:szCs w:val="24"/>
        </w:rPr>
        <w:t xml:space="preserve"> is the abundance of species </w:t>
      </w:r>
      <w:proofErr w:type="spellStart"/>
      <w:r w:rsidRPr="00A26E5D">
        <w:rPr>
          <w:rFonts w:cs="Times New Roman"/>
          <w:i/>
          <w:iCs/>
          <w:szCs w:val="24"/>
        </w:rPr>
        <w:t>i</w:t>
      </w:r>
      <w:proofErr w:type="spellEnd"/>
      <w:r w:rsidRPr="00A26E5D">
        <w:rPr>
          <w:rFonts w:cs="Times New Roman"/>
          <w:szCs w:val="24"/>
        </w:rPr>
        <w:t>.</w:t>
      </w:r>
    </w:p>
    <w:p w14:paraId="3A8BA4F7" w14:textId="75847BC3" w:rsidR="00DD069E" w:rsidRPr="001549D3" w:rsidRDefault="00DD069E" w:rsidP="00DD069E">
      <w:pPr>
        <w:pStyle w:val="Heading2"/>
      </w:pPr>
      <w:r w:rsidRPr="00A26E5D">
        <w:rPr>
          <w:rFonts w:eastAsia="Times New Roman"/>
          <w:lang w:val="en-GB" w:eastAsia="en-GB"/>
        </w:rPr>
        <w:t>AMBI and M-AMBI</w:t>
      </w:r>
    </w:p>
    <w:p w14:paraId="2C7217E6" w14:textId="77777777" w:rsidR="00DD069E" w:rsidRPr="00A26E5D" w:rsidRDefault="00DD069E" w:rsidP="00DD069E">
      <w:pPr>
        <w:spacing w:line="360" w:lineRule="auto"/>
        <w:rPr>
          <w:rFonts w:cs="Times New Roman"/>
          <w:szCs w:val="24"/>
        </w:rPr>
      </w:pPr>
      <w:r w:rsidRPr="00A26E5D">
        <w:rPr>
          <w:rFonts w:cs="Times New Roman"/>
          <w:szCs w:val="24"/>
        </w:rPr>
        <w:t>AMBI (Borja et al., 2000) and M-AMBI values (</w:t>
      </w:r>
      <w:r w:rsidRPr="00A26E5D">
        <w:rPr>
          <w:rFonts w:eastAsia="SimSun" w:cs="Times New Roman"/>
          <w:szCs w:val="24"/>
        </w:rPr>
        <w:t xml:space="preserve">Muxika et al., 2007) </w:t>
      </w:r>
      <w:r w:rsidRPr="00A26E5D">
        <w:rPr>
          <w:rFonts w:cs="Times New Roman"/>
          <w:szCs w:val="24"/>
        </w:rPr>
        <w:t>were calculated using the AMBI 5.0 software with the updated species list of 2019. Most species are divided into five ecological groups (I–V) based on their tolerance to pollution. All non-benthic invertebrate taxa (fish) were ignored</w:t>
      </w:r>
      <w:r w:rsidRPr="00A26E5D">
        <w:rPr>
          <w:rFonts w:eastAsia="SimSun" w:cs="Times New Roman"/>
          <w:szCs w:val="24"/>
        </w:rPr>
        <w:t xml:space="preserve"> according to the guidelines for the use of AMBI. The calculation formula is as follows (Huang et al., 2019):</w:t>
      </w:r>
    </w:p>
    <w:p w14:paraId="300B9FBB" w14:textId="77777777" w:rsidR="00DD069E" w:rsidRPr="00A26E5D" w:rsidRDefault="00DD069E" w:rsidP="00DD069E">
      <w:pPr>
        <w:spacing w:line="360" w:lineRule="auto"/>
        <w:rPr>
          <w:rFonts w:cs="Times New Roman"/>
          <w:szCs w:val="24"/>
        </w:rPr>
      </w:pPr>
      <w:r w:rsidRPr="00A26E5D">
        <w:rPr>
          <w:rFonts w:cs="Times New Roman"/>
          <w:szCs w:val="24"/>
        </w:rPr>
        <w:lastRenderedPageBreak/>
        <w:t>AMBI = [(0 × %EGI) + (1.5 × %EGII) + (3.0 × %EGIII) + (4.5 × %EGIV) + (6.0 × %EGV)]/100</w:t>
      </w:r>
    </w:p>
    <w:p w14:paraId="48FBA638" w14:textId="77777777" w:rsidR="00DD069E" w:rsidRPr="00A26E5D" w:rsidRDefault="00DD069E" w:rsidP="00DD069E">
      <w:pPr>
        <w:spacing w:line="360" w:lineRule="auto"/>
        <w:rPr>
          <w:rFonts w:cs="Times New Roman"/>
          <w:szCs w:val="24"/>
        </w:rPr>
      </w:pPr>
      <w:r w:rsidRPr="00A26E5D">
        <w:rPr>
          <w:rFonts w:cs="Times New Roman"/>
          <w:szCs w:val="24"/>
        </w:rPr>
        <w:t>where EGI–EGV is the number of individuals in each of the ecological groups I–V.</w:t>
      </w:r>
    </w:p>
    <w:p w14:paraId="36D1DF59" w14:textId="792491A6" w:rsidR="00DD069E" w:rsidRPr="00A26E5D" w:rsidRDefault="00DD069E" w:rsidP="00DD069E">
      <w:pPr>
        <w:spacing w:line="360" w:lineRule="auto"/>
        <w:rPr>
          <w:rFonts w:cs="Times New Roman"/>
          <w:szCs w:val="24"/>
        </w:rPr>
      </w:pPr>
      <w:r w:rsidRPr="00A26E5D">
        <w:rPr>
          <w:rFonts w:cs="Times New Roman"/>
          <w:szCs w:val="24"/>
        </w:rPr>
        <w:t>According to the AMBI program, the AMBI value was between 0 and 7. The lower the value, the better the ecological health (Borja et al., 2000). If the number of unassigned animal species is more than 50%, AMBI will not be available; if the number is between 20% and 50%, the results should be carefully evaluated.</w:t>
      </w:r>
    </w:p>
    <w:p w14:paraId="318D9A49" w14:textId="2D85AF21" w:rsidR="00DD069E" w:rsidRPr="001549D3" w:rsidRDefault="00DD069E" w:rsidP="00DD069E">
      <w:pPr>
        <w:pStyle w:val="Heading2"/>
      </w:pPr>
      <w:r>
        <w:rPr>
          <w:rFonts w:eastAsia="Times New Roman"/>
          <w:lang w:val="en-GB" w:eastAsia="en-GB"/>
        </w:rPr>
        <w:t>BOPA</w:t>
      </w:r>
    </w:p>
    <w:p w14:paraId="362624CB" w14:textId="77777777" w:rsidR="00DD069E" w:rsidRPr="00A26E5D" w:rsidRDefault="00DD069E" w:rsidP="00DD069E">
      <w:pPr>
        <w:spacing w:line="360" w:lineRule="auto"/>
        <w:rPr>
          <w:rFonts w:cs="Times New Roman"/>
          <w:szCs w:val="24"/>
        </w:rPr>
      </w:pPr>
      <w:r w:rsidRPr="00A26E5D">
        <w:rPr>
          <w:rFonts w:cs="Times New Roman"/>
          <w:szCs w:val="24"/>
        </w:rPr>
        <w:t xml:space="preserve">BOPA index is null only when there are no opportunistic </w:t>
      </w:r>
      <w:proofErr w:type="spellStart"/>
      <w:r w:rsidRPr="00A26E5D">
        <w:rPr>
          <w:rFonts w:cs="Times New Roman"/>
          <w:szCs w:val="24"/>
        </w:rPr>
        <w:t>polychaetes</w:t>
      </w:r>
      <w:proofErr w:type="spellEnd"/>
      <w:r w:rsidRPr="00A26E5D">
        <w:rPr>
          <w:rFonts w:cs="Times New Roman"/>
          <w:szCs w:val="24"/>
        </w:rPr>
        <w:t xml:space="preserve">, indicating an area with a very low amount of organic matter. The index is low when the </w:t>
      </w:r>
      <w:r w:rsidRPr="00701834">
        <w:rPr>
          <w:rFonts w:cs="Times New Roman"/>
          <w:szCs w:val="24"/>
        </w:rPr>
        <w:t>benthic environment is good, with few opportunistic species, and it increases as increasing organic matter degrades the benthic environment</w:t>
      </w:r>
      <w:r w:rsidRPr="00A26E5D">
        <w:rPr>
          <w:rFonts w:cs="Times New Roman"/>
          <w:szCs w:val="24"/>
        </w:rPr>
        <w:t xml:space="preserve"> (</w:t>
      </w:r>
      <w:proofErr w:type="spellStart"/>
      <w:r w:rsidRPr="00A26E5D">
        <w:rPr>
          <w:rFonts w:cs="Times New Roman"/>
          <w:szCs w:val="24"/>
        </w:rPr>
        <w:t>Dauvin</w:t>
      </w:r>
      <w:proofErr w:type="spellEnd"/>
      <w:r w:rsidRPr="00A26E5D">
        <w:rPr>
          <w:rFonts w:cs="Times New Roman"/>
          <w:szCs w:val="24"/>
        </w:rPr>
        <w:t xml:space="preserve"> and </w:t>
      </w:r>
      <w:proofErr w:type="spellStart"/>
      <w:r w:rsidRPr="00A26E5D">
        <w:rPr>
          <w:rFonts w:cs="Times New Roman"/>
          <w:szCs w:val="24"/>
        </w:rPr>
        <w:t>Ruellet</w:t>
      </w:r>
      <w:proofErr w:type="spellEnd"/>
      <w:r w:rsidRPr="00A26E5D">
        <w:rPr>
          <w:rFonts w:cs="Times New Roman"/>
          <w:szCs w:val="24"/>
        </w:rPr>
        <w:t>, 2007).</w:t>
      </w:r>
    </w:p>
    <w:p w14:paraId="705E5683" w14:textId="77777777" w:rsidR="00DD069E" w:rsidRPr="00A26E5D" w:rsidRDefault="00DD069E" w:rsidP="00DD069E">
      <w:pPr>
        <w:spacing w:line="360" w:lineRule="auto"/>
        <w:rPr>
          <w:rFonts w:cs="Times New Roman"/>
          <w:szCs w:val="24"/>
        </w:rPr>
      </w:pPr>
      <m:oMathPara>
        <m:oMath>
          <m:r>
            <m:rPr>
              <m:sty m:val="p"/>
            </m:rPr>
            <w:rPr>
              <w:rFonts w:ascii="Cambria Math" w:hAnsi="Cambria Math" w:cs="Times New Roman"/>
              <w:szCs w:val="24"/>
            </w:rPr>
            <m:t>BOPA=</m:t>
          </m:r>
          <m:func>
            <m:funcPr>
              <m:ctrlPr>
                <w:rPr>
                  <w:rFonts w:ascii="Cambria Math" w:hAnsi="Cambria Math" w:cs="Times New Roman"/>
                  <w:szCs w:val="24"/>
                </w:rPr>
              </m:ctrlPr>
            </m:funcPr>
            <m:fName>
              <m:r>
                <m:rPr>
                  <m:sty m:val="p"/>
                </m:rPr>
                <w:rPr>
                  <w:rFonts w:ascii="Cambria Math" w:hAnsi="Cambria Math" w:cs="Times New Roman"/>
                  <w:szCs w:val="24"/>
                </w:rPr>
                <m:t>log(</m:t>
              </m:r>
            </m:fName>
            <m:e>
              <m:f>
                <m:fPr>
                  <m:type m:val="skw"/>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f</m:t>
                      </m:r>
                    </m:e>
                    <m:sub>
                      <m:r>
                        <w:rPr>
                          <w:rFonts w:ascii="Cambria Math" w:hAnsi="Cambria Math" w:cs="Times New Roman"/>
                          <w:szCs w:val="24"/>
                        </w:rPr>
                        <m:t>p</m:t>
                      </m:r>
                    </m:sub>
                  </m:sSub>
                </m:num>
                <m:den>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f</m:t>
                          </m:r>
                        </m:e>
                        <m:sub>
                          <m:r>
                            <w:rPr>
                              <w:rFonts w:ascii="Cambria Math" w:hAnsi="Cambria Math" w:cs="Times New Roman"/>
                              <w:szCs w:val="24"/>
                            </w:rPr>
                            <m:t>A</m:t>
                          </m:r>
                        </m:sub>
                      </m:sSub>
                      <m:r>
                        <m:rPr>
                          <m:sty m:val="p"/>
                        </m:rPr>
                        <w:rPr>
                          <w:rFonts w:ascii="Cambria Math" w:hAnsi="Cambria Math" w:cs="Times New Roman"/>
                          <w:szCs w:val="24"/>
                        </w:rPr>
                        <m:t>+1</m:t>
                      </m:r>
                    </m:e>
                  </m:d>
                </m:den>
              </m:f>
            </m:e>
          </m:func>
          <m:r>
            <m:rPr>
              <m:sty m:val="p"/>
            </m:rPr>
            <w:rPr>
              <w:rFonts w:ascii="Cambria Math" w:hAnsi="Cambria Math" w:cs="Times New Roman"/>
              <w:szCs w:val="24"/>
            </w:rPr>
            <m:t>+1)</m:t>
          </m:r>
        </m:oMath>
      </m:oMathPara>
    </w:p>
    <w:p w14:paraId="6E29C677" w14:textId="2B565061" w:rsidR="00DD069E" w:rsidRDefault="00DD069E" w:rsidP="00DD069E">
      <w:pPr>
        <w:spacing w:line="360" w:lineRule="auto"/>
        <w:rPr>
          <w:rFonts w:cs="Times New Roman"/>
          <w:iCs/>
          <w:szCs w:val="24"/>
        </w:rPr>
      </w:pPr>
      <w:r w:rsidRPr="00A26E5D">
        <w:rPr>
          <w:rFonts w:cs="Times New Roman"/>
          <w:szCs w:val="24"/>
        </w:rPr>
        <w:t xml:space="preserve">where </w:t>
      </w:r>
      <w:proofErr w:type="spellStart"/>
      <w:r w:rsidRPr="00A26E5D">
        <w:rPr>
          <w:rFonts w:cs="Times New Roman"/>
          <w:i/>
          <w:iCs/>
          <w:szCs w:val="24"/>
        </w:rPr>
        <w:t>f</w:t>
      </w:r>
      <w:r w:rsidRPr="00A26E5D">
        <w:rPr>
          <w:rFonts w:cs="Times New Roman"/>
          <w:i/>
          <w:iCs/>
          <w:szCs w:val="24"/>
          <w:vertAlign w:val="subscript"/>
        </w:rPr>
        <w:t>p</w:t>
      </w:r>
      <w:proofErr w:type="spellEnd"/>
      <w:r w:rsidRPr="00A26E5D">
        <w:rPr>
          <w:rFonts w:cs="Times New Roman"/>
          <w:i/>
          <w:iCs/>
          <w:szCs w:val="24"/>
          <w:vertAlign w:val="subscript"/>
        </w:rPr>
        <w:t xml:space="preserve"> </w:t>
      </w:r>
      <w:r w:rsidRPr="00A26E5D">
        <w:rPr>
          <w:rFonts w:cs="Times New Roman"/>
          <w:iCs/>
          <w:szCs w:val="24"/>
        </w:rPr>
        <w:t xml:space="preserve">is the opportunistic </w:t>
      </w:r>
      <w:proofErr w:type="spellStart"/>
      <w:r w:rsidRPr="00A26E5D">
        <w:rPr>
          <w:rFonts w:cs="Times New Roman"/>
          <w:iCs/>
          <w:szCs w:val="24"/>
        </w:rPr>
        <w:t>polychaete</w:t>
      </w:r>
      <w:proofErr w:type="spellEnd"/>
      <w:r w:rsidRPr="00A26E5D">
        <w:rPr>
          <w:rFonts w:cs="Times New Roman"/>
          <w:iCs/>
          <w:szCs w:val="24"/>
        </w:rPr>
        <w:t xml:space="preserve"> frequency </w:t>
      </w:r>
      <w:r w:rsidRPr="00A26E5D">
        <w:rPr>
          <w:rFonts w:eastAsia="SimSun" w:cs="Times New Roman"/>
          <w:szCs w:val="24"/>
        </w:rPr>
        <w:t>and</w:t>
      </w:r>
      <w:r w:rsidRPr="00A26E5D">
        <w:rPr>
          <w:rFonts w:eastAsia="SimSun" w:cs="Times New Roman"/>
          <w:i/>
          <w:iCs/>
          <w:szCs w:val="24"/>
        </w:rPr>
        <w:t xml:space="preserve"> </w:t>
      </w:r>
      <w:proofErr w:type="spellStart"/>
      <w:r w:rsidRPr="00A26E5D">
        <w:rPr>
          <w:rFonts w:cs="Times New Roman"/>
          <w:i/>
          <w:iCs/>
          <w:szCs w:val="24"/>
        </w:rPr>
        <w:t>f</w:t>
      </w:r>
      <w:r w:rsidRPr="00A26E5D">
        <w:rPr>
          <w:rFonts w:cs="Times New Roman"/>
          <w:i/>
          <w:iCs/>
          <w:szCs w:val="24"/>
          <w:vertAlign w:val="subscript"/>
        </w:rPr>
        <w:t>A</w:t>
      </w:r>
      <w:proofErr w:type="spellEnd"/>
      <w:r w:rsidRPr="00A26E5D">
        <w:rPr>
          <w:rFonts w:cs="Times New Roman"/>
          <w:iCs/>
          <w:szCs w:val="24"/>
        </w:rPr>
        <w:t xml:space="preserve"> is the amphipod frequency (</w:t>
      </w:r>
      <w:r w:rsidRPr="00A26E5D">
        <w:rPr>
          <w:rFonts w:cs="Times New Roman"/>
          <w:szCs w:val="24"/>
        </w:rPr>
        <w:t xml:space="preserve">except </w:t>
      </w:r>
      <w:r w:rsidRPr="00A26E5D">
        <w:rPr>
          <w:rFonts w:eastAsia="SimSun" w:cs="Times New Roman"/>
          <w:szCs w:val="24"/>
        </w:rPr>
        <w:t xml:space="preserve">for the genus </w:t>
      </w:r>
      <w:proofErr w:type="spellStart"/>
      <w:r w:rsidRPr="00A26E5D">
        <w:rPr>
          <w:rFonts w:cs="Times New Roman"/>
          <w:i/>
          <w:szCs w:val="24"/>
        </w:rPr>
        <w:t>Jassa</w:t>
      </w:r>
      <w:proofErr w:type="spellEnd"/>
      <w:r w:rsidRPr="00A26E5D">
        <w:rPr>
          <w:rFonts w:cs="Times New Roman"/>
          <w:iCs/>
          <w:szCs w:val="24"/>
        </w:rPr>
        <w:t>).</w:t>
      </w:r>
    </w:p>
    <w:p w14:paraId="745B9A01" w14:textId="6C4860A3" w:rsidR="00DD069E" w:rsidRPr="001549D3" w:rsidRDefault="00DD069E" w:rsidP="00DD069E">
      <w:pPr>
        <w:pStyle w:val="Heading2"/>
      </w:pPr>
      <w:r>
        <w:rPr>
          <w:rFonts w:eastAsia="Times New Roman"/>
          <w:lang w:val="en-GB" w:eastAsia="en-GB"/>
        </w:rPr>
        <w:t>BENTIX</w:t>
      </w:r>
    </w:p>
    <w:p w14:paraId="5516C743" w14:textId="77777777" w:rsidR="00DD069E" w:rsidRPr="00A26E5D" w:rsidRDefault="00DD069E" w:rsidP="00DD069E">
      <w:pPr>
        <w:spacing w:line="360" w:lineRule="auto"/>
        <w:rPr>
          <w:rFonts w:cs="Times New Roman"/>
          <w:szCs w:val="24"/>
        </w:rPr>
      </w:pPr>
      <w:r w:rsidRPr="00A26E5D">
        <w:rPr>
          <w:rFonts w:cs="Times New Roman"/>
          <w:szCs w:val="24"/>
        </w:rPr>
        <w:t>BENTIX (</w:t>
      </w:r>
      <w:proofErr w:type="spellStart"/>
      <w:r w:rsidRPr="00A26E5D">
        <w:rPr>
          <w:rFonts w:cs="Times New Roman"/>
          <w:szCs w:val="24"/>
        </w:rPr>
        <w:t>Simboura</w:t>
      </w:r>
      <w:proofErr w:type="spellEnd"/>
      <w:r w:rsidRPr="00A26E5D">
        <w:rPr>
          <w:rFonts w:cs="Times New Roman"/>
          <w:szCs w:val="24"/>
        </w:rPr>
        <w:t xml:space="preserve"> and </w:t>
      </w:r>
      <w:proofErr w:type="spellStart"/>
      <w:r w:rsidRPr="00A26E5D">
        <w:rPr>
          <w:rFonts w:cs="Times New Roman"/>
          <w:szCs w:val="24"/>
        </w:rPr>
        <w:t>Zenetos</w:t>
      </w:r>
      <w:proofErr w:type="spellEnd"/>
      <w:r w:rsidRPr="00A26E5D">
        <w:rPr>
          <w:rFonts w:cs="Times New Roman"/>
          <w:szCs w:val="24"/>
        </w:rPr>
        <w:t>, 2002)) is used to classify the marine ecological environment and evaluate the environmental effects of stress factors based on AMBI and is measured by the relative percentage of sensitive species (GS) and tolerant species (GT) (</w:t>
      </w:r>
      <w:proofErr w:type="spellStart"/>
      <w:r w:rsidRPr="00A26E5D">
        <w:rPr>
          <w:rFonts w:cs="Times New Roman"/>
          <w:szCs w:val="24"/>
        </w:rPr>
        <w:t>Simboura</w:t>
      </w:r>
      <w:proofErr w:type="spellEnd"/>
      <w:r w:rsidRPr="00A26E5D">
        <w:rPr>
          <w:rFonts w:cs="Times New Roman"/>
          <w:szCs w:val="24"/>
        </w:rPr>
        <w:t xml:space="preserve"> and </w:t>
      </w:r>
      <w:proofErr w:type="spellStart"/>
      <w:r w:rsidRPr="00A26E5D">
        <w:rPr>
          <w:rFonts w:cs="Times New Roman"/>
          <w:szCs w:val="24"/>
        </w:rPr>
        <w:t>Zenetos</w:t>
      </w:r>
      <w:proofErr w:type="spellEnd"/>
      <w:r w:rsidRPr="00A26E5D">
        <w:rPr>
          <w:rFonts w:cs="Times New Roman"/>
          <w:szCs w:val="24"/>
        </w:rPr>
        <w:t xml:space="preserve">, 2002; </w:t>
      </w:r>
      <w:proofErr w:type="spellStart"/>
      <w:r w:rsidRPr="00A26E5D">
        <w:rPr>
          <w:rFonts w:cs="Times New Roman"/>
          <w:szCs w:val="24"/>
        </w:rPr>
        <w:t>Simboura</w:t>
      </w:r>
      <w:proofErr w:type="spellEnd"/>
      <w:r w:rsidRPr="00A26E5D">
        <w:rPr>
          <w:rFonts w:cs="Times New Roman"/>
          <w:szCs w:val="24"/>
        </w:rPr>
        <w:t xml:space="preserve"> et al., 2007).</w:t>
      </w:r>
    </w:p>
    <w:p w14:paraId="65E729DB" w14:textId="77777777" w:rsidR="00DD069E" w:rsidRPr="00A26E5D" w:rsidRDefault="00DD069E" w:rsidP="00DD069E">
      <w:pPr>
        <w:spacing w:line="360" w:lineRule="auto"/>
        <w:jc w:val="center"/>
        <w:rPr>
          <w:rFonts w:cs="Times New Roman"/>
          <w:szCs w:val="24"/>
        </w:rPr>
      </w:pPr>
      <w:r w:rsidRPr="00A26E5D">
        <w:rPr>
          <w:rFonts w:cs="Times New Roman"/>
          <w:szCs w:val="24"/>
        </w:rPr>
        <w:t>BENTIX = (6 × %GS + 2 × %GT)</w:t>
      </w:r>
    </w:p>
    <w:p w14:paraId="703DB290" w14:textId="77777777" w:rsidR="00DD069E" w:rsidRDefault="00DD069E" w:rsidP="00DD069E">
      <w:pPr>
        <w:spacing w:line="360" w:lineRule="auto"/>
        <w:rPr>
          <w:rFonts w:cs="Times New Roman"/>
          <w:szCs w:val="24"/>
        </w:rPr>
      </w:pPr>
      <w:r w:rsidRPr="00A26E5D">
        <w:rPr>
          <w:rFonts w:cs="Times New Roman"/>
          <w:szCs w:val="24"/>
        </w:rPr>
        <w:t>Where GS=EGI+EGII and GT=EGIII+EGIV+EGV.</w:t>
      </w:r>
    </w:p>
    <w:p w14:paraId="300B9834" w14:textId="77777777" w:rsidR="0083761A" w:rsidRDefault="0083761A">
      <w:pPr>
        <w:spacing w:before="0" w:after="200" w:line="276" w:lineRule="auto"/>
        <w:rPr>
          <w:rFonts w:eastAsia="Cambria" w:cs="Times New Roman"/>
          <w:b/>
          <w:szCs w:val="24"/>
        </w:rPr>
      </w:pPr>
      <w:r>
        <w:br w:type="page"/>
      </w:r>
    </w:p>
    <w:p w14:paraId="027CB005" w14:textId="21BB7887" w:rsidR="00DD069E" w:rsidRPr="00DD069E" w:rsidRDefault="00DD069E" w:rsidP="00DD069E">
      <w:pPr>
        <w:pStyle w:val="Heading1"/>
        <w:numPr>
          <w:ilvl w:val="0"/>
          <w:numId w:val="0"/>
        </w:numPr>
      </w:pPr>
      <w:r w:rsidRPr="00DD069E">
        <w:lastRenderedPageBreak/>
        <w:t>References</w:t>
      </w:r>
    </w:p>
    <w:p w14:paraId="49B1120A" w14:textId="77777777" w:rsidR="00DD069E" w:rsidRDefault="00DD069E" w:rsidP="00DD069E">
      <w:pPr>
        <w:rPr>
          <w:rFonts w:eastAsia="SimHei"/>
          <w:szCs w:val="24"/>
        </w:rPr>
      </w:pPr>
      <w:r w:rsidRPr="00B26301">
        <w:rPr>
          <w:rFonts w:eastAsia="SimHei"/>
          <w:szCs w:val="24"/>
        </w:rPr>
        <w:t>Borja, A., Franco, J., and Pérez, V. (2000). A marine biotic index to establish the ecological quality of soft-bottom benthos within European estuarine and coastal environments. Marine Pollution Bulletin. 40(12), 1100-1114</w:t>
      </w:r>
      <w:r>
        <w:rPr>
          <w:rFonts w:eastAsia="SimHei"/>
          <w:szCs w:val="24"/>
        </w:rPr>
        <w:t>. doi:</w:t>
      </w:r>
      <w:r w:rsidRPr="001314FE">
        <w:rPr>
          <w:rFonts w:eastAsia="SimHei"/>
          <w:szCs w:val="24"/>
        </w:rPr>
        <w:t>10.1016/S0025-326X(00)00061-8</w:t>
      </w:r>
    </w:p>
    <w:p w14:paraId="290DDD68" w14:textId="77777777" w:rsidR="00DD069E" w:rsidRDefault="00DD069E" w:rsidP="00DD069E">
      <w:pPr>
        <w:rPr>
          <w:rFonts w:eastAsia="SimHei"/>
          <w:szCs w:val="24"/>
        </w:rPr>
      </w:pPr>
      <w:r w:rsidRPr="00B26301">
        <w:rPr>
          <w:rFonts w:eastAsia="SimHei"/>
          <w:szCs w:val="24"/>
        </w:rPr>
        <w:t>Clarke K.R. (1990). Comparisons of dominance curves. Journal of Experimental Marine Biology and Ecology. 138(1-2), 143-157. doi:10.1016/0022-0981(90)90181-B</w:t>
      </w:r>
    </w:p>
    <w:p w14:paraId="13F3951B" w14:textId="77777777" w:rsidR="00DD069E" w:rsidRPr="00701E49" w:rsidRDefault="00DD069E" w:rsidP="00DD069E">
      <w:pPr>
        <w:rPr>
          <w:rFonts w:eastAsia="SimHei"/>
          <w:szCs w:val="24"/>
        </w:rPr>
      </w:pPr>
      <w:proofErr w:type="spellStart"/>
      <w:r w:rsidRPr="00701E49">
        <w:rPr>
          <w:rFonts w:eastAsia="SimHei"/>
          <w:szCs w:val="24"/>
        </w:rPr>
        <w:t>Dauvin</w:t>
      </w:r>
      <w:proofErr w:type="spellEnd"/>
      <w:r w:rsidRPr="00701E49">
        <w:rPr>
          <w:rFonts w:eastAsia="SimHei"/>
          <w:szCs w:val="24"/>
        </w:rPr>
        <w:t xml:space="preserve">, J.C., and </w:t>
      </w:r>
      <w:proofErr w:type="spellStart"/>
      <w:r w:rsidRPr="00701E49">
        <w:rPr>
          <w:rFonts w:eastAsia="SimHei"/>
          <w:szCs w:val="24"/>
        </w:rPr>
        <w:t>Ruellet</w:t>
      </w:r>
      <w:proofErr w:type="spellEnd"/>
      <w:r w:rsidRPr="00701E49">
        <w:rPr>
          <w:rFonts w:eastAsia="SimHei"/>
          <w:szCs w:val="24"/>
        </w:rPr>
        <w:t xml:space="preserve">, T. (2007). </w:t>
      </w:r>
      <w:proofErr w:type="spellStart"/>
      <w:r w:rsidRPr="00701E49">
        <w:rPr>
          <w:rFonts w:eastAsia="SimHei"/>
          <w:szCs w:val="24"/>
        </w:rPr>
        <w:t>Polychaete</w:t>
      </w:r>
      <w:proofErr w:type="spellEnd"/>
      <w:r w:rsidRPr="00701E49">
        <w:rPr>
          <w:rFonts w:eastAsia="SimHei"/>
          <w:szCs w:val="24"/>
        </w:rPr>
        <w:t>/amphipod ratio revisited. Marine Pollution Bulletin, 55, 215-224. doi:10.1016/j.marpolbul.2006.08.045</w:t>
      </w:r>
    </w:p>
    <w:p w14:paraId="02ABFABD" w14:textId="77777777" w:rsidR="00DD069E" w:rsidRDefault="00DD069E" w:rsidP="00DD069E">
      <w:pPr>
        <w:rPr>
          <w:rFonts w:eastAsia="SimHei"/>
          <w:szCs w:val="24"/>
        </w:rPr>
      </w:pPr>
      <w:r w:rsidRPr="00701E49">
        <w:rPr>
          <w:rFonts w:eastAsia="SimHei"/>
          <w:szCs w:val="24"/>
        </w:rPr>
        <w:t xml:space="preserve">Huang, Q., </w:t>
      </w:r>
      <w:proofErr w:type="spellStart"/>
      <w:r w:rsidRPr="00701E49">
        <w:rPr>
          <w:rFonts w:eastAsia="SimHei"/>
          <w:szCs w:val="24"/>
        </w:rPr>
        <w:t>Olenin</w:t>
      </w:r>
      <w:proofErr w:type="spellEnd"/>
      <w:r w:rsidRPr="00701E49">
        <w:rPr>
          <w:rFonts w:eastAsia="SimHei"/>
          <w:szCs w:val="24"/>
        </w:rPr>
        <w:t xml:space="preserve">, S., Jiang, T., Sun, S., and De Troch, M. (2019). Assessing environmental effects of the bay scallop </w:t>
      </w:r>
      <w:proofErr w:type="spellStart"/>
      <w:r w:rsidRPr="001314FE">
        <w:rPr>
          <w:rFonts w:eastAsia="SimHei"/>
          <w:i/>
          <w:szCs w:val="24"/>
        </w:rPr>
        <w:t>Argopecten</w:t>
      </w:r>
      <w:proofErr w:type="spellEnd"/>
      <w:r w:rsidRPr="001314FE">
        <w:rPr>
          <w:rFonts w:eastAsia="SimHei"/>
          <w:i/>
          <w:szCs w:val="24"/>
        </w:rPr>
        <w:t xml:space="preserve"> </w:t>
      </w:r>
      <w:proofErr w:type="spellStart"/>
      <w:r w:rsidRPr="001314FE">
        <w:rPr>
          <w:rFonts w:eastAsia="SimHei"/>
          <w:i/>
          <w:szCs w:val="24"/>
        </w:rPr>
        <w:t>irradians</w:t>
      </w:r>
      <w:proofErr w:type="spellEnd"/>
      <w:r w:rsidRPr="00701E49">
        <w:rPr>
          <w:rFonts w:eastAsia="SimHei"/>
          <w:szCs w:val="24"/>
        </w:rPr>
        <w:t xml:space="preserve"> culture in China: using abiotic and biotic indicators. Aquaculture. 499, 316-328. doi:10.1016/j.aquaculture.2018.09.050</w:t>
      </w:r>
    </w:p>
    <w:p w14:paraId="1ABED48B" w14:textId="77777777" w:rsidR="00DD069E" w:rsidRPr="00701E49" w:rsidRDefault="00DD069E" w:rsidP="00DD069E">
      <w:pPr>
        <w:rPr>
          <w:rFonts w:eastAsia="SimHei"/>
          <w:szCs w:val="24"/>
        </w:rPr>
      </w:pPr>
      <w:r w:rsidRPr="00701E49">
        <w:rPr>
          <w:rFonts w:eastAsia="SimHei"/>
          <w:szCs w:val="24"/>
        </w:rPr>
        <w:t>Muxika, I., Borja, A., and Bald, J. (2007). Using historical data, expert judgement, and multivariate analysis in assessing reference conditions and benthic ecological status, according to the European Water Framework Directive. Marine Pollution Bulletin. 55, 16-29. doi:10.1016/j.marpolbul.2006.05.025</w:t>
      </w:r>
    </w:p>
    <w:p w14:paraId="25EC8E99" w14:textId="77777777" w:rsidR="00DD069E" w:rsidRPr="00701E49" w:rsidRDefault="00DD069E" w:rsidP="00DD069E">
      <w:pPr>
        <w:rPr>
          <w:rFonts w:eastAsia="SimHei"/>
          <w:szCs w:val="24"/>
        </w:rPr>
      </w:pPr>
      <w:proofErr w:type="spellStart"/>
      <w:r w:rsidRPr="00701E49">
        <w:rPr>
          <w:rFonts w:eastAsia="SimHei"/>
          <w:szCs w:val="24"/>
        </w:rPr>
        <w:t>Simboura</w:t>
      </w:r>
      <w:proofErr w:type="spellEnd"/>
      <w:r w:rsidRPr="00701E49">
        <w:rPr>
          <w:rFonts w:eastAsia="SimHei"/>
          <w:szCs w:val="24"/>
        </w:rPr>
        <w:t xml:space="preserve">, N. and </w:t>
      </w:r>
      <w:proofErr w:type="spellStart"/>
      <w:r w:rsidRPr="00701E49">
        <w:rPr>
          <w:rFonts w:eastAsia="SimHei"/>
          <w:szCs w:val="24"/>
        </w:rPr>
        <w:t>Zenetos</w:t>
      </w:r>
      <w:proofErr w:type="spellEnd"/>
      <w:r w:rsidRPr="00701E49">
        <w:rPr>
          <w:rFonts w:eastAsia="SimHei"/>
          <w:szCs w:val="24"/>
        </w:rPr>
        <w:t>, A., (2002). Benthic indicators to use in ecological quality classification of Mediterranean soft bottom marine ecosystems, including a new biotic index. Mediterranean Marine Science. 3(2):77-111. doi:10.12681/mms.249</w:t>
      </w:r>
    </w:p>
    <w:p w14:paraId="7F27539A" w14:textId="77777777" w:rsidR="00DD069E" w:rsidRPr="00B26301" w:rsidRDefault="00DD069E" w:rsidP="00DD069E">
      <w:pPr>
        <w:rPr>
          <w:rFonts w:eastAsia="SimHei"/>
          <w:szCs w:val="24"/>
        </w:rPr>
      </w:pPr>
      <w:proofErr w:type="spellStart"/>
      <w:r w:rsidRPr="00701E49">
        <w:rPr>
          <w:rFonts w:eastAsia="SimHei"/>
          <w:szCs w:val="24"/>
        </w:rPr>
        <w:t>Simboura</w:t>
      </w:r>
      <w:proofErr w:type="spellEnd"/>
      <w:r w:rsidRPr="00701E49">
        <w:rPr>
          <w:rFonts w:eastAsia="SimHei"/>
          <w:szCs w:val="24"/>
        </w:rPr>
        <w:t>, N., Papathanassiou, E., and Sakellariou, D. (2007). The use of a biotic index (</w:t>
      </w:r>
      <w:proofErr w:type="spellStart"/>
      <w:r w:rsidRPr="00701E49">
        <w:rPr>
          <w:rFonts w:eastAsia="SimHei"/>
          <w:szCs w:val="24"/>
        </w:rPr>
        <w:t>Bentix</w:t>
      </w:r>
      <w:proofErr w:type="spellEnd"/>
      <w:r w:rsidRPr="00701E49">
        <w:rPr>
          <w:rFonts w:eastAsia="SimHei"/>
          <w:szCs w:val="24"/>
        </w:rPr>
        <w:t>) in assessing long-term effects of dumping coarse metalliferous waste on soft bottom benthic communities. Ecological Indicators. 7(1):164-180. doi:10.1016/j.ecolind.2005.11.006</w:t>
      </w:r>
    </w:p>
    <w:p w14:paraId="7B65BC41" w14:textId="22BF3ADA" w:rsidR="00DE23E8" w:rsidRPr="001549D3" w:rsidRDefault="00DD069E" w:rsidP="00DD069E">
      <w:pPr>
        <w:spacing w:before="240"/>
      </w:pPr>
      <w:r w:rsidRPr="00B26301">
        <w:rPr>
          <w:rFonts w:eastAsia="SimHei"/>
          <w:szCs w:val="24"/>
        </w:rPr>
        <w:t xml:space="preserve">Warwick, R. M. (1986). A new method for detecting pollution effect on marine microbenthic communities. Marine Biology, 92(4): 557-562. </w:t>
      </w:r>
      <w:proofErr w:type="spellStart"/>
      <w:r w:rsidRPr="00B26301">
        <w:rPr>
          <w:rFonts w:eastAsia="SimHei"/>
          <w:szCs w:val="24"/>
        </w:rPr>
        <w:t>doi</w:t>
      </w:r>
      <w:proofErr w:type="spellEnd"/>
      <w:r w:rsidRPr="00B26301">
        <w:rPr>
          <w:rFonts w:eastAsia="SimHei"/>
          <w:szCs w:val="24"/>
        </w:rPr>
        <w:t xml:space="preserve">: </w:t>
      </w:r>
      <w:r w:rsidRPr="00B26301">
        <w:rPr>
          <w:rFonts w:eastAsia="SimHei" w:hint="eastAsia"/>
          <w:szCs w:val="24"/>
        </w:rPr>
        <w:t>10.1007/BF00392515</w:t>
      </w: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A213" w14:textId="77777777" w:rsidR="00740890" w:rsidRDefault="00740890" w:rsidP="00117666">
      <w:pPr>
        <w:spacing w:after="0"/>
      </w:pPr>
      <w:r>
        <w:separator/>
      </w:r>
    </w:p>
  </w:endnote>
  <w:endnote w:type="continuationSeparator" w:id="0">
    <w:p w14:paraId="49520691" w14:textId="77777777" w:rsidR="00740890" w:rsidRDefault="0074089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89DF" w14:textId="77777777" w:rsidR="00740890" w:rsidRDefault="00740890" w:rsidP="00117666">
      <w:pPr>
        <w:spacing w:after="0"/>
      </w:pPr>
      <w:r>
        <w:separator/>
      </w:r>
    </w:p>
  </w:footnote>
  <w:footnote w:type="continuationSeparator" w:id="0">
    <w:p w14:paraId="33963D28" w14:textId="77777777" w:rsidR="00740890" w:rsidRDefault="0074089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1834"/>
    <w:rsid w:val="0070566C"/>
    <w:rsid w:val="00714C50"/>
    <w:rsid w:val="00725A7D"/>
    <w:rsid w:val="00740890"/>
    <w:rsid w:val="007501BE"/>
    <w:rsid w:val="00790BB3"/>
    <w:rsid w:val="007C107C"/>
    <w:rsid w:val="007C206C"/>
    <w:rsid w:val="00817DD6"/>
    <w:rsid w:val="0083759F"/>
    <w:rsid w:val="0083761A"/>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D069E"/>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Oliver Wilks</cp:lastModifiedBy>
  <cp:revision>5</cp:revision>
  <cp:lastPrinted>2013-10-03T12:51:00Z</cp:lastPrinted>
  <dcterms:created xsi:type="dcterms:W3CDTF">2018-11-23T08:58:00Z</dcterms:created>
  <dcterms:modified xsi:type="dcterms:W3CDTF">2021-09-03T13:58:00Z</dcterms:modified>
</cp:coreProperties>
</file>