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F6309" w14:textId="13FEA05A" w:rsidR="006A6985" w:rsidRDefault="006A6985" w:rsidP="006A6985">
      <w:pPr>
        <w:spacing w:before="120" w:line="360" w:lineRule="auto"/>
        <w:rPr>
          <w:rStyle w:val="Strong"/>
        </w:rPr>
      </w:pPr>
      <w:r>
        <w:rPr>
          <w:rStyle w:val="Strong"/>
        </w:rPr>
        <w:t>Supplemental Information</w:t>
      </w:r>
    </w:p>
    <w:p w14:paraId="56BFE68E" w14:textId="77777777" w:rsidR="006A6985" w:rsidRDefault="006A6985" w:rsidP="006A6985">
      <w:pPr>
        <w:spacing w:before="120" w:line="360" w:lineRule="auto"/>
        <w:rPr>
          <w:rStyle w:val="Strong"/>
        </w:rPr>
      </w:pPr>
    </w:p>
    <w:p w14:paraId="54288760" w14:textId="4A771DD2" w:rsidR="006A6985" w:rsidRDefault="006A6985" w:rsidP="006A6985">
      <w:pPr>
        <w:spacing w:before="120" w:line="360" w:lineRule="auto"/>
        <w:rPr>
          <w:rStyle w:val="Strong"/>
          <w:b w:val="0"/>
          <w:bCs w:val="0"/>
        </w:rPr>
      </w:pPr>
      <w:r>
        <w:rPr>
          <w:rStyle w:val="Strong"/>
        </w:rPr>
        <w:t>R</w:t>
      </w:r>
      <w:r>
        <w:rPr>
          <w:rStyle w:val="Strong"/>
          <w:rFonts w:hint="eastAsia"/>
        </w:rPr>
        <w:t>unning</w:t>
      </w:r>
      <w:r>
        <w:rPr>
          <w:rStyle w:val="Strong"/>
        </w:rPr>
        <w:t xml:space="preserve"> </w:t>
      </w:r>
      <w:r w:rsidRPr="002D18A4">
        <w:rPr>
          <w:rStyle w:val="Strong"/>
        </w:rPr>
        <w:t>Title:</w:t>
      </w:r>
      <w:r>
        <w:rPr>
          <w:rStyle w:val="Strong"/>
        </w:rPr>
        <w:t xml:space="preserve"> </w:t>
      </w:r>
      <w:r w:rsidRPr="00A30F5A">
        <w:rPr>
          <w:rStyle w:val="Strong"/>
        </w:rPr>
        <w:t>Protein translation during seed germination</w:t>
      </w:r>
    </w:p>
    <w:p w14:paraId="31DE4C49" w14:textId="77777777" w:rsidR="006A6985" w:rsidRPr="00A30F5A" w:rsidRDefault="006A6985" w:rsidP="006A6985">
      <w:pPr>
        <w:spacing w:before="120" w:line="360" w:lineRule="auto"/>
        <w:rPr>
          <w:rStyle w:val="Strong"/>
          <w:kern w:val="0"/>
        </w:rPr>
      </w:pPr>
    </w:p>
    <w:p w14:paraId="38216144" w14:textId="0DD33EE9" w:rsidR="006A6985" w:rsidRPr="002D18A4" w:rsidRDefault="006A6985" w:rsidP="006A6985">
      <w:pPr>
        <w:spacing w:before="120" w:line="360" w:lineRule="auto"/>
      </w:pPr>
      <w:r w:rsidRPr="002D18A4">
        <w:rPr>
          <w:rStyle w:val="Strong"/>
        </w:rPr>
        <w:t>Title</w:t>
      </w:r>
      <w:bookmarkStart w:id="0" w:name="OLE_LINK9"/>
      <w:bookmarkStart w:id="1" w:name="OLE_LINK10"/>
      <w:bookmarkStart w:id="2" w:name="OLE_LINK7"/>
      <w:bookmarkStart w:id="3" w:name="OLE_LINK8"/>
      <w:bookmarkStart w:id="4" w:name="OLE_LINK20"/>
      <w:bookmarkStart w:id="5" w:name="OLE_LINK21"/>
      <w:bookmarkStart w:id="6" w:name="OLE_LINK22"/>
      <w:bookmarkStart w:id="7" w:name="OLE_LINK15"/>
      <w:bookmarkStart w:id="8" w:name="OLE_LINK16"/>
      <w:r w:rsidRPr="002D18A4">
        <w:rPr>
          <w:rStyle w:val="Strong"/>
        </w:rPr>
        <w:t>:</w:t>
      </w:r>
      <w:r w:rsidRPr="002D18A4">
        <w:t xml:space="preserve"> </w:t>
      </w:r>
      <w:r w:rsidR="00334D91">
        <w:t>Delayed protein</w:t>
      </w:r>
      <w:r w:rsidR="00334D91" w:rsidRPr="006E0DBE">
        <w:t xml:space="preserve"> </w:t>
      </w:r>
      <w:r w:rsidR="00334D91">
        <w:rPr>
          <w:rFonts w:hint="eastAsia"/>
        </w:rPr>
        <w:t>changes</w:t>
      </w:r>
      <w:r w:rsidR="00334D91">
        <w:t xml:space="preserve"> during</w:t>
      </w:r>
      <w:r w:rsidR="00334D91" w:rsidRPr="006E0DBE">
        <w:t xml:space="preserve"> seed germination</w:t>
      </w:r>
      <w:r w:rsidR="00334D91" w:rsidDel="00334D91">
        <w:rPr>
          <w:rStyle w:val="CommentReference"/>
          <w:rFonts w:asciiTheme="minorHAnsi" w:hAnsiTheme="minorHAnsi" w:cstheme="minorBidi"/>
          <w:kern w:val="0"/>
        </w:rPr>
        <w:t xml:space="preserve"> </w:t>
      </w:r>
    </w:p>
    <w:p w14:paraId="739D31E3" w14:textId="0445E512" w:rsidR="006A6985" w:rsidRPr="00227A62" w:rsidRDefault="006A6985" w:rsidP="006A6985">
      <w:pPr>
        <w:spacing w:before="120" w:line="360" w:lineRule="auto"/>
      </w:pPr>
      <w:r w:rsidRPr="00227A62">
        <w:rPr>
          <w:b/>
          <w:bCs/>
        </w:rPr>
        <w:t>Authors:</w:t>
      </w:r>
      <w:r w:rsidRPr="00227A62">
        <w:t xml:space="preserve"> Bing Bai</w:t>
      </w:r>
      <w:bookmarkEnd w:id="0"/>
      <w:bookmarkEnd w:id="1"/>
      <w:r w:rsidRPr="00227A62">
        <w:rPr>
          <w:vertAlign w:val="superscript"/>
        </w:rPr>
        <w:t>1</w:t>
      </w:r>
      <w:r w:rsidRPr="00227A62">
        <w:rPr>
          <w:kern w:val="0"/>
          <w:vertAlign w:val="superscript"/>
        </w:rPr>
        <w:t>*</w:t>
      </w:r>
      <w:r w:rsidRPr="00227A62">
        <w:t>, Niels van der Horst</w:t>
      </w:r>
      <w:r w:rsidRPr="00227A62">
        <w:rPr>
          <w:vertAlign w:val="superscript"/>
        </w:rPr>
        <w:t>2</w:t>
      </w:r>
      <w:r w:rsidRPr="00227A62">
        <w:t xml:space="preserve">, </w:t>
      </w:r>
      <w:bookmarkStart w:id="9" w:name="OLE_LINK25"/>
      <w:bookmarkStart w:id="10" w:name="OLE_LINK26"/>
      <w:bookmarkEnd w:id="2"/>
      <w:bookmarkEnd w:id="3"/>
      <w:bookmarkEnd w:id="4"/>
      <w:bookmarkEnd w:id="5"/>
      <w:bookmarkEnd w:id="6"/>
      <w:r w:rsidR="00334D91">
        <w:t>Wenying Huo</w:t>
      </w:r>
      <w:r w:rsidR="00334D91">
        <w:rPr>
          <w:vertAlign w:val="superscript"/>
        </w:rPr>
        <w:t>1</w:t>
      </w:r>
      <w:r w:rsidR="00334D91" w:rsidRPr="00227A62">
        <w:t>,</w:t>
      </w:r>
      <w:r w:rsidR="00334D91">
        <w:t xml:space="preserve"> </w:t>
      </w:r>
      <w:r w:rsidRPr="00227A62">
        <w:t>J</w:t>
      </w:r>
      <w:r>
        <w:t>an</w:t>
      </w:r>
      <w:r w:rsidRPr="00227A62">
        <w:t xml:space="preserve"> H. Cordewener</w:t>
      </w:r>
      <w:r w:rsidRPr="00227A62">
        <w:rPr>
          <w:vertAlign w:val="superscript"/>
        </w:rPr>
        <w:t>3,4,5</w:t>
      </w:r>
      <w:r w:rsidRPr="00227A62">
        <w:t>, Antoine H.P. America</w:t>
      </w:r>
      <w:r w:rsidRPr="00227A62">
        <w:rPr>
          <w:vertAlign w:val="superscript"/>
        </w:rPr>
        <w:t>3,4,5</w:t>
      </w:r>
      <w:r w:rsidRPr="00227A62">
        <w:t xml:space="preserve">, </w:t>
      </w:r>
      <w:r w:rsidRPr="00227A62">
        <w:rPr>
          <w:kern w:val="0"/>
        </w:rPr>
        <w:t>Harm Nijveen</w:t>
      </w:r>
      <w:r w:rsidRPr="00227A62">
        <w:rPr>
          <w:vertAlign w:val="superscript"/>
        </w:rPr>
        <w:t>2</w:t>
      </w:r>
      <w:r w:rsidRPr="00227A62">
        <w:rPr>
          <w:kern w:val="0"/>
        </w:rPr>
        <w:t xml:space="preserve">, </w:t>
      </w:r>
      <w:r w:rsidRPr="00227A62">
        <w:t>Leónie Bentsink</w:t>
      </w:r>
      <w:r w:rsidRPr="00227A62">
        <w:rPr>
          <w:vertAlign w:val="superscript"/>
        </w:rPr>
        <w:t>1</w:t>
      </w:r>
      <w:r w:rsidRPr="00227A62">
        <w:rPr>
          <w:kern w:val="0"/>
          <w:vertAlign w:val="superscript"/>
        </w:rPr>
        <w:t>*</w:t>
      </w:r>
    </w:p>
    <w:p w14:paraId="708FB68A" w14:textId="77777777" w:rsidR="006A6985" w:rsidRDefault="006A6985" w:rsidP="006A6985">
      <w:pPr>
        <w:spacing w:before="120" w:line="360" w:lineRule="auto"/>
        <w:rPr>
          <w:rFonts w:ascii="AdvPS7C2E" w:hAnsi="AdvPS7C2E" w:cs="AdvPS7C2E"/>
          <w:kern w:val="0"/>
          <w:lang w:eastAsia="en-US"/>
        </w:rPr>
      </w:pPr>
      <w:r>
        <w:rPr>
          <w:vertAlign w:val="superscript"/>
        </w:rPr>
        <w:t>1</w:t>
      </w:r>
      <w:r w:rsidRPr="002D18A4">
        <w:rPr>
          <w:vertAlign w:val="superscript"/>
        </w:rPr>
        <w:t xml:space="preserve"> </w:t>
      </w:r>
      <w:r w:rsidRPr="002D18A4">
        <w:rPr>
          <w:rFonts w:ascii="AdvPS7C2E" w:hAnsi="AdvPS7C2E" w:cs="AdvPS7C2E"/>
          <w:kern w:val="0"/>
          <w:lang w:eastAsia="en-US"/>
        </w:rPr>
        <w:t xml:space="preserve">Wageningen Seed </w:t>
      </w:r>
      <w:r>
        <w:rPr>
          <w:rFonts w:ascii="AdvPS7C2E" w:hAnsi="AdvPS7C2E" w:cs="AdvPS7C2E"/>
          <w:kern w:val="0"/>
          <w:lang w:eastAsia="en-US"/>
        </w:rPr>
        <w:t>Science Centre</w:t>
      </w:r>
      <w:r w:rsidRPr="002D18A4">
        <w:rPr>
          <w:rFonts w:ascii="AdvPS7C2E" w:hAnsi="AdvPS7C2E" w:cs="AdvPS7C2E"/>
          <w:kern w:val="0"/>
          <w:lang w:eastAsia="en-US"/>
        </w:rPr>
        <w:t>, Laboratory of Plant Physiology, Wageningen University, 6708 PB Wageningen, The Netherlands</w:t>
      </w:r>
    </w:p>
    <w:p w14:paraId="545ACDAF" w14:textId="77777777" w:rsidR="006A6985" w:rsidRDefault="006A6985" w:rsidP="006A6985">
      <w:pPr>
        <w:spacing w:before="120" w:line="360" w:lineRule="auto"/>
        <w:rPr>
          <w:kern w:val="0"/>
        </w:rPr>
      </w:pPr>
      <w:r w:rsidRPr="002D18A4">
        <w:rPr>
          <w:vertAlign w:val="superscript"/>
        </w:rPr>
        <w:t>2</w:t>
      </w:r>
      <w:r w:rsidRPr="006E0DBE">
        <w:rPr>
          <w:kern w:val="0"/>
        </w:rPr>
        <w:t xml:space="preserve">Bioinformatics Group, Wageningen University, </w:t>
      </w:r>
      <w:r w:rsidRPr="009818B0">
        <w:rPr>
          <w:kern w:val="0"/>
        </w:rPr>
        <w:t xml:space="preserve">6700 AP </w:t>
      </w:r>
      <w:r w:rsidRPr="006E0DBE">
        <w:rPr>
          <w:kern w:val="0"/>
        </w:rPr>
        <w:t xml:space="preserve">Wageningen, </w:t>
      </w:r>
      <w:r>
        <w:rPr>
          <w:kern w:val="0"/>
        </w:rPr>
        <w:t>T</w:t>
      </w:r>
      <w:r w:rsidRPr="006E0DBE">
        <w:rPr>
          <w:kern w:val="0"/>
        </w:rPr>
        <w:t>he Netherlands</w:t>
      </w:r>
    </w:p>
    <w:p w14:paraId="3A918EA9" w14:textId="77777777" w:rsidR="006A6985" w:rsidRDefault="006A6985" w:rsidP="006A6985">
      <w:pPr>
        <w:spacing w:before="120" w:line="360" w:lineRule="auto"/>
        <w:rPr>
          <w:kern w:val="0"/>
        </w:rPr>
      </w:pPr>
      <w:r w:rsidRPr="009818B0">
        <w:rPr>
          <w:kern w:val="0"/>
          <w:vertAlign w:val="superscript"/>
        </w:rPr>
        <w:t>3</w:t>
      </w:r>
      <w:r w:rsidRPr="009818B0">
        <w:rPr>
          <w:kern w:val="0"/>
        </w:rPr>
        <w:t xml:space="preserve">BU Bioscience, </w:t>
      </w:r>
      <w:r>
        <w:rPr>
          <w:kern w:val="0"/>
        </w:rPr>
        <w:t xml:space="preserve">Wageningen </w:t>
      </w:r>
      <w:r w:rsidRPr="009818B0">
        <w:rPr>
          <w:kern w:val="0"/>
        </w:rPr>
        <w:t>Plant Research, 6700 A</w:t>
      </w:r>
      <w:r>
        <w:rPr>
          <w:kern w:val="0"/>
        </w:rPr>
        <w:t>A</w:t>
      </w:r>
      <w:r w:rsidRPr="009818B0">
        <w:rPr>
          <w:kern w:val="0"/>
        </w:rPr>
        <w:t xml:space="preserve"> Wageningen, The Netherlands </w:t>
      </w:r>
    </w:p>
    <w:p w14:paraId="7D1ACC4C" w14:textId="77777777" w:rsidR="006A6985" w:rsidRDefault="006A6985" w:rsidP="006A6985">
      <w:pPr>
        <w:spacing w:before="120" w:line="360" w:lineRule="auto"/>
        <w:rPr>
          <w:kern w:val="0"/>
        </w:rPr>
      </w:pPr>
      <w:r>
        <w:rPr>
          <w:kern w:val="0"/>
          <w:vertAlign w:val="superscript"/>
        </w:rPr>
        <w:t>4</w:t>
      </w:r>
      <w:r w:rsidRPr="009818B0">
        <w:rPr>
          <w:kern w:val="0"/>
        </w:rPr>
        <w:t xml:space="preserve">Centre for </w:t>
      </w:r>
      <w:proofErr w:type="spellStart"/>
      <w:r w:rsidRPr="009818B0">
        <w:rPr>
          <w:kern w:val="0"/>
        </w:rPr>
        <w:t>BioSystems</w:t>
      </w:r>
      <w:proofErr w:type="spellEnd"/>
      <w:r w:rsidRPr="009818B0">
        <w:rPr>
          <w:kern w:val="0"/>
        </w:rPr>
        <w:t xml:space="preserve"> Genomics, 6700 AB Wageningen, The Netherlands </w:t>
      </w:r>
    </w:p>
    <w:p w14:paraId="081C76D3" w14:textId="77777777" w:rsidR="006A6985" w:rsidRPr="006E0DBE" w:rsidRDefault="006A6985" w:rsidP="006A6985">
      <w:pPr>
        <w:spacing w:before="120" w:line="360" w:lineRule="auto"/>
        <w:rPr>
          <w:kern w:val="0"/>
        </w:rPr>
      </w:pPr>
      <w:r>
        <w:rPr>
          <w:kern w:val="0"/>
          <w:vertAlign w:val="superscript"/>
        </w:rPr>
        <w:t>5</w:t>
      </w:r>
      <w:r w:rsidRPr="009818B0">
        <w:rPr>
          <w:kern w:val="0"/>
        </w:rPr>
        <w:t>Netherlands Proteomics Centre, 3508 TB Utrecht, The Netherlands</w:t>
      </w:r>
    </w:p>
    <w:bookmarkEnd w:id="7"/>
    <w:bookmarkEnd w:id="8"/>
    <w:bookmarkEnd w:id="9"/>
    <w:bookmarkEnd w:id="10"/>
    <w:p w14:paraId="47072FD4" w14:textId="77777777" w:rsidR="006A6985" w:rsidRDefault="006A6985" w:rsidP="006A6985">
      <w:pPr>
        <w:spacing w:before="120" w:line="360" w:lineRule="auto"/>
        <w:rPr>
          <w:kern w:val="0"/>
        </w:rPr>
      </w:pPr>
    </w:p>
    <w:p w14:paraId="79C2B42D" w14:textId="77777777" w:rsidR="006A6985" w:rsidRDefault="006A6985" w:rsidP="006A6985">
      <w:pPr>
        <w:spacing w:before="120" w:line="360" w:lineRule="auto"/>
        <w:rPr>
          <w:kern w:val="0"/>
        </w:rPr>
      </w:pPr>
      <w:r w:rsidRPr="002D18A4">
        <w:rPr>
          <w:kern w:val="0"/>
        </w:rPr>
        <w:t>*</w:t>
      </w:r>
      <w:r w:rsidRPr="002D18A4">
        <w:rPr>
          <w:b/>
          <w:bCs/>
          <w:kern w:val="0"/>
          <w:lang w:eastAsia="en-US"/>
        </w:rPr>
        <w:t>To whom correspondence should be addressed:</w:t>
      </w:r>
      <w:r>
        <w:rPr>
          <w:b/>
          <w:bCs/>
          <w:kern w:val="0"/>
          <w:lang w:eastAsia="en-US"/>
        </w:rPr>
        <w:t xml:space="preserve"> </w:t>
      </w:r>
      <w:r>
        <w:rPr>
          <w:kern w:val="0"/>
        </w:rPr>
        <w:t>Bing Bai (</w:t>
      </w:r>
      <w:hyperlink r:id="rId4" w:history="1">
        <w:r w:rsidRPr="00E33B5B">
          <w:t>bing.bai@wur.nl</w:t>
        </w:r>
      </w:hyperlink>
      <w:r>
        <w:rPr>
          <w:kern w:val="0"/>
        </w:rPr>
        <w:t>); Leónie Bentsink (</w:t>
      </w:r>
      <w:hyperlink r:id="rId5" w:history="1">
        <w:r w:rsidRPr="005F7D66">
          <w:t>leonie.bentsink@wur.nl</w:t>
        </w:r>
      </w:hyperlink>
      <w:r>
        <w:rPr>
          <w:kern w:val="0"/>
        </w:rPr>
        <w:t>)</w:t>
      </w:r>
    </w:p>
    <w:p w14:paraId="3D870C39" w14:textId="77777777" w:rsidR="006A6985" w:rsidRDefault="006A6985" w:rsidP="006A6985">
      <w:pPr>
        <w:spacing w:before="120" w:line="360" w:lineRule="auto"/>
        <w:rPr>
          <w:kern w:val="0"/>
        </w:rPr>
      </w:pPr>
    </w:p>
    <w:p w14:paraId="509B3566" w14:textId="5336360E" w:rsidR="006A6985" w:rsidRDefault="006A6985">
      <w:pPr>
        <w:widowControl/>
        <w:ind w:right="0"/>
        <w:jc w:val="left"/>
      </w:pPr>
      <w:r>
        <w:br w:type="page"/>
      </w:r>
    </w:p>
    <w:p w14:paraId="679AD852" w14:textId="77777777" w:rsidR="00B77899" w:rsidRDefault="00B77899" w:rsidP="006A6985">
      <w:pPr>
        <w:pStyle w:val="simpleheading"/>
      </w:pPr>
      <w:r>
        <w:lastRenderedPageBreak/>
        <w:t>Supplemental methods</w:t>
      </w:r>
    </w:p>
    <w:p w14:paraId="4C12B01D" w14:textId="771E7C7E" w:rsidR="006A6985" w:rsidRPr="002D18A4" w:rsidRDefault="006A6985" w:rsidP="006A6985">
      <w:pPr>
        <w:pStyle w:val="simpleheading"/>
      </w:pPr>
      <w:r>
        <w:t>Total protein extraction for proteomic analysis</w:t>
      </w:r>
    </w:p>
    <w:p w14:paraId="03FB38B5" w14:textId="14D1C739" w:rsidR="006A6985" w:rsidRDefault="006A6985" w:rsidP="006A6985">
      <w:pPr>
        <w:spacing w:before="240" w:line="360" w:lineRule="auto"/>
      </w:pPr>
      <w:r w:rsidRPr="002D18A4">
        <w:t xml:space="preserve">Maturing </w:t>
      </w:r>
      <w:r w:rsidRPr="002D18A4">
        <w:rPr>
          <w:i/>
        </w:rPr>
        <w:t>Arabidopsis thaliana</w:t>
      </w:r>
      <w:r w:rsidRPr="002D18A4">
        <w:t xml:space="preserve"> seeds (accession Columbia-0) were</w:t>
      </w:r>
      <w:r w:rsidRPr="002D18A4">
        <w:rPr>
          <w:i/>
        </w:rPr>
        <w:t xml:space="preserve"> </w:t>
      </w:r>
      <w:r w:rsidRPr="002D18A4">
        <w:t>grown in three biological replicates with 50 plants each.</w:t>
      </w:r>
      <w:r>
        <w:t xml:space="preserve"> Seeds at specific physiological states during germination</w:t>
      </w:r>
      <w:r w:rsidRPr="002D18A4">
        <w:t xml:space="preserve"> were harvested and frozen in liquid nitrogen, freeze-dried and stored at -80 °C until further analyzed.</w:t>
      </w:r>
      <w:r>
        <w:t xml:space="preserve"> </w:t>
      </w:r>
      <w:r w:rsidRPr="00002E29">
        <w:t xml:space="preserve">For the isolation of total protein, 400 mg of freeze-dried tissue was extracted with 8 ml of extraction buffer (0.25 M sucrose, 400 mM Tris, pH 9.0, 200 mM </w:t>
      </w:r>
      <w:proofErr w:type="spellStart"/>
      <w:r w:rsidRPr="00002E29">
        <w:t>KCl</w:t>
      </w:r>
      <w:proofErr w:type="spellEnd"/>
      <w:r w:rsidRPr="00002E29">
        <w:t>, 35 mM MgCl</w:t>
      </w:r>
      <w:r w:rsidRPr="00794E4C">
        <w:rPr>
          <w:vertAlign w:val="subscript"/>
        </w:rPr>
        <w:t>2</w:t>
      </w:r>
      <w:r w:rsidRPr="00002E29">
        <w:t xml:space="preserve">, 5 mM EGTA 50 </w:t>
      </w:r>
      <w:proofErr w:type="spellStart"/>
      <w:r w:rsidRPr="00002E29">
        <w:t>μg</w:t>
      </w:r>
      <w:proofErr w:type="spellEnd"/>
      <w:r w:rsidRPr="00002E29">
        <w:t xml:space="preserve">/mL Cycloheximide, 50 </w:t>
      </w:r>
      <w:proofErr w:type="spellStart"/>
      <w:r w:rsidRPr="00002E29">
        <w:t>μg</w:t>
      </w:r>
      <w:proofErr w:type="spellEnd"/>
      <w:r w:rsidRPr="00002E29">
        <w:t xml:space="preserve">/mL Chloramphenicol). </w:t>
      </w:r>
      <w:r w:rsidR="00A20D47">
        <w:t xml:space="preserve">Chloroform/methanol rather than canonical </w:t>
      </w:r>
      <w:r w:rsidR="00AF1480">
        <w:t xml:space="preserve">acetone </w:t>
      </w:r>
      <w:r w:rsidR="00A20D47">
        <w:t>precipitation was applied in the lysate for protein precipitation based on its high protein recovery and solubility for down-stream LC-MS</w:t>
      </w:r>
      <w:r w:rsidR="00AF1480">
        <w:t xml:space="preserve">. In brief, </w:t>
      </w:r>
      <w:r w:rsidRPr="00002E29">
        <w:t xml:space="preserve">1.1 ml of methanol was added to 0.6 ml of the raw extract and mixed thoroughly. After adding 0.3 ml of chloroform, </w:t>
      </w:r>
      <w:proofErr w:type="spellStart"/>
      <w:r w:rsidRPr="00002E29">
        <w:t>vortexing</w:t>
      </w:r>
      <w:proofErr w:type="spellEnd"/>
      <w:r w:rsidRPr="00002E29">
        <w:t xml:space="preserve"> and centrifugation for 15 minutes at 16,000 g, the supernatant was carefully removed with a capillary pipette.</w:t>
      </w:r>
      <w:r w:rsidR="00A20D47">
        <w:t xml:space="preserve"> </w:t>
      </w:r>
      <w:r w:rsidRPr="00002E29">
        <w:t>The air-dried protein pellet was dissolved in 100 µl of 8 M urea and an aliquot was taken for protein estimation using the Qubit® protein HS Assay Kit (</w:t>
      </w:r>
      <w:proofErr w:type="spellStart"/>
      <w:r w:rsidRPr="00002E29">
        <w:t>ThermoFisher</w:t>
      </w:r>
      <w:proofErr w:type="spellEnd"/>
      <w:r w:rsidRPr="00002E29">
        <w:t xml:space="preserve">, Waltham, USA). Between 4-15 µg of protein dissolved in 100 µl of 8 M urea was used for digestion after reduction (5 mM DTT; 30 min at 37°C) and alkylation (15 mM iodoacetamide; 30 min at RT in the dark) of the cysteines. After adding 75 µl of 0.1 M ammonium bicarbonate buffer (pH8.3), 25 µl of Trypsin/Lys-C Mix (0.02 µg/µl, Promega, Madison, USA) was added for digestion (3 hours at 37°C). After dilution with 200 µl of 0.1 M ammonium bicarbonate, 4 µl of modified trypsin (0.05 </w:t>
      </w:r>
      <w:proofErr w:type="spellStart"/>
      <w:r w:rsidRPr="00002E29">
        <w:t>μg</w:t>
      </w:r>
      <w:proofErr w:type="spellEnd"/>
      <w:r w:rsidRPr="00002E29">
        <w:t>/</w:t>
      </w:r>
      <w:proofErr w:type="spellStart"/>
      <w:r w:rsidRPr="00002E29">
        <w:t>μl</w:t>
      </w:r>
      <w:proofErr w:type="spellEnd"/>
      <w:r w:rsidRPr="00002E29">
        <w:t xml:space="preserve">, Promega, Madison, USA) was added for overnight incubation at 37°C. Digestion was terminated by adding 0.1% trifluoroacetic acid (TFA). The tryptic digests were cleaned by reverse phase SPE (solid phase extraction) on an Oasis HLB Elution Plate (Water). Peptides were eluted with 0.1 ml of 50% acetonitrile (ACN), 0.1% TFA and dried by vacuum centrifugation. For 2D-LC-MS analysis the peptides were dissolved in 20 </w:t>
      </w:r>
      <w:proofErr w:type="spellStart"/>
      <w:r w:rsidRPr="00002E29">
        <w:t>μl</w:t>
      </w:r>
      <w:proofErr w:type="spellEnd"/>
      <w:r w:rsidRPr="00002E29">
        <w:t xml:space="preserve"> of 0.1 M ammonium </w:t>
      </w:r>
      <w:proofErr w:type="spellStart"/>
      <w:r w:rsidRPr="00002E29">
        <w:t>formate</w:t>
      </w:r>
      <w:proofErr w:type="spellEnd"/>
      <w:r w:rsidRPr="00002E29">
        <w:t xml:space="preserve"> (pH 10) and 5 </w:t>
      </w:r>
      <w:proofErr w:type="spellStart"/>
      <w:r w:rsidRPr="00002E29">
        <w:t>μl</w:t>
      </w:r>
      <w:proofErr w:type="spellEnd"/>
      <w:r w:rsidRPr="00002E29">
        <w:t xml:space="preserve"> of the peptides were injected into the machine.</w:t>
      </w:r>
      <w:r>
        <w:t xml:space="preserve"> </w:t>
      </w:r>
    </w:p>
    <w:p w14:paraId="57BB2802" w14:textId="77777777" w:rsidR="006A6985" w:rsidRPr="00410E77" w:rsidRDefault="006A6985" w:rsidP="006A6985">
      <w:pPr>
        <w:spacing w:before="240" w:line="360" w:lineRule="auto"/>
        <w:rPr>
          <w:b/>
          <w:bCs/>
        </w:rPr>
      </w:pPr>
      <w:r w:rsidRPr="00410E77">
        <w:rPr>
          <w:b/>
          <w:bCs/>
        </w:rPr>
        <w:t>Chromatography and mass spectrometry</w:t>
      </w:r>
    </w:p>
    <w:p w14:paraId="41FAADAB" w14:textId="77777777" w:rsidR="006A6985" w:rsidRDefault="006A6985" w:rsidP="006A6985">
      <w:pPr>
        <w:spacing w:before="240" w:line="360" w:lineRule="auto"/>
      </w:pPr>
      <w:r>
        <w:t xml:space="preserve">For high resolution separation of the ribosomal protein digests, a </w:t>
      </w:r>
      <w:proofErr w:type="spellStart"/>
      <w:r>
        <w:t>nanoAcquity</w:t>
      </w:r>
      <w:proofErr w:type="spellEnd"/>
      <w:r>
        <w:t xml:space="preserve"> 2-D UPLC system (Waters Corporation, Manchester, UK) was used employing orthogonal reverse phase separation at high and low pH, respectively. With this 2-D set up, the pool of peptides was eluted from the first dimension </w:t>
      </w:r>
      <w:proofErr w:type="spellStart"/>
      <w:r>
        <w:t>XBridge</w:t>
      </w:r>
      <w:proofErr w:type="spellEnd"/>
      <w:r>
        <w:t xml:space="preserve"> C18 trap column (in 20 mM ammonium </w:t>
      </w:r>
      <w:proofErr w:type="spellStart"/>
      <w:r>
        <w:t>formate</w:t>
      </w:r>
      <w:proofErr w:type="spellEnd"/>
      <w:r>
        <w:t xml:space="preserve"> pH 10) in two steps of 20% and 65% ACN. For the second dimension we used a BEH C18 column (75 </w:t>
      </w:r>
      <w:proofErr w:type="spellStart"/>
      <w:r>
        <w:t>μm</w:t>
      </w:r>
      <w:proofErr w:type="spellEnd"/>
      <w:r>
        <w:t xml:space="preserve"> ×25 cm, water UK) eluting with a 100 minutes linear gradient from 3 to 40% ACN (in 0.1% FA) at 200 </w:t>
      </w:r>
      <w:proofErr w:type="spellStart"/>
      <w:r>
        <w:t>nl</w:t>
      </w:r>
      <w:proofErr w:type="spellEnd"/>
      <w:r>
        <w:t>/min. The eluting peptides were on-line injected into a Q-</w:t>
      </w:r>
      <w:proofErr w:type="spellStart"/>
      <w:r>
        <w:t>Exactive</w:t>
      </w:r>
      <w:proofErr w:type="spellEnd"/>
      <w:r>
        <w:t xml:space="preserve"> Plus (Thermo Scientific) mass spectrometer using a nano-electrospray source. </w:t>
      </w:r>
      <w:proofErr w:type="spellStart"/>
      <w:r>
        <w:t>Ionisation</w:t>
      </w:r>
      <w:proofErr w:type="spellEnd"/>
      <w:r>
        <w:t xml:space="preserve"> (2.4 kV) was performed using a stainless-steel emitter and a heated capillary temperature of 250˚C. Full MS scans were acquired over the m/z range 400-1500 with a mass resolution of 70 000 (at m/z 200). Full scan target was set 3x106 with a maximum fill time of 50 </w:t>
      </w:r>
      <w:proofErr w:type="spellStart"/>
      <w:r>
        <w:t>ms.</w:t>
      </w:r>
      <w:proofErr w:type="spellEnd"/>
      <w:r>
        <w:t xml:space="preserve"> The 10 most intense peaks with charge state 2-4 were fragmented in the HCD collision cell with a normalized collision energy of 28%. The mass range was set to </w:t>
      </w:r>
      <w:r>
        <w:lastRenderedPageBreak/>
        <w:t xml:space="preserve">140-2000, and a mass resolution of 17500 (at m/z 200). The target value for fragment scans was set at 5x104, the intensity threshold was kept at 1x104 and the maximum allowed accumulation times were 100 </w:t>
      </w:r>
      <w:proofErr w:type="spellStart"/>
      <w:r>
        <w:t>ms.</w:t>
      </w:r>
      <w:proofErr w:type="spellEnd"/>
      <w:r>
        <w:t xml:space="preserve"> Peptide match was set to preferred, isolation window at 1.6 m/z and isotope exclusion was on. The dynamic exclusion was set to 30 s.</w:t>
      </w:r>
    </w:p>
    <w:p w14:paraId="48E543E6" w14:textId="77777777" w:rsidR="006A6985" w:rsidRPr="00410E77" w:rsidRDefault="006A6985" w:rsidP="006A6985">
      <w:pPr>
        <w:spacing w:before="240" w:line="360" w:lineRule="auto"/>
        <w:rPr>
          <w:b/>
          <w:bCs/>
        </w:rPr>
      </w:pPr>
      <w:r w:rsidRPr="00410E77">
        <w:rPr>
          <w:b/>
          <w:bCs/>
        </w:rPr>
        <w:t>Database search for protein identification and quantitative analysis</w:t>
      </w:r>
    </w:p>
    <w:p w14:paraId="1E6AB309" w14:textId="127FE663" w:rsidR="00F10A25" w:rsidRDefault="006A6985" w:rsidP="006A6985">
      <w:pPr>
        <w:spacing w:before="240" w:line="360" w:lineRule="auto"/>
      </w:pPr>
      <w:r>
        <w:t xml:space="preserve">The raw QEX LC-MS/MS data were processed with the work flow described for plant proteomics using the </w:t>
      </w:r>
      <w:proofErr w:type="spellStart"/>
      <w:r>
        <w:t>Maxquant</w:t>
      </w:r>
      <w:proofErr w:type="spellEnd"/>
      <w:r>
        <w:t xml:space="preserve"> (Cox and Mann, 2008; </w:t>
      </w:r>
      <w:proofErr w:type="spellStart"/>
      <w:r>
        <w:t>Smaczniak</w:t>
      </w:r>
      <w:proofErr w:type="spellEnd"/>
      <w:r>
        <w:t xml:space="preserve"> et al., 2012) and the resulting masses file containing all the fragment information was matched against the an in-house TAIR protein sequence database based on The Arabidopsis Information Resource (TAIR10, http://www.Arabidopsis.org). The proteinGroups.txt file generated from </w:t>
      </w:r>
      <w:proofErr w:type="spellStart"/>
      <w:r>
        <w:t>Maxquant</w:t>
      </w:r>
      <w:proofErr w:type="spellEnd"/>
      <w:r>
        <w:t xml:space="preserve"> was used for quantitative analysis. Intensity determination and normalization was performed by algorithm </w:t>
      </w:r>
      <w:proofErr w:type="spellStart"/>
      <w:r>
        <w:t>MaxLFQ</w:t>
      </w:r>
      <w:proofErr w:type="spellEnd"/>
      <w:r>
        <w:t xml:space="preserve"> (Cox et al., 2014). The LFQ value generated was used for further statistics analysis by package Perseus (</w:t>
      </w:r>
      <w:proofErr w:type="spellStart"/>
      <w:r>
        <w:t>Tyanova</w:t>
      </w:r>
      <w:proofErr w:type="spellEnd"/>
      <w:r>
        <w:t xml:space="preserve"> et al., 2016). A protein was identified as present if Log2 transformed LFQ value is above background for at least in the three biological replicates of at least one sample. An imputation is used to simulate the missing values based on the normal distribution with simulation with of 0.3 and shift of 1.8.</w:t>
      </w:r>
    </w:p>
    <w:p w14:paraId="4FB622FB" w14:textId="77777777" w:rsidR="00F10A25" w:rsidRDefault="00F10A25">
      <w:pPr>
        <w:widowControl/>
        <w:ind w:right="0"/>
        <w:jc w:val="left"/>
      </w:pPr>
      <w:r>
        <w:br w:type="page"/>
      </w:r>
    </w:p>
    <w:p w14:paraId="5A30858A" w14:textId="7D866AA1" w:rsidR="006A6985" w:rsidRDefault="00B77899" w:rsidP="006A6985">
      <w:pPr>
        <w:spacing w:before="240" w:line="360" w:lineRule="auto"/>
        <w:rPr>
          <w:b/>
          <w:bCs/>
        </w:rPr>
      </w:pPr>
      <w:r w:rsidRPr="00C53487">
        <w:rPr>
          <w:b/>
          <w:bCs/>
        </w:rPr>
        <w:lastRenderedPageBreak/>
        <w:t>Supplemental figures</w:t>
      </w:r>
    </w:p>
    <w:p w14:paraId="28B593A2" w14:textId="77777777" w:rsidR="00B77899" w:rsidRPr="00C53487" w:rsidRDefault="00B77899" w:rsidP="006A6985">
      <w:pPr>
        <w:spacing w:before="240" w:line="360" w:lineRule="auto"/>
        <w:rPr>
          <w:b/>
          <w:bCs/>
        </w:rPr>
      </w:pPr>
    </w:p>
    <w:p w14:paraId="61C48AEE" w14:textId="549BCBC7" w:rsidR="00831912" w:rsidRDefault="00F10A25">
      <w:r>
        <w:rPr>
          <w:noProof/>
        </w:rPr>
        <w:drawing>
          <wp:inline distT="0" distB="0" distL="0" distR="0" wp14:anchorId="71D7F49B" wp14:editId="6EB1DFAD">
            <wp:extent cx="5727700" cy="4044315"/>
            <wp:effectExtent l="0" t="0" r="0" b="0"/>
            <wp:docPr id="1" name="Picture 1" descr="Diagram,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calendar&#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4044315"/>
                    </a:xfrm>
                    <a:prstGeom prst="rect">
                      <a:avLst/>
                    </a:prstGeom>
                  </pic:spPr>
                </pic:pic>
              </a:graphicData>
            </a:graphic>
          </wp:inline>
        </w:drawing>
      </w:r>
    </w:p>
    <w:p w14:paraId="390C34D9" w14:textId="101D6D51" w:rsidR="008564D7" w:rsidRDefault="00A22141" w:rsidP="00A22141">
      <w:pPr>
        <w:pStyle w:val="simpleheading"/>
        <w:spacing w:before="240"/>
        <w:rPr>
          <w:b w:val="0"/>
          <w:bCs w:val="0"/>
        </w:rPr>
      </w:pPr>
      <w:r>
        <w:t xml:space="preserve">Figure S1. </w:t>
      </w:r>
      <w:r>
        <w:rPr>
          <w:b w:val="0"/>
          <w:bCs w:val="0"/>
        </w:rPr>
        <w:t>E</w:t>
      </w:r>
      <w:r w:rsidRPr="0083142F">
        <w:rPr>
          <w:b w:val="0"/>
          <w:bCs w:val="0"/>
        </w:rPr>
        <w:t>xpression bias of detected protein coding genes</w:t>
      </w:r>
      <w:r>
        <w:rPr>
          <w:b w:val="0"/>
          <w:bCs w:val="0"/>
        </w:rPr>
        <w:t xml:space="preserve"> and the predicted subcellular localization</w:t>
      </w:r>
      <w:r w:rsidRPr="0083142F">
        <w:rPr>
          <w:b w:val="0"/>
          <w:bCs w:val="0"/>
        </w:rPr>
        <w:t xml:space="preserve">. </w:t>
      </w:r>
      <w:r>
        <w:rPr>
          <w:b w:val="0"/>
          <w:bCs w:val="0"/>
        </w:rPr>
        <w:t>B</w:t>
      </w:r>
      <w:r w:rsidRPr="0083142F">
        <w:rPr>
          <w:b w:val="0"/>
          <w:bCs w:val="0"/>
        </w:rPr>
        <w:t>oxplot</w:t>
      </w:r>
      <w:r>
        <w:rPr>
          <w:b w:val="0"/>
          <w:bCs w:val="0"/>
        </w:rPr>
        <w:t>s</w:t>
      </w:r>
      <w:r w:rsidRPr="0083142F">
        <w:rPr>
          <w:b w:val="0"/>
          <w:bCs w:val="0"/>
        </w:rPr>
        <w:t xml:space="preserve"> of the </w:t>
      </w:r>
      <w:r>
        <w:rPr>
          <w:b w:val="0"/>
          <w:bCs w:val="0"/>
        </w:rPr>
        <w:t xml:space="preserve">total </w:t>
      </w:r>
      <w:r w:rsidRPr="0083142F">
        <w:rPr>
          <w:b w:val="0"/>
          <w:bCs w:val="0"/>
        </w:rPr>
        <w:t>mRNA</w:t>
      </w:r>
      <w:r>
        <w:rPr>
          <w:b w:val="0"/>
          <w:bCs w:val="0"/>
        </w:rPr>
        <w:t xml:space="preserve"> (A</w:t>
      </w:r>
      <w:r w:rsidRPr="0083142F">
        <w:rPr>
          <w:b w:val="0"/>
          <w:bCs w:val="0"/>
        </w:rPr>
        <w:t xml:space="preserve">) </w:t>
      </w:r>
      <w:r>
        <w:rPr>
          <w:b w:val="0"/>
          <w:bCs w:val="0"/>
        </w:rPr>
        <w:t xml:space="preserve">and polysomal </w:t>
      </w:r>
      <w:r w:rsidRPr="0083142F">
        <w:rPr>
          <w:b w:val="0"/>
          <w:bCs w:val="0"/>
        </w:rPr>
        <w:t>mRNA</w:t>
      </w:r>
      <w:r>
        <w:rPr>
          <w:b w:val="0"/>
          <w:bCs w:val="0"/>
        </w:rPr>
        <w:t xml:space="preserve"> (B) identified. (C)</w:t>
      </w:r>
      <w:r w:rsidRPr="0083142F">
        <w:rPr>
          <w:b w:val="0"/>
          <w:bCs w:val="0"/>
        </w:rPr>
        <w:t xml:space="preserve"> </w:t>
      </w:r>
      <w:r>
        <w:rPr>
          <w:b w:val="0"/>
          <w:bCs w:val="0"/>
        </w:rPr>
        <w:t xml:space="preserve">Boxplot of </w:t>
      </w:r>
      <w:r w:rsidRPr="0083142F">
        <w:rPr>
          <w:b w:val="0"/>
          <w:bCs w:val="0"/>
        </w:rPr>
        <w:t xml:space="preserve">the </w:t>
      </w:r>
      <w:r>
        <w:rPr>
          <w:b w:val="0"/>
          <w:bCs w:val="0"/>
        </w:rPr>
        <w:t xml:space="preserve">total </w:t>
      </w:r>
      <w:r w:rsidRPr="0083142F">
        <w:rPr>
          <w:b w:val="0"/>
          <w:bCs w:val="0"/>
        </w:rPr>
        <w:t>mRNA</w:t>
      </w:r>
      <w:r>
        <w:rPr>
          <w:b w:val="0"/>
          <w:bCs w:val="0"/>
        </w:rPr>
        <w:t xml:space="preserve"> (C</w:t>
      </w:r>
      <w:r w:rsidRPr="0083142F">
        <w:rPr>
          <w:b w:val="0"/>
          <w:bCs w:val="0"/>
        </w:rPr>
        <w:t xml:space="preserve">) </w:t>
      </w:r>
      <w:r>
        <w:rPr>
          <w:b w:val="0"/>
          <w:bCs w:val="0"/>
        </w:rPr>
        <w:t xml:space="preserve">and polysomal </w:t>
      </w:r>
      <w:r w:rsidRPr="0083142F">
        <w:rPr>
          <w:b w:val="0"/>
          <w:bCs w:val="0"/>
        </w:rPr>
        <w:t>mRNA</w:t>
      </w:r>
      <w:r>
        <w:rPr>
          <w:b w:val="0"/>
          <w:bCs w:val="0"/>
        </w:rPr>
        <w:t xml:space="preserve"> (D) of the </w:t>
      </w:r>
      <w:r w:rsidRPr="0083142F">
        <w:rPr>
          <w:b w:val="0"/>
          <w:bCs w:val="0"/>
        </w:rPr>
        <w:t>subset</w:t>
      </w:r>
      <w:r>
        <w:rPr>
          <w:b w:val="0"/>
          <w:bCs w:val="0"/>
        </w:rPr>
        <w:t xml:space="preserve"> for which proteins have been identified.</w:t>
      </w:r>
    </w:p>
    <w:p w14:paraId="53F77A51" w14:textId="77777777" w:rsidR="008564D7" w:rsidRDefault="008564D7">
      <w:pPr>
        <w:widowControl/>
        <w:ind w:right="0"/>
        <w:jc w:val="left"/>
        <w:rPr>
          <w:color w:val="000000" w:themeColor="text1"/>
        </w:rPr>
      </w:pPr>
      <w:r>
        <w:rPr>
          <w:b/>
          <w:bCs/>
        </w:rPr>
        <w:br w:type="page"/>
      </w:r>
    </w:p>
    <w:p w14:paraId="4126FF50" w14:textId="77777777" w:rsidR="00A22141" w:rsidRDefault="00A22141" w:rsidP="00A22141">
      <w:pPr>
        <w:pStyle w:val="simpleheading"/>
        <w:spacing w:before="240"/>
        <w:rPr>
          <w:b w:val="0"/>
          <w:bCs w:val="0"/>
        </w:rPr>
      </w:pPr>
    </w:p>
    <w:p w14:paraId="6E73B967" w14:textId="2F41CE76" w:rsidR="000672F2" w:rsidRDefault="00A4025C">
      <w:pPr>
        <w:widowControl/>
        <w:ind w:right="0"/>
        <w:jc w:val="left"/>
        <w:rPr>
          <w:rFonts w:eastAsia="Times New Roman"/>
          <w:color w:val="FF0000"/>
        </w:rPr>
      </w:pPr>
      <w:r>
        <w:rPr>
          <w:rFonts w:eastAsia="Times New Roman"/>
          <w:noProof/>
          <w:color w:val="FF0000"/>
        </w:rPr>
        <w:drawing>
          <wp:inline distT="0" distB="0" distL="0" distR="0" wp14:anchorId="0A9A5D5C" wp14:editId="6A6FB502">
            <wp:extent cx="5727700" cy="3664585"/>
            <wp:effectExtent l="0" t="0" r="6350" b="0"/>
            <wp:docPr id="5" name="Picture 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 polygon&#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0" cy="3664585"/>
                    </a:xfrm>
                    <a:prstGeom prst="rect">
                      <a:avLst/>
                    </a:prstGeom>
                  </pic:spPr>
                </pic:pic>
              </a:graphicData>
            </a:graphic>
          </wp:inline>
        </w:drawing>
      </w:r>
    </w:p>
    <w:p w14:paraId="6F72814A" w14:textId="1319A86F" w:rsidR="00A22141" w:rsidRDefault="000672F2" w:rsidP="00A4025C">
      <w:pPr>
        <w:widowControl/>
        <w:spacing w:line="360" w:lineRule="auto"/>
        <w:ind w:right="0"/>
        <w:jc w:val="left"/>
        <w:rPr>
          <w:color w:val="000000" w:themeColor="text1"/>
        </w:rPr>
      </w:pPr>
      <w:r w:rsidRPr="00A4025C">
        <w:rPr>
          <w:rFonts w:eastAsia="Times New Roman"/>
          <w:color w:val="000000" w:themeColor="text1"/>
        </w:rPr>
        <w:t xml:space="preserve">Figure S2. Delayed gene validation. Gene candidates identified as DUGs in current study </w:t>
      </w:r>
      <w:r w:rsidR="008564D7" w:rsidRPr="00A4025C">
        <w:rPr>
          <w:rFonts w:eastAsia="Times New Roman"/>
          <w:color w:val="000000" w:themeColor="text1"/>
        </w:rPr>
        <w:t>are validated using t</w:t>
      </w:r>
      <w:r w:rsidR="00A4025C">
        <w:rPr>
          <w:rFonts w:eastAsia="Times New Roman"/>
          <w:color w:val="000000" w:themeColor="text1"/>
        </w:rPr>
        <w:t>w</w:t>
      </w:r>
      <w:r w:rsidR="008564D7" w:rsidRPr="00A4025C">
        <w:rPr>
          <w:rFonts w:eastAsia="Times New Roman"/>
          <w:color w:val="000000" w:themeColor="text1"/>
        </w:rPr>
        <w:t xml:space="preserve">o public data sets. The transcriptomic data by </w:t>
      </w:r>
      <w:r w:rsidR="008564D7" w:rsidRPr="00A4025C">
        <w:rPr>
          <w:rFonts w:eastAsia="Times New Roman"/>
          <w:noProof/>
          <w:color w:val="000000" w:themeColor="text1"/>
        </w:rPr>
        <w:t>Dekkers</w:t>
      </w:r>
      <w:r w:rsidR="008564D7" w:rsidRPr="00A4025C">
        <w:rPr>
          <w:rFonts w:eastAsia="Times New Roman"/>
          <w:i/>
          <w:noProof/>
          <w:color w:val="000000" w:themeColor="text1"/>
        </w:rPr>
        <w:t xml:space="preserve"> et al.</w:t>
      </w:r>
      <w:r w:rsidR="008564D7" w:rsidRPr="00A4025C">
        <w:rPr>
          <w:rFonts w:eastAsia="Times New Roman"/>
          <w:noProof/>
          <w:color w:val="000000" w:themeColor="text1"/>
        </w:rPr>
        <w:t>, 2013 represents transcriptome data</w:t>
      </w:r>
      <w:r w:rsidR="00384058" w:rsidRPr="00A4025C">
        <w:rPr>
          <w:rFonts w:eastAsia="Times New Roman"/>
          <w:noProof/>
          <w:color w:val="000000" w:themeColor="text1"/>
        </w:rPr>
        <w:t xml:space="preserve"> measured at different time-points during seed germination (0</w:t>
      </w:r>
      <w:r w:rsidR="00A4025C" w:rsidRPr="00A4025C">
        <w:rPr>
          <w:rFonts w:eastAsia="Times New Roman"/>
          <w:noProof/>
          <w:color w:val="000000" w:themeColor="text1"/>
        </w:rPr>
        <w:t>-38</w:t>
      </w:r>
      <w:r w:rsidR="00384058" w:rsidRPr="00A4025C">
        <w:rPr>
          <w:rFonts w:eastAsia="Times New Roman"/>
          <w:noProof/>
          <w:color w:val="000000" w:themeColor="text1"/>
        </w:rPr>
        <w:t>hours after imbibition (HAI)</w:t>
      </w:r>
      <w:r w:rsidR="00A4025C">
        <w:rPr>
          <w:rFonts w:eastAsia="Times New Roman"/>
          <w:noProof/>
          <w:color w:val="000000" w:themeColor="text1"/>
        </w:rPr>
        <w:t>)</w:t>
      </w:r>
      <w:r w:rsidR="008564D7" w:rsidRPr="00A4025C">
        <w:rPr>
          <w:rFonts w:eastAsia="Times New Roman"/>
          <w:noProof/>
          <w:color w:val="000000" w:themeColor="text1"/>
        </w:rPr>
        <w:t xml:space="preserve"> </w:t>
      </w:r>
      <w:r w:rsidR="008564D7" w:rsidRPr="00A4025C">
        <w:rPr>
          <w:rFonts w:eastAsia="Times New Roman"/>
          <w:color w:val="000000" w:themeColor="text1"/>
        </w:rPr>
        <w:t>and</w:t>
      </w:r>
      <w:r w:rsidR="00384058" w:rsidRPr="00A4025C">
        <w:rPr>
          <w:rFonts w:eastAsia="Times New Roman"/>
          <w:color w:val="000000" w:themeColor="text1"/>
        </w:rPr>
        <w:t xml:space="preserve"> the set of </w:t>
      </w:r>
      <w:r w:rsidR="00384058" w:rsidRPr="00A4025C">
        <w:rPr>
          <w:rFonts w:eastAsia="Times New Roman"/>
          <w:color w:val="000000" w:themeColor="text1"/>
        </w:rPr>
        <w:fldChar w:fldCharType="begin"/>
      </w:r>
      <w:r w:rsidR="00384058" w:rsidRPr="00A4025C">
        <w:rPr>
          <w:rFonts w:eastAsia="Times New Roman"/>
          <w:color w:val="000000" w:themeColor="text1"/>
        </w:rPr>
        <w:instrText xml:space="preserve"> ADDIN EN.CITE &lt;EndNote&gt;&lt;Cite&gt;&lt;Author&gt;Galland&lt;/Author&gt;&lt;Year&gt;2014&lt;/Year&gt;&lt;RecNum&gt;1484&lt;/RecNum&gt;&lt;DisplayText&gt;(Galland&lt;style face="italic"&gt; et al.&lt;/style&gt;, 2014)&lt;/DisplayText&gt;&lt;record&gt;&lt;rec-number&gt;1484&lt;/rec-number&gt;&lt;foreign-keys&gt;&lt;key app="EN" db-id="v9fzaaptyrfwtle9aedxzrdizs9xea0a25vx" timestamp="1403708612"&gt;1484&lt;/key&gt;&lt;/foreign-keys&gt;&lt;ref-type name="Journal Article"&gt;17&lt;/ref-type&gt;&lt;contributors&gt;&lt;authors&gt;&lt;author&gt;Galland, M.&lt;/author&gt;&lt;author&gt;Huguet, R.&lt;/author&gt;&lt;author&gt;Arc, E.&lt;/author&gt;&lt;author&gt;Cueff, G.&lt;/author&gt;&lt;author&gt;Job, D.&lt;/author&gt;&lt;author&gt;Rajjou, L.&lt;/author&gt;&lt;/authors&gt;&lt;/contributors&gt;&lt;auth-address&gt;INRA, Jean-Pierre Bourgin Institute (IJPB, UMR1318 INRA-AgroParisTech), Laboratory of Excellence &amp;quot;Saclay Plant Sciences&amp;quot; (LabEx SPS), F-78026 Versailles, France;&lt;/auth-address&gt;&lt;titles&gt;&lt;title&gt;Dynamic proteomics emphasizes the importance of selective mRNA translation and protein turnover during Arabidopsis seed germination&lt;/title&gt;&lt;secondary-title&gt;Mol Cell Proteomics&lt;/secondary-title&gt;&lt;alt-title&gt;Molecular &amp;amp; cellular proteomics : MCP&lt;/alt-title&gt;&lt;/titles&gt;&lt;periodical&gt;&lt;full-title&gt;Molecular &amp;amp; cellular proteomics&lt;/full-title&gt;&lt;abbr-1&gt;Mol Cell Proteomics&lt;/abbr-1&gt;&lt;/periodical&gt;&lt;pages&gt;252-68&lt;/pages&gt;&lt;volume&gt;13&lt;/volume&gt;&lt;number&gt;1&lt;/number&gt;&lt;edition&gt;2013/11/08&lt;/edition&gt;&lt;dates&gt;&lt;year&gt;2014&lt;/year&gt;&lt;pub-dates&gt;&lt;date&gt;Jan&lt;/date&gt;&lt;/pub-dates&gt;&lt;/dates&gt;&lt;isbn&gt;1535-9484 (Electronic)&amp;#xD;1535-9476 (Linking)&lt;/isbn&gt;&lt;accession-num&gt;24198433&lt;/accession-num&gt;&lt;work-type&gt;Research Support, Non-U.S. Gov&amp;apos;t&lt;/work-type&gt;&lt;urls&gt;&lt;related-urls&gt;&lt;url&gt;http://www.ncbi.nlm.nih.gov/pubmed/24198433&lt;/url&gt;&lt;url&gt;http://www.mcponline.org/content/13/1/252.full.pdf&lt;/url&gt;&lt;/related-urls&gt;&lt;/urls&gt;&lt;custom2&gt;3879618&lt;/custom2&gt;&lt;electronic-resource-num&gt;10.1074/mcp.M113.032227&lt;/electronic-resource-num&gt;&lt;language&gt;eng&lt;/language&gt;&lt;/record&gt;&lt;/Cite&gt;&lt;/EndNote&gt;</w:instrText>
      </w:r>
      <w:r w:rsidR="00384058" w:rsidRPr="00A4025C">
        <w:rPr>
          <w:rFonts w:eastAsia="Times New Roman"/>
          <w:color w:val="000000" w:themeColor="text1"/>
        </w:rPr>
        <w:fldChar w:fldCharType="separate"/>
      </w:r>
      <w:r w:rsidR="00384058" w:rsidRPr="00A4025C">
        <w:rPr>
          <w:rFonts w:eastAsia="Times New Roman"/>
          <w:noProof/>
          <w:color w:val="000000" w:themeColor="text1"/>
        </w:rPr>
        <w:t>(Galland</w:t>
      </w:r>
      <w:r w:rsidR="00384058" w:rsidRPr="00A4025C">
        <w:rPr>
          <w:rFonts w:eastAsia="Times New Roman"/>
          <w:i/>
          <w:noProof/>
          <w:color w:val="000000" w:themeColor="text1"/>
        </w:rPr>
        <w:t xml:space="preserve"> et al.</w:t>
      </w:r>
      <w:r w:rsidR="00384058" w:rsidRPr="00A4025C">
        <w:rPr>
          <w:rFonts w:eastAsia="Times New Roman"/>
          <w:noProof/>
          <w:color w:val="000000" w:themeColor="text1"/>
        </w:rPr>
        <w:t>, 2014)</w:t>
      </w:r>
      <w:r w:rsidR="00384058" w:rsidRPr="00A4025C">
        <w:rPr>
          <w:rFonts w:eastAsia="Times New Roman"/>
          <w:color w:val="000000" w:themeColor="text1"/>
        </w:rPr>
        <w:fldChar w:fldCharType="end"/>
      </w:r>
      <w:r w:rsidR="00384058" w:rsidRPr="00A4025C">
        <w:rPr>
          <w:rFonts w:eastAsia="Times New Roman"/>
          <w:color w:val="000000" w:themeColor="text1"/>
        </w:rPr>
        <w:t xml:space="preserve"> </w:t>
      </w:r>
      <w:r w:rsidR="008564D7" w:rsidRPr="00A4025C">
        <w:rPr>
          <w:rFonts w:eastAsia="Times New Roman"/>
          <w:color w:val="000000" w:themeColor="text1"/>
        </w:rPr>
        <w:t xml:space="preserve">neosynthesized protein </w:t>
      </w:r>
      <w:r w:rsidR="00384058" w:rsidRPr="00A4025C">
        <w:rPr>
          <w:rFonts w:eastAsia="Times New Roman"/>
          <w:color w:val="000000" w:themeColor="text1"/>
        </w:rPr>
        <w:t xml:space="preserve">identified at </w:t>
      </w:r>
      <w:r w:rsidR="00A4025C" w:rsidRPr="00A4025C">
        <w:rPr>
          <w:rFonts w:eastAsia="Times New Roman"/>
          <w:color w:val="000000" w:themeColor="text1"/>
        </w:rPr>
        <w:t>0-48 HAI</w:t>
      </w:r>
      <w:r w:rsidR="00A4025C">
        <w:rPr>
          <w:rFonts w:eastAsia="Times New Roman"/>
          <w:color w:val="000000" w:themeColor="text1"/>
        </w:rPr>
        <w:t>.</w:t>
      </w:r>
      <w:r w:rsidRPr="00A4025C">
        <w:rPr>
          <w:rFonts w:eastAsia="Times New Roman"/>
          <w:color w:val="000000" w:themeColor="text1"/>
        </w:rPr>
        <w:t xml:space="preserve"> The </w:t>
      </w:r>
      <w:r w:rsidR="0076506C" w:rsidRPr="00A4025C">
        <w:rPr>
          <w:rFonts w:eastAsia="Times New Roman"/>
          <w:color w:val="000000" w:themeColor="text1"/>
        </w:rPr>
        <w:t xml:space="preserve">time point for the </w:t>
      </w:r>
      <w:r w:rsidR="00A4025C" w:rsidRPr="00A4025C">
        <w:rPr>
          <w:rFonts w:eastAsia="Times New Roman"/>
          <w:color w:val="000000" w:themeColor="text1"/>
        </w:rPr>
        <w:t>peak</w:t>
      </w:r>
      <w:r w:rsidRPr="00A4025C">
        <w:rPr>
          <w:rFonts w:eastAsia="Times New Roman"/>
          <w:color w:val="000000" w:themeColor="text1"/>
        </w:rPr>
        <w:t xml:space="preserve"> of the transcript level and the protein synthesis signal during seed germination are </w:t>
      </w:r>
      <w:r w:rsidR="0076506C" w:rsidRPr="00A4025C">
        <w:rPr>
          <w:rFonts w:eastAsia="Times New Roman"/>
          <w:color w:val="000000" w:themeColor="text1"/>
        </w:rPr>
        <w:t>labelled</w:t>
      </w:r>
      <w:r w:rsidR="00133CB2" w:rsidRPr="00A4025C">
        <w:rPr>
          <w:rFonts w:eastAsia="Times New Roman"/>
          <w:color w:val="000000" w:themeColor="text1"/>
        </w:rPr>
        <w:t xml:space="preserve"> with </w:t>
      </w:r>
      <w:r w:rsidR="00A4025C" w:rsidRPr="00A4025C">
        <w:rPr>
          <w:rFonts w:eastAsia="Times New Roman"/>
          <w:color w:val="000000" w:themeColor="text1"/>
        </w:rPr>
        <w:t>red dash</w:t>
      </w:r>
      <w:r w:rsidR="00133CB2" w:rsidRPr="00A4025C">
        <w:rPr>
          <w:rFonts w:eastAsia="Times New Roman"/>
          <w:color w:val="000000" w:themeColor="text1"/>
        </w:rPr>
        <w:t xml:space="preserve"> lines</w:t>
      </w:r>
      <w:r w:rsidRPr="00A4025C">
        <w:rPr>
          <w:rFonts w:eastAsia="Times New Roman"/>
          <w:color w:val="000000" w:themeColor="text1"/>
        </w:rPr>
        <w:t xml:space="preserve">. </w:t>
      </w:r>
      <w:r w:rsidR="00A22141">
        <w:rPr>
          <w:b/>
          <w:bCs/>
        </w:rPr>
        <w:br w:type="page"/>
      </w:r>
    </w:p>
    <w:p w14:paraId="50E782A3" w14:textId="550C322D" w:rsidR="00A22141" w:rsidRDefault="00A22141" w:rsidP="00A22141">
      <w:pPr>
        <w:pStyle w:val="simpleheading"/>
        <w:spacing w:before="240"/>
        <w:jc w:val="center"/>
        <w:rPr>
          <w:b w:val="0"/>
          <w:bCs w:val="0"/>
        </w:rPr>
      </w:pPr>
      <w:r>
        <w:rPr>
          <w:b w:val="0"/>
          <w:bCs w:val="0"/>
          <w:noProof/>
        </w:rPr>
        <w:lastRenderedPageBreak/>
        <w:drawing>
          <wp:inline distT="0" distB="0" distL="0" distR="0" wp14:anchorId="4FEDDA8A" wp14:editId="7113E306">
            <wp:extent cx="2832100" cy="3200400"/>
            <wp:effectExtent l="0" t="0" r="0" b="0"/>
            <wp:docPr id="2" name="Picture 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ox and whisker 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2100" cy="3200400"/>
                    </a:xfrm>
                    <a:prstGeom prst="rect">
                      <a:avLst/>
                    </a:prstGeom>
                  </pic:spPr>
                </pic:pic>
              </a:graphicData>
            </a:graphic>
          </wp:inline>
        </w:drawing>
      </w:r>
    </w:p>
    <w:p w14:paraId="287AD962" w14:textId="4BB0B576" w:rsidR="00A22141" w:rsidRDefault="00A22141" w:rsidP="00A22141">
      <w:pPr>
        <w:pStyle w:val="simpleheading"/>
        <w:spacing w:before="240"/>
      </w:pPr>
      <w:r w:rsidRPr="00DF3250">
        <w:t xml:space="preserve">Figure </w:t>
      </w:r>
      <w:r w:rsidR="000672F2" w:rsidRPr="00DF3250">
        <w:t>S</w:t>
      </w:r>
      <w:r w:rsidR="000672F2">
        <w:t>3</w:t>
      </w:r>
      <w:r w:rsidR="000672F2">
        <w:rPr>
          <w:b w:val="0"/>
          <w:bCs w:val="0"/>
        </w:rPr>
        <w:t xml:space="preserve"> </w:t>
      </w:r>
      <w:r w:rsidRPr="00CD0AB2">
        <w:rPr>
          <w:b w:val="0"/>
          <w:bCs w:val="0"/>
        </w:rPr>
        <w:t xml:space="preserve">(A) mRNA </w:t>
      </w:r>
      <w:r>
        <w:rPr>
          <w:b w:val="0"/>
          <w:bCs w:val="0"/>
        </w:rPr>
        <w:t xml:space="preserve">half-life </w:t>
      </w:r>
      <w:r w:rsidRPr="00CD0AB2">
        <w:rPr>
          <w:b w:val="0"/>
          <w:bCs w:val="0"/>
        </w:rPr>
        <w:t>of the protein delayed genes.</w:t>
      </w:r>
      <w:r w:rsidRPr="00032081">
        <w:rPr>
          <w:b w:val="0"/>
          <w:bCs w:val="0"/>
        </w:rPr>
        <w:t xml:space="preserve"> </w:t>
      </w:r>
      <w:r w:rsidRPr="00CD0AB2">
        <w:rPr>
          <w:b w:val="0"/>
          <w:bCs w:val="0"/>
        </w:rPr>
        <w:t xml:space="preserve">mRNA </w:t>
      </w:r>
      <w:r>
        <w:rPr>
          <w:b w:val="0"/>
          <w:bCs w:val="0"/>
        </w:rPr>
        <w:t>half-life (hours)</w:t>
      </w:r>
      <w:r w:rsidRPr="00CD0AB2">
        <w:rPr>
          <w:b w:val="0"/>
          <w:bCs w:val="0"/>
        </w:rPr>
        <w:t xml:space="preserve"> </w:t>
      </w:r>
      <w:r w:rsidRPr="00DD160B">
        <w:rPr>
          <w:b w:val="0"/>
          <w:bCs w:val="0"/>
        </w:rPr>
        <w:t>identified in the Delayed Response Up-regulated Genes (DUG) and the Delayed Response Down-regulated genes (DDG) sets</w:t>
      </w:r>
      <w:r w:rsidR="00D75F53" w:rsidRPr="00D75F53">
        <w:rPr>
          <w:b w:val="0"/>
          <w:bCs w:val="0"/>
        </w:rPr>
        <w:t xml:space="preserve"> </w:t>
      </w:r>
      <w:r w:rsidR="00D75F53">
        <w:rPr>
          <w:b w:val="0"/>
          <w:bCs w:val="0"/>
        </w:rPr>
        <w:t>compared with the background (BKG)</w:t>
      </w:r>
      <w:r>
        <w:rPr>
          <w:b w:val="0"/>
          <w:bCs w:val="0"/>
        </w:rPr>
        <w:t xml:space="preserve">. </w:t>
      </w:r>
      <w:r w:rsidRPr="00DD160B">
        <w:rPr>
          <w:b w:val="0"/>
          <w:bCs w:val="0"/>
        </w:rPr>
        <w:t xml:space="preserve">(**P &lt; 0.01, </w:t>
      </w:r>
      <w:r>
        <w:rPr>
          <w:b w:val="0"/>
          <w:bCs w:val="0"/>
        </w:rPr>
        <w:t xml:space="preserve">ns is not significant, </w:t>
      </w:r>
      <w:r w:rsidRPr="00DD160B">
        <w:rPr>
          <w:b w:val="0"/>
          <w:bCs w:val="0"/>
        </w:rPr>
        <w:t>Wilcoxon rank-sum test)</w:t>
      </w:r>
      <w:r>
        <w:rPr>
          <w:b w:val="0"/>
          <w:bCs w:val="0"/>
        </w:rPr>
        <w:t>.</w:t>
      </w:r>
    </w:p>
    <w:p w14:paraId="0BF23D1A" w14:textId="77777777" w:rsidR="00A22141" w:rsidRDefault="00A22141" w:rsidP="00A22141">
      <w:pPr>
        <w:pStyle w:val="simpleheading"/>
        <w:spacing w:before="240"/>
      </w:pPr>
    </w:p>
    <w:p w14:paraId="77E576D1" w14:textId="1D30C64B" w:rsidR="00A22141" w:rsidRDefault="008F060D">
      <w:r>
        <w:rPr>
          <w:noProof/>
        </w:rPr>
        <w:lastRenderedPageBreak/>
        <w:drawing>
          <wp:inline distT="0" distB="0" distL="0" distR="0" wp14:anchorId="09709C8D" wp14:editId="43F806FC">
            <wp:extent cx="5727700" cy="5953125"/>
            <wp:effectExtent l="0" t="0" r="0" b="3175"/>
            <wp:docPr id="4" name="Picture 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ox and whisker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5953125"/>
                    </a:xfrm>
                    <a:prstGeom prst="rect">
                      <a:avLst/>
                    </a:prstGeom>
                  </pic:spPr>
                </pic:pic>
              </a:graphicData>
            </a:graphic>
          </wp:inline>
        </w:drawing>
      </w:r>
    </w:p>
    <w:p w14:paraId="7B39C3C8" w14:textId="1A1A2320" w:rsidR="00B55254" w:rsidRDefault="00B55254" w:rsidP="00B55254">
      <w:pPr>
        <w:pStyle w:val="simpleheading"/>
        <w:spacing w:before="240"/>
      </w:pPr>
      <w:r w:rsidRPr="00DF3250">
        <w:t xml:space="preserve">Figure </w:t>
      </w:r>
      <w:r w:rsidR="000672F2" w:rsidRPr="00DF3250">
        <w:t>S</w:t>
      </w:r>
      <w:r w:rsidR="000672F2">
        <w:t>4</w:t>
      </w:r>
      <w:r w:rsidR="000672F2">
        <w:rPr>
          <w:b w:val="0"/>
          <w:bCs w:val="0"/>
        </w:rPr>
        <w:t xml:space="preserve"> </w:t>
      </w:r>
      <w:r w:rsidRPr="00CD0AB2">
        <w:rPr>
          <w:b w:val="0"/>
          <w:bCs w:val="0"/>
        </w:rPr>
        <w:t xml:space="preserve">mRNA </w:t>
      </w:r>
      <w:r>
        <w:rPr>
          <w:b w:val="0"/>
          <w:bCs w:val="0"/>
        </w:rPr>
        <w:t xml:space="preserve">decay rate, half-life, protein decay rate and mRNA length </w:t>
      </w:r>
      <w:r w:rsidR="00EF2E48">
        <w:rPr>
          <w:b w:val="0"/>
          <w:bCs w:val="0"/>
        </w:rPr>
        <w:t xml:space="preserve">of </w:t>
      </w:r>
      <w:r w:rsidRPr="00CD0AB2">
        <w:rPr>
          <w:b w:val="0"/>
          <w:bCs w:val="0"/>
        </w:rPr>
        <w:t xml:space="preserve">the </w:t>
      </w:r>
      <w:r w:rsidR="00EF2E48" w:rsidRPr="00DD160B">
        <w:rPr>
          <w:b w:val="0"/>
          <w:bCs w:val="0"/>
        </w:rPr>
        <w:t xml:space="preserve">Delayed Response </w:t>
      </w:r>
      <w:r w:rsidR="00EF2E48">
        <w:rPr>
          <w:b w:val="0"/>
          <w:bCs w:val="0"/>
        </w:rPr>
        <w:t xml:space="preserve">genes </w:t>
      </w:r>
      <w:r>
        <w:rPr>
          <w:b w:val="0"/>
          <w:bCs w:val="0"/>
        </w:rPr>
        <w:t>grouped by the stages during seed germination</w:t>
      </w:r>
      <w:r w:rsidRPr="00CD0AB2">
        <w:rPr>
          <w:b w:val="0"/>
          <w:bCs w:val="0"/>
        </w:rPr>
        <w:t>.</w:t>
      </w:r>
      <w:r w:rsidRPr="00032081">
        <w:rPr>
          <w:b w:val="0"/>
          <w:bCs w:val="0"/>
        </w:rPr>
        <w:t xml:space="preserve"> </w:t>
      </w:r>
      <w:r w:rsidRPr="00CD0AB2">
        <w:rPr>
          <w:b w:val="0"/>
          <w:bCs w:val="0"/>
        </w:rPr>
        <w:t xml:space="preserve">(A) mRNA </w:t>
      </w:r>
      <w:r>
        <w:rPr>
          <w:b w:val="0"/>
          <w:bCs w:val="0"/>
        </w:rPr>
        <w:t xml:space="preserve">decay rate and (B) half-life (hours), </w:t>
      </w:r>
      <w:r w:rsidR="00EF2E48">
        <w:rPr>
          <w:b w:val="0"/>
          <w:bCs w:val="0"/>
        </w:rPr>
        <w:t xml:space="preserve">(C) </w:t>
      </w:r>
      <w:r>
        <w:rPr>
          <w:b w:val="0"/>
          <w:bCs w:val="0"/>
        </w:rPr>
        <w:t xml:space="preserve">protein decay rate (days) and </w:t>
      </w:r>
      <w:r w:rsidR="00EF2E48">
        <w:rPr>
          <w:b w:val="0"/>
          <w:bCs w:val="0"/>
        </w:rPr>
        <w:t xml:space="preserve">(D) </w:t>
      </w:r>
      <w:r>
        <w:rPr>
          <w:b w:val="0"/>
          <w:bCs w:val="0"/>
        </w:rPr>
        <w:t>mRNA length (</w:t>
      </w:r>
      <w:proofErr w:type="spellStart"/>
      <w:r>
        <w:rPr>
          <w:b w:val="0"/>
          <w:bCs w:val="0"/>
        </w:rPr>
        <w:t>nt</w:t>
      </w:r>
      <w:proofErr w:type="spellEnd"/>
      <w:r>
        <w:rPr>
          <w:b w:val="0"/>
          <w:bCs w:val="0"/>
        </w:rPr>
        <w:t>) of the</w:t>
      </w:r>
      <w:r w:rsidRPr="00DD160B">
        <w:rPr>
          <w:b w:val="0"/>
          <w:bCs w:val="0"/>
        </w:rPr>
        <w:t xml:space="preserve"> Delayed Response Up-regulated Genes (DUG) and the Delayed Response Down-regulated genes (DDG) sets</w:t>
      </w:r>
      <w:r w:rsidR="00D75F53">
        <w:rPr>
          <w:b w:val="0"/>
          <w:bCs w:val="0"/>
        </w:rPr>
        <w:t xml:space="preserve"> compared with the background (BKG).</w:t>
      </w:r>
      <w:r>
        <w:rPr>
          <w:b w:val="0"/>
          <w:bCs w:val="0"/>
        </w:rPr>
        <w:t xml:space="preserve"> The groups represent the germination stage</w:t>
      </w:r>
      <w:r w:rsidR="00EF2E48">
        <w:rPr>
          <w:b w:val="0"/>
          <w:bCs w:val="0"/>
        </w:rPr>
        <w:t>s</w:t>
      </w:r>
      <w:r>
        <w:rPr>
          <w:b w:val="0"/>
          <w:bCs w:val="0"/>
        </w:rPr>
        <w:t xml:space="preserve"> at which the delay occurs. The number of gene in each group are indicated </w:t>
      </w:r>
      <w:r w:rsidRPr="00DD160B">
        <w:rPr>
          <w:b w:val="0"/>
          <w:bCs w:val="0"/>
        </w:rPr>
        <w:t>(****P &lt; 0.</w:t>
      </w:r>
      <w:r>
        <w:rPr>
          <w:b w:val="0"/>
          <w:bCs w:val="0"/>
        </w:rPr>
        <w:t>0</w:t>
      </w:r>
      <w:r w:rsidRPr="00DD160B">
        <w:rPr>
          <w:b w:val="0"/>
          <w:bCs w:val="0"/>
        </w:rPr>
        <w:t>0</w:t>
      </w:r>
      <w:r>
        <w:rPr>
          <w:b w:val="0"/>
          <w:bCs w:val="0"/>
        </w:rPr>
        <w:t>0</w:t>
      </w:r>
      <w:r w:rsidRPr="00DD160B">
        <w:rPr>
          <w:b w:val="0"/>
          <w:bCs w:val="0"/>
        </w:rPr>
        <w:t>1</w:t>
      </w:r>
      <w:r>
        <w:rPr>
          <w:b w:val="0"/>
          <w:bCs w:val="0"/>
        </w:rPr>
        <w:t xml:space="preserve">, </w:t>
      </w:r>
      <w:r w:rsidRPr="00DD160B">
        <w:rPr>
          <w:b w:val="0"/>
          <w:bCs w:val="0"/>
        </w:rPr>
        <w:t>***P &lt; 0.</w:t>
      </w:r>
      <w:r>
        <w:rPr>
          <w:b w:val="0"/>
          <w:bCs w:val="0"/>
        </w:rPr>
        <w:t>0</w:t>
      </w:r>
      <w:r w:rsidRPr="00DD160B">
        <w:rPr>
          <w:b w:val="0"/>
          <w:bCs w:val="0"/>
        </w:rPr>
        <w:t>01</w:t>
      </w:r>
      <w:r>
        <w:rPr>
          <w:b w:val="0"/>
          <w:bCs w:val="0"/>
        </w:rPr>
        <w:t xml:space="preserve">, </w:t>
      </w:r>
      <w:r w:rsidRPr="00DD160B">
        <w:rPr>
          <w:b w:val="0"/>
          <w:bCs w:val="0"/>
        </w:rPr>
        <w:t>**P &lt; 0.01</w:t>
      </w:r>
      <w:r>
        <w:rPr>
          <w:b w:val="0"/>
          <w:bCs w:val="0"/>
        </w:rPr>
        <w:t xml:space="preserve">, </w:t>
      </w:r>
      <w:r w:rsidRPr="00DD160B">
        <w:rPr>
          <w:b w:val="0"/>
          <w:bCs w:val="0"/>
        </w:rPr>
        <w:t>*P &lt; 0.0</w:t>
      </w:r>
      <w:r>
        <w:rPr>
          <w:b w:val="0"/>
          <w:bCs w:val="0"/>
        </w:rPr>
        <w:t>5</w:t>
      </w:r>
      <w:r w:rsidRPr="00DD160B">
        <w:rPr>
          <w:b w:val="0"/>
          <w:bCs w:val="0"/>
        </w:rPr>
        <w:t xml:space="preserve">, </w:t>
      </w:r>
      <w:r>
        <w:rPr>
          <w:b w:val="0"/>
          <w:bCs w:val="0"/>
        </w:rPr>
        <w:t xml:space="preserve">ns is not significant, </w:t>
      </w:r>
      <w:r w:rsidRPr="00DD160B">
        <w:rPr>
          <w:b w:val="0"/>
          <w:bCs w:val="0"/>
        </w:rPr>
        <w:t>Wilcoxon rank-sum test)</w:t>
      </w:r>
      <w:r>
        <w:rPr>
          <w:b w:val="0"/>
          <w:bCs w:val="0"/>
        </w:rPr>
        <w:t>.</w:t>
      </w:r>
    </w:p>
    <w:p w14:paraId="7218BCAD" w14:textId="77777777" w:rsidR="00B55254" w:rsidRDefault="00B55254" w:rsidP="00B55254">
      <w:pPr>
        <w:pStyle w:val="simpleheading"/>
        <w:spacing w:before="240"/>
      </w:pPr>
    </w:p>
    <w:p w14:paraId="6BE3C377" w14:textId="33DC16ED" w:rsidR="000672F2" w:rsidRDefault="00133CB2">
      <w:r>
        <w:t>References</w:t>
      </w:r>
    </w:p>
    <w:p w14:paraId="6201F859" w14:textId="77777777" w:rsidR="000672F2" w:rsidRDefault="000672F2"/>
    <w:p w14:paraId="52C0D87E" w14:textId="77777777" w:rsidR="000672F2" w:rsidRPr="000672F2" w:rsidRDefault="000672F2" w:rsidP="000672F2">
      <w:pPr>
        <w:pStyle w:val="EndNoteBibliography"/>
        <w:ind w:left="720" w:hanging="720"/>
      </w:pPr>
      <w:r>
        <w:fldChar w:fldCharType="begin"/>
      </w:r>
      <w:r>
        <w:instrText xml:space="preserve"> ADDIN EN.REFLIST </w:instrText>
      </w:r>
      <w:r>
        <w:fldChar w:fldCharType="separate"/>
      </w:r>
      <w:r w:rsidRPr="000672F2">
        <w:rPr>
          <w:b/>
        </w:rPr>
        <w:t xml:space="preserve">Dekkers, B.J., Pearce, S., van Bolderen-Veldkamp, R.P., Marshall, A., Widera, P., Gilbert, J., Drost, H.G., Bassel, G.W., Muller, K., King, J.R., Wood, A.T., Grosse, I., Quint, M., Krasnogor, N., Leubner-Metzger, G., Holdsworth, M.J. and Bentsink, L. </w:t>
      </w:r>
      <w:r w:rsidRPr="000672F2">
        <w:t xml:space="preserve">(2013) Transcriptional dynamics of two seed compartments with opposing roles in Arabidopsis seed germination. </w:t>
      </w:r>
      <w:r w:rsidRPr="000672F2">
        <w:rPr>
          <w:i/>
        </w:rPr>
        <w:t>Plant Physiol</w:t>
      </w:r>
      <w:r w:rsidRPr="000672F2">
        <w:t xml:space="preserve">, </w:t>
      </w:r>
      <w:r w:rsidRPr="000672F2">
        <w:rPr>
          <w:b/>
        </w:rPr>
        <w:t>163</w:t>
      </w:r>
      <w:r w:rsidRPr="000672F2">
        <w:t>, 205-215.</w:t>
      </w:r>
    </w:p>
    <w:p w14:paraId="684D6A9B" w14:textId="77777777" w:rsidR="000672F2" w:rsidRPr="000672F2" w:rsidRDefault="000672F2" w:rsidP="000672F2">
      <w:pPr>
        <w:pStyle w:val="EndNoteBibliography"/>
        <w:ind w:left="720" w:hanging="720"/>
      </w:pPr>
      <w:r w:rsidRPr="000672F2">
        <w:rPr>
          <w:b/>
        </w:rPr>
        <w:lastRenderedPageBreak/>
        <w:t xml:space="preserve">Galland, M., Huguet, R., Arc, E., Cueff, G., Job, D. and Rajjou, L. </w:t>
      </w:r>
      <w:r w:rsidRPr="000672F2">
        <w:t xml:space="preserve">(2014) Dynamic proteomics emphasizes the importance of selective mRNA translation and protein turnover during Arabidopsis seed germination. </w:t>
      </w:r>
      <w:r w:rsidRPr="000672F2">
        <w:rPr>
          <w:i/>
        </w:rPr>
        <w:t>Mol Cell Proteomics</w:t>
      </w:r>
      <w:r w:rsidRPr="000672F2">
        <w:t xml:space="preserve">, </w:t>
      </w:r>
      <w:r w:rsidRPr="000672F2">
        <w:rPr>
          <w:b/>
        </w:rPr>
        <w:t>13</w:t>
      </w:r>
      <w:r w:rsidRPr="000672F2">
        <w:t>, 252-268.</w:t>
      </w:r>
    </w:p>
    <w:p w14:paraId="6D3A9382" w14:textId="2FF515AD" w:rsidR="00B55254" w:rsidRDefault="000672F2">
      <w:r>
        <w:fldChar w:fldCharType="end"/>
      </w:r>
    </w:p>
    <w:sectPr w:rsidR="00B55254" w:rsidSect="008F79C7">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dvPS7C2E">
    <w:altName w:val="Times New Roman"/>
    <w:panose1 w:val="00000000000000000000"/>
    <w:charset w:val="00"/>
    <w:family w:val="roman"/>
    <w:notTrueType/>
    <w:pitch w:val="default"/>
    <w:sig w:usb0="000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3"/>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Plant J&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fzaaptyrfwtle9aedxzrdizs9xea0a25vx&quot;&gt;Bing_Bai_reference_mac&lt;record-ids&gt;&lt;item&gt;1472&lt;/item&gt;&lt;item&gt;1484&lt;/item&gt;&lt;/record-ids&gt;&lt;/item&gt;&lt;/Libraries&gt;"/>
  </w:docVars>
  <w:rsids>
    <w:rsidRoot w:val="006A6985"/>
    <w:rsid w:val="00000586"/>
    <w:rsid w:val="000672F2"/>
    <w:rsid w:val="0008512E"/>
    <w:rsid w:val="000C1EF2"/>
    <w:rsid w:val="00133CB2"/>
    <w:rsid w:val="00137830"/>
    <w:rsid w:val="00214983"/>
    <w:rsid w:val="00300D2D"/>
    <w:rsid w:val="00334D91"/>
    <w:rsid w:val="0033703C"/>
    <w:rsid w:val="00382FBC"/>
    <w:rsid w:val="00384058"/>
    <w:rsid w:val="003B1FD4"/>
    <w:rsid w:val="00413059"/>
    <w:rsid w:val="00415AD3"/>
    <w:rsid w:val="00443F89"/>
    <w:rsid w:val="004D7095"/>
    <w:rsid w:val="004E0FD8"/>
    <w:rsid w:val="00583B03"/>
    <w:rsid w:val="00594EC4"/>
    <w:rsid w:val="005A7A36"/>
    <w:rsid w:val="005B6D0D"/>
    <w:rsid w:val="005F7D66"/>
    <w:rsid w:val="00641C02"/>
    <w:rsid w:val="00641FC9"/>
    <w:rsid w:val="00653AE3"/>
    <w:rsid w:val="00664BEF"/>
    <w:rsid w:val="006A6985"/>
    <w:rsid w:val="00727F96"/>
    <w:rsid w:val="0076506C"/>
    <w:rsid w:val="007A4C3B"/>
    <w:rsid w:val="007D10C6"/>
    <w:rsid w:val="00831912"/>
    <w:rsid w:val="008564D7"/>
    <w:rsid w:val="008F060D"/>
    <w:rsid w:val="008F79C7"/>
    <w:rsid w:val="00935410"/>
    <w:rsid w:val="009F1A3D"/>
    <w:rsid w:val="00A128BB"/>
    <w:rsid w:val="00A20D47"/>
    <w:rsid w:val="00A22141"/>
    <w:rsid w:val="00A4025C"/>
    <w:rsid w:val="00A630D9"/>
    <w:rsid w:val="00AC5A45"/>
    <w:rsid w:val="00AF1480"/>
    <w:rsid w:val="00B105C7"/>
    <w:rsid w:val="00B43644"/>
    <w:rsid w:val="00B43D1B"/>
    <w:rsid w:val="00B55254"/>
    <w:rsid w:val="00B77899"/>
    <w:rsid w:val="00B87CB5"/>
    <w:rsid w:val="00C46E3C"/>
    <w:rsid w:val="00C53297"/>
    <w:rsid w:val="00C53487"/>
    <w:rsid w:val="00C61BC0"/>
    <w:rsid w:val="00C655DE"/>
    <w:rsid w:val="00C91941"/>
    <w:rsid w:val="00CE7D1D"/>
    <w:rsid w:val="00D30B19"/>
    <w:rsid w:val="00D42FC9"/>
    <w:rsid w:val="00D4592A"/>
    <w:rsid w:val="00D75F53"/>
    <w:rsid w:val="00DD17A1"/>
    <w:rsid w:val="00E0039B"/>
    <w:rsid w:val="00E56DB4"/>
    <w:rsid w:val="00EF2E48"/>
    <w:rsid w:val="00F10411"/>
    <w:rsid w:val="00F10A25"/>
    <w:rsid w:val="00F265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F833CA"/>
  <w15:chartTrackingRefBased/>
  <w15:docId w15:val="{86EF398C-CE9F-2B41-BD6A-ECFEF5BC7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985"/>
    <w:pPr>
      <w:widowControl w:val="0"/>
      <w:ind w:right="23"/>
      <w:jc w:val="both"/>
    </w:pPr>
    <w:rPr>
      <w:rFonts w:ascii="Times New Roman" w:hAnsi="Times New Roman" w:cs="Times New Roman"/>
      <w:kern w:val="2"/>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6985"/>
    <w:pPr>
      <w:widowControl/>
      <w:ind w:right="0"/>
      <w:jc w:val="left"/>
    </w:pPr>
    <w:rPr>
      <w:kern w:val="0"/>
      <w:sz w:val="18"/>
      <w:szCs w:val="18"/>
    </w:rPr>
  </w:style>
  <w:style w:type="character" w:customStyle="1" w:styleId="BalloonTextChar">
    <w:name w:val="Balloon Text Char"/>
    <w:basedOn w:val="DefaultParagraphFont"/>
    <w:link w:val="BalloonText"/>
    <w:uiPriority w:val="99"/>
    <w:semiHidden/>
    <w:rsid w:val="006A6985"/>
    <w:rPr>
      <w:rFonts w:ascii="Times New Roman" w:hAnsi="Times New Roman" w:cs="Times New Roman"/>
      <w:sz w:val="18"/>
      <w:szCs w:val="18"/>
    </w:rPr>
  </w:style>
  <w:style w:type="character" w:styleId="Hyperlink">
    <w:name w:val="Hyperlink"/>
    <w:rsid w:val="006A6985"/>
    <w:rPr>
      <w:rFonts w:cs="Times New Roman"/>
      <w:color w:val="0000FF"/>
      <w:u w:val="single"/>
    </w:rPr>
  </w:style>
  <w:style w:type="character" w:styleId="Strong">
    <w:name w:val="Strong"/>
    <w:uiPriority w:val="22"/>
    <w:qFormat/>
    <w:rsid w:val="006A6985"/>
    <w:rPr>
      <w:rFonts w:cs="Times New Roman"/>
      <w:b/>
      <w:bCs/>
    </w:rPr>
  </w:style>
  <w:style w:type="paragraph" w:customStyle="1" w:styleId="simpleheading">
    <w:name w:val="simple heading"/>
    <w:basedOn w:val="Normal"/>
    <w:qFormat/>
    <w:rsid w:val="006A6985"/>
    <w:pPr>
      <w:spacing w:before="480" w:line="360" w:lineRule="auto"/>
      <w:outlineLvl w:val="0"/>
    </w:pPr>
    <w:rPr>
      <w:b/>
      <w:bCs/>
      <w:color w:val="000000" w:themeColor="text1"/>
    </w:rPr>
  </w:style>
  <w:style w:type="character" w:styleId="CommentReference">
    <w:name w:val="annotation reference"/>
    <w:basedOn w:val="DefaultParagraphFont"/>
    <w:uiPriority w:val="99"/>
    <w:semiHidden/>
    <w:unhideWhenUsed/>
    <w:rsid w:val="000672F2"/>
    <w:rPr>
      <w:sz w:val="16"/>
      <w:szCs w:val="16"/>
    </w:rPr>
  </w:style>
  <w:style w:type="paragraph" w:styleId="CommentText">
    <w:name w:val="annotation text"/>
    <w:basedOn w:val="Normal"/>
    <w:link w:val="CommentTextChar"/>
    <w:uiPriority w:val="99"/>
    <w:semiHidden/>
    <w:unhideWhenUsed/>
    <w:rsid w:val="000672F2"/>
    <w:pPr>
      <w:widowControl/>
      <w:spacing w:after="160"/>
      <w:ind w:right="0"/>
      <w:jc w:val="left"/>
    </w:pPr>
    <w:rPr>
      <w:rFonts w:asciiTheme="minorHAnsi" w:hAnsiTheme="minorHAnsi" w:cstheme="minorBidi"/>
      <w:kern w:val="0"/>
      <w:sz w:val="20"/>
      <w:szCs w:val="20"/>
    </w:rPr>
  </w:style>
  <w:style w:type="character" w:customStyle="1" w:styleId="CommentTextChar">
    <w:name w:val="Comment Text Char"/>
    <w:basedOn w:val="DefaultParagraphFont"/>
    <w:link w:val="CommentText"/>
    <w:uiPriority w:val="99"/>
    <w:semiHidden/>
    <w:rsid w:val="000672F2"/>
    <w:rPr>
      <w:sz w:val="20"/>
      <w:szCs w:val="20"/>
    </w:rPr>
  </w:style>
  <w:style w:type="paragraph" w:customStyle="1" w:styleId="EndNoteBibliographyTitle">
    <w:name w:val="EndNote Bibliography Title"/>
    <w:basedOn w:val="Normal"/>
    <w:link w:val="EndNoteBibliographyTitleChar"/>
    <w:rsid w:val="000672F2"/>
    <w:pPr>
      <w:jc w:val="center"/>
    </w:pPr>
    <w:rPr>
      <w:noProof/>
      <w:sz w:val="20"/>
    </w:rPr>
  </w:style>
  <w:style w:type="character" w:customStyle="1" w:styleId="EndNoteBibliographyTitleChar">
    <w:name w:val="EndNote Bibliography Title Char"/>
    <w:basedOn w:val="DefaultParagraphFont"/>
    <w:link w:val="EndNoteBibliographyTitle"/>
    <w:rsid w:val="000672F2"/>
    <w:rPr>
      <w:rFonts w:ascii="Times New Roman" w:hAnsi="Times New Roman" w:cs="Times New Roman"/>
      <w:noProof/>
      <w:kern w:val="2"/>
      <w:sz w:val="20"/>
      <w:szCs w:val="21"/>
      <w:lang w:val="en-US"/>
    </w:rPr>
  </w:style>
  <w:style w:type="paragraph" w:customStyle="1" w:styleId="EndNoteBibliography">
    <w:name w:val="EndNote Bibliography"/>
    <w:basedOn w:val="Normal"/>
    <w:link w:val="EndNoteBibliographyChar"/>
    <w:rsid w:val="000672F2"/>
    <w:rPr>
      <w:noProof/>
      <w:sz w:val="20"/>
    </w:rPr>
  </w:style>
  <w:style w:type="character" w:customStyle="1" w:styleId="EndNoteBibliographyChar">
    <w:name w:val="EndNote Bibliography Char"/>
    <w:basedOn w:val="DefaultParagraphFont"/>
    <w:link w:val="EndNoteBibliography"/>
    <w:rsid w:val="000672F2"/>
    <w:rPr>
      <w:rFonts w:ascii="Times New Roman" w:hAnsi="Times New Roman" w:cs="Times New Roman"/>
      <w:noProof/>
      <w:kern w:val="2"/>
      <w:sz w:val="20"/>
      <w:szCs w:val="21"/>
      <w:lang w:val="en-US"/>
    </w:rPr>
  </w:style>
  <w:style w:type="paragraph" w:styleId="CommentSubject">
    <w:name w:val="annotation subject"/>
    <w:basedOn w:val="CommentText"/>
    <w:next w:val="CommentText"/>
    <w:link w:val="CommentSubjectChar"/>
    <w:uiPriority w:val="99"/>
    <w:semiHidden/>
    <w:unhideWhenUsed/>
    <w:rsid w:val="00727F96"/>
    <w:pPr>
      <w:widowControl w:val="0"/>
      <w:spacing w:after="0"/>
      <w:ind w:right="23"/>
      <w:jc w:val="both"/>
    </w:pPr>
    <w:rPr>
      <w:rFonts w:ascii="Times New Roman" w:hAnsi="Times New Roman" w:cs="Times New Roman"/>
      <w:b/>
      <w:bCs/>
      <w:kern w:val="2"/>
    </w:rPr>
  </w:style>
  <w:style w:type="character" w:customStyle="1" w:styleId="CommentSubjectChar">
    <w:name w:val="Comment Subject Char"/>
    <w:basedOn w:val="CommentTextChar"/>
    <w:link w:val="CommentSubject"/>
    <w:uiPriority w:val="99"/>
    <w:semiHidden/>
    <w:rsid w:val="00727F96"/>
    <w:rPr>
      <w:rFonts w:ascii="Times New Roman" w:hAnsi="Times New Roman" w:cs="Times New Roman"/>
      <w:b/>
      <w:bCs/>
      <w:kern w:val="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hyperlink" Target="mailto:leonie.bentsink@wur.nl" TargetMode="External"/><Relationship Id="rId10" Type="http://schemas.openxmlformats.org/officeDocument/2006/relationships/fontTable" Target="fontTable.xml"/><Relationship Id="rId4" Type="http://schemas.openxmlformats.org/officeDocument/2006/relationships/hyperlink" Target="mailto:bing.bai@wur.nl" TargetMode="Externa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1471</Words>
  <Characters>8390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Bai, Bing</dc:creator>
  <cp:keywords/>
  <dc:description/>
  <cp:lastModifiedBy>Isobel Crouch</cp:lastModifiedBy>
  <cp:revision>6</cp:revision>
  <cp:lastPrinted>2020-12-27T16:18:00Z</cp:lastPrinted>
  <dcterms:created xsi:type="dcterms:W3CDTF">2021-04-30T09:03:00Z</dcterms:created>
  <dcterms:modified xsi:type="dcterms:W3CDTF">2021-08-05T16:22:00Z</dcterms:modified>
</cp:coreProperties>
</file>